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6"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h76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2"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95"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h95 \h </w:instrText>
      </w:r>
      <w:r>
        <w:rPr>
          <w:rFonts w:ascii="Times New Roman" w:hAnsi="Times New Roman" w:eastAsia="方正仿宋_GBK"/>
          <w:b/>
          <w:sz w:val="24"/>
        </w:rPr>
        <w:fldChar w:fldCharType="separate"/>
      </w:r>
      <w:r>
        <w:rPr>
          <w:rFonts w:ascii="Times New Roman" w:hAnsi="Times New Roman" w:eastAsia="方正仿宋_GBK"/>
          <w:b/>
          <w:sz w:val="24"/>
        </w:rPr>
        <w:t>15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 \h </w:instrText>
      </w:r>
      <w:r>
        <w:rPr>
          <w:rFonts w:ascii="Times New Roman" w:hAnsi="Times New Roman" w:eastAsia="方正仿宋_GBK"/>
          <w:b w:val="0"/>
          <w:sz w:val="24"/>
        </w:rPr>
        <w:fldChar w:fldCharType="separate"/>
      </w:r>
      <w:r>
        <w:rPr>
          <w:rFonts w:ascii="Times New Roman" w:hAnsi="Times New Roman" w:eastAsia="方正仿宋_GBK"/>
          <w:b w:val="0"/>
          <w:sz w:val="24"/>
        </w:rPr>
        <w:t>15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2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h122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71"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h171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5"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h215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8"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h238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56"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h256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73"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h273 \h </w:instrText>
      </w:r>
      <w:r>
        <w:rPr>
          <w:rFonts w:ascii="Times New Roman" w:hAnsi="Times New Roman" w:eastAsia="方正仿宋_GBK"/>
          <w:b w:val="0"/>
          <w:sz w:val="24"/>
        </w:rPr>
        <w:fldChar w:fldCharType="separate"/>
      </w:r>
      <w:r>
        <w:rPr>
          <w:rFonts w:ascii="Times New Roman" w:hAnsi="Times New Roman" w:eastAsia="方正仿宋_GBK"/>
          <w:b w:val="0"/>
          <w:sz w:val="24"/>
        </w:rPr>
        <w:t>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2"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h302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04"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h304 \h </w:instrText>
      </w:r>
      <w:r>
        <w:rPr>
          <w:rFonts w:ascii="Times New Roman" w:hAnsi="Times New Roman" w:eastAsia="方正仿宋_GBK"/>
          <w:b/>
          <w:sz w:val="24"/>
        </w:rPr>
        <w:fldChar w:fldCharType="separate"/>
      </w:r>
      <w:r>
        <w:rPr>
          <w:rFonts w:ascii="Times New Roman" w:hAnsi="Times New Roman" w:eastAsia="方正仿宋_GBK"/>
          <w:b/>
          <w:sz w:val="24"/>
        </w:rPr>
        <w:t>38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5"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0"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h340 \h </w:instrText>
      </w:r>
      <w:r>
        <w:rPr>
          <w:rFonts w:ascii="Times New Roman" w:hAnsi="Times New Roman" w:eastAsia="方正仿宋_GBK"/>
          <w:b w:val="0"/>
          <w:sz w:val="24"/>
        </w:rPr>
        <w:fldChar w:fldCharType="separate"/>
      </w:r>
      <w:r>
        <w:rPr>
          <w:rFonts w:ascii="Times New Roman" w:hAnsi="Times New Roman" w:eastAsia="方正仿宋_GBK"/>
          <w:b w:val="0"/>
          <w:sz w:val="24"/>
        </w:rPr>
        <w:t>42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h366 \h </w:instrText>
      </w:r>
      <w:r>
        <w:rPr>
          <w:rFonts w:ascii="Times New Roman" w:hAnsi="Times New Roman" w:eastAsia="方正仿宋_GBK"/>
          <w:b w:val="0"/>
          <w:sz w:val="24"/>
        </w:rPr>
        <w:fldChar w:fldCharType="separate"/>
      </w:r>
      <w:r>
        <w:rPr>
          <w:rFonts w:ascii="Times New Roman" w:hAnsi="Times New Roman" w:eastAsia="方正仿宋_GBK"/>
          <w:b w:val="0"/>
          <w:sz w:val="24"/>
        </w:rPr>
        <w:t>45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8"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h458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2"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h502 \h </w:instrText>
      </w:r>
      <w:r>
        <w:rPr>
          <w:rFonts w:ascii="Times New Roman" w:hAnsi="Times New Roman" w:eastAsia="方正仿宋_GBK"/>
          <w:b/>
          <w:sz w:val="24"/>
        </w:rPr>
        <w:fldChar w:fldCharType="separate"/>
      </w:r>
      <w:r>
        <w:rPr>
          <w:rFonts w:ascii="Times New Roman" w:hAnsi="Times New Roman" w:eastAsia="方正仿宋_GBK"/>
          <w:b/>
          <w:sz w:val="24"/>
        </w:rPr>
        <w:t>70</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3"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h503 \h </w:instrText>
      </w:r>
      <w:r>
        <w:rPr>
          <w:rFonts w:ascii="Times New Roman" w:hAnsi="Times New Roman" w:eastAsia="方正仿宋_GBK"/>
          <w:b w:val="0"/>
          <w:sz w:val="24"/>
        </w:rPr>
        <w:fldChar w:fldCharType="separate"/>
      </w:r>
      <w:r>
        <w:rPr>
          <w:rFonts w:ascii="Times New Roman" w:hAnsi="Times New Roman" w:eastAsia="方正仿宋_GBK"/>
          <w:b w:val="0"/>
          <w:sz w:val="24"/>
        </w:rPr>
        <w:t>70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5"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h515 \h </w:instrText>
      </w:r>
      <w:r>
        <w:rPr>
          <w:rFonts w:ascii="Times New Roman" w:hAnsi="Times New Roman" w:eastAsia="方正仿宋_GBK"/>
          <w:b w:val="0"/>
          <w:sz w:val="24"/>
        </w:rPr>
        <w:fldChar w:fldCharType="separate"/>
      </w:r>
      <w:r>
        <w:rPr>
          <w:rFonts w:ascii="Times New Roman" w:hAnsi="Times New Roman" w:eastAsia="方正仿宋_GBK"/>
          <w:b w:val="0"/>
          <w:sz w:val="24"/>
        </w:rPr>
        <w:t>71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h540 \h </w:instrText>
      </w:r>
      <w:r>
        <w:rPr>
          <w:rFonts w:ascii="Times New Roman" w:hAnsi="Times New Roman" w:eastAsia="方正仿宋_GBK"/>
          <w:b w:val="0"/>
          <w:sz w:val="24"/>
        </w:rPr>
        <w:fldChar w:fldCharType="separate"/>
      </w:r>
      <w:r>
        <w:rPr>
          <w:rFonts w:ascii="Times New Roman" w:hAnsi="Times New Roman" w:eastAsia="方正仿宋_GBK"/>
          <w:b w:val="0"/>
          <w:sz w:val="24"/>
        </w:rPr>
        <w:t>74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5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h554 \h </w:instrText>
      </w:r>
      <w:r>
        <w:rPr>
          <w:rFonts w:ascii="Times New Roman" w:hAnsi="Times New Roman" w:eastAsia="方正仿宋_GBK"/>
          <w:b w:val="0"/>
          <w:sz w:val="24"/>
        </w:rPr>
        <w:fldChar w:fldCharType="separate"/>
      </w:r>
      <w:r>
        <w:rPr>
          <w:rFonts w:ascii="Times New Roman" w:hAnsi="Times New Roman" w:eastAsia="方正仿宋_GBK"/>
          <w:b w:val="0"/>
          <w:sz w:val="24"/>
        </w:rPr>
        <w:t>75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3"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h573 \h </w:instrText>
      </w:r>
      <w:r>
        <w:rPr>
          <w:rFonts w:ascii="Times New Roman" w:hAnsi="Times New Roman" w:eastAsia="方正仿宋_GBK"/>
          <w:b w:val="0"/>
          <w:sz w:val="24"/>
        </w:rPr>
        <w:fldChar w:fldCharType="separate"/>
      </w:r>
      <w:r>
        <w:rPr>
          <w:rFonts w:ascii="Times New Roman" w:hAnsi="Times New Roman" w:eastAsia="方正仿宋_GBK"/>
          <w:b w:val="0"/>
          <w:sz w:val="24"/>
        </w:rPr>
        <w:t>78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9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h590 \h </w:instrText>
      </w:r>
      <w:r>
        <w:rPr>
          <w:rFonts w:ascii="Times New Roman" w:hAnsi="Times New Roman" w:eastAsia="方正仿宋_GBK"/>
          <w:b w:val="0"/>
          <w:sz w:val="24"/>
        </w:rPr>
        <w:fldChar w:fldCharType="separate"/>
      </w:r>
      <w:r>
        <w:rPr>
          <w:rFonts w:ascii="Times New Roman" w:hAnsi="Times New Roman" w:eastAsia="方正仿宋_GBK"/>
          <w:b w:val="0"/>
          <w:sz w:val="24"/>
        </w:rPr>
        <w:t>80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619"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h619 \h </w:instrText>
      </w:r>
      <w:r>
        <w:rPr>
          <w:rFonts w:ascii="Times New Roman" w:hAnsi="Times New Roman" w:eastAsia="方正仿宋_GBK"/>
          <w:b/>
          <w:sz w:val="24"/>
        </w:rPr>
        <w:fldChar w:fldCharType="separate"/>
      </w:r>
      <w:r>
        <w:rPr>
          <w:rFonts w:ascii="Times New Roman" w:hAnsi="Times New Roman" w:eastAsia="方正仿宋_GBK"/>
          <w:b/>
          <w:sz w:val="24"/>
        </w:rPr>
        <w:t>84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21"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h621 \h </w:instrText>
      </w:r>
      <w:r>
        <w:rPr>
          <w:rFonts w:ascii="Times New Roman" w:hAnsi="Times New Roman" w:eastAsia="方正仿宋_GBK"/>
          <w:b w:val="0"/>
          <w:sz w:val="24"/>
        </w:rPr>
        <w:fldChar w:fldCharType="separate"/>
      </w:r>
      <w:r>
        <w:rPr>
          <w:rFonts w:ascii="Times New Roman" w:hAnsi="Times New Roman" w:eastAsia="方正仿宋_GBK"/>
          <w:b w:val="0"/>
          <w:sz w:val="24"/>
        </w:rPr>
        <w:t>84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4"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h644 \h </w:instrText>
      </w:r>
      <w:r>
        <w:rPr>
          <w:rFonts w:ascii="Times New Roman" w:hAnsi="Times New Roman" w:eastAsia="方正仿宋_GBK"/>
          <w:b w:val="0"/>
          <w:sz w:val="24"/>
        </w:rPr>
        <w:fldChar w:fldCharType="separate"/>
      </w:r>
      <w:r>
        <w:rPr>
          <w:rFonts w:ascii="Times New Roman" w:hAnsi="Times New Roman" w:eastAsia="方正仿宋_GBK"/>
          <w:b w:val="0"/>
          <w:sz w:val="24"/>
        </w:rPr>
        <w:t>87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64"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h664 \h </w:instrText>
      </w:r>
      <w:r>
        <w:rPr>
          <w:rFonts w:ascii="Times New Roman" w:hAnsi="Times New Roman" w:eastAsia="方正仿宋_GBK"/>
          <w:b w:val="0"/>
          <w:sz w:val="24"/>
        </w:rPr>
        <w:fldChar w:fldCharType="separate"/>
      </w:r>
      <w:r>
        <w:rPr>
          <w:rFonts w:ascii="Times New Roman" w:hAnsi="Times New Roman" w:eastAsia="方正仿宋_GBK"/>
          <w:b w:val="0"/>
          <w:sz w:val="24"/>
        </w:rPr>
        <w:t>89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79"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h679 \h </w:instrText>
      </w:r>
      <w:r>
        <w:rPr>
          <w:rFonts w:ascii="Times New Roman" w:hAnsi="Times New Roman" w:eastAsia="方正仿宋_GBK"/>
          <w:b w:val="0"/>
          <w:sz w:val="24"/>
        </w:rPr>
        <w:fldChar w:fldCharType="separate"/>
      </w:r>
      <w:r>
        <w:rPr>
          <w:rFonts w:ascii="Times New Roman" w:hAnsi="Times New Roman" w:eastAsia="方正仿宋_GBK"/>
          <w:b w:val="0"/>
          <w:sz w:val="24"/>
        </w:rPr>
        <w:t>91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55"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h1055 \h </w:instrText>
      </w:r>
      <w:r>
        <w:rPr>
          <w:rFonts w:ascii="Times New Roman" w:hAnsi="Times New Roman" w:eastAsia="方正仿宋_GBK"/>
          <w:b w:val="0"/>
          <w:sz w:val="24"/>
        </w:rPr>
        <w:fldChar w:fldCharType="separate"/>
      </w:r>
      <w:r>
        <w:rPr>
          <w:rFonts w:ascii="Times New Roman" w:hAnsi="Times New Roman" w:eastAsia="方正仿宋_GBK"/>
          <w:b w:val="0"/>
          <w:sz w:val="24"/>
        </w:rPr>
        <w:t>155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30"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h1130 \h </w:instrText>
      </w:r>
      <w:r>
        <w:rPr>
          <w:rFonts w:ascii="Times New Roman" w:hAnsi="Times New Roman" w:eastAsia="方正仿宋_GBK"/>
          <w:b w:val="0"/>
          <w:sz w:val="24"/>
        </w:rPr>
        <w:fldChar w:fldCharType="separate"/>
      </w:r>
      <w:r>
        <w:rPr>
          <w:rFonts w:ascii="Times New Roman" w:hAnsi="Times New Roman" w:eastAsia="方正仿宋_GBK"/>
          <w:b w:val="0"/>
          <w:sz w:val="24"/>
        </w:rPr>
        <w:t>172</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44"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h1144 \h </w:instrText>
      </w:r>
      <w:r>
        <w:rPr>
          <w:rFonts w:ascii="Times New Roman" w:hAnsi="Times New Roman" w:eastAsia="方正仿宋_GBK"/>
          <w:b/>
          <w:sz w:val="24"/>
        </w:rPr>
        <w:fldChar w:fldCharType="separate"/>
      </w:r>
      <w:r>
        <w:rPr>
          <w:rFonts w:ascii="Times New Roman" w:hAnsi="Times New Roman" w:eastAsia="方正仿宋_GBK"/>
          <w:b/>
          <w:sz w:val="24"/>
        </w:rPr>
        <w:t>174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46"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h1146 \h </w:instrText>
      </w:r>
      <w:r>
        <w:rPr>
          <w:rFonts w:ascii="Times New Roman" w:hAnsi="Times New Roman" w:eastAsia="方正仿宋_GBK"/>
          <w:b w:val="0"/>
          <w:sz w:val="24"/>
        </w:rPr>
        <w:fldChar w:fldCharType="separate"/>
      </w:r>
      <w:r>
        <w:rPr>
          <w:rFonts w:ascii="Times New Roman" w:hAnsi="Times New Roman" w:eastAsia="方正仿宋_GBK"/>
          <w:b w:val="0"/>
          <w:sz w:val="24"/>
        </w:rPr>
        <w:t>174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60"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h1160 \h </w:instrText>
      </w:r>
      <w:r>
        <w:rPr>
          <w:rFonts w:ascii="Times New Roman" w:hAnsi="Times New Roman" w:eastAsia="方正仿宋_GBK"/>
          <w:b w:val="0"/>
          <w:sz w:val="24"/>
        </w:rPr>
        <w:fldChar w:fldCharType="separate"/>
      </w:r>
      <w:r>
        <w:rPr>
          <w:rFonts w:ascii="Times New Roman" w:hAnsi="Times New Roman" w:eastAsia="方正仿宋_GBK"/>
          <w:b w:val="0"/>
          <w:sz w:val="24"/>
        </w:rPr>
        <w:t>175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72"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h1172 \h </w:instrText>
      </w:r>
      <w:r>
        <w:rPr>
          <w:rFonts w:ascii="Times New Roman" w:hAnsi="Times New Roman" w:eastAsia="方正仿宋_GBK"/>
          <w:b w:val="0"/>
          <w:sz w:val="24"/>
        </w:rPr>
        <w:fldChar w:fldCharType="separate"/>
      </w:r>
      <w:r>
        <w:rPr>
          <w:rFonts w:ascii="Times New Roman" w:hAnsi="Times New Roman" w:eastAsia="方正仿宋_GBK"/>
          <w:b w:val="0"/>
          <w:sz w:val="24"/>
        </w:rPr>
        <w:t>176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78"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h1178 \h </w:instrText>
      </w:r>
      <w:r>
        <w:rPr>
          <w:rFonts w:ascii="Times New Roman" w:hAnsi="Times New Roman" w:eastAsia="方正仿宋_GBK"/>
          <w:b/>
          <w:sz w:val="24"/>
        </w:rPr>
        <w:fldChar w:fldCharType="separate"/>
      </w:r>
      <w:r>
        <w:rPr>
          <w:rFonts w:ascii="Times New Roman" w:hAnsi="Times New Roman" w:eastAsia="方正仿宋_GBK"/>
          <w:b/>
          <w:sz w:val="24"/>
        </w:rPr>
        <w:t>177</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pPr>
        <w:pStyle w:val="2"/>
        <w:widowControl/>
        <w:spacing w:line="348" w:lineRule="exact" w:before="0" w:after="0"/>
        <w:ind w:firstLine="480"/>
        <w:jc w:val="both"/>
      </w:pPr>
      <w:r>
        <w:rPr>
          <w:rFonts w:ascii="Times New Roman" w:hAnsi="Times New Roman" w:eastAsia="方正仿宋_GBK"/>
          <w:b w:val="0"/>
          <w:sz w:val="24"/>
        </w:rPr>
        <w:t xml:space="preserve">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2"/>
        <w:widowControl/>
        <w:spacing w:line="348" w:lineRule="exact" w:before="0" w:after="0"/>
        <w:ind w:firstLine="480"/>
        <w:jc w:val="both"/>
      </w:pPr>
      <w:r>
        <w:rPr>
          <w:rFonts w:ascii="Times New Roman" w:hAnsi="Times New Roman" w:eastAsia="方正仿宋_GBK"/>
          <w:b w:val="0"/>
          <w:sz w:val="24"/>
        </w:rPr>
        <w:t xml:space="preserve">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pPr>
        <w:pStyle w:val="2"/>
        <w:widowControl/>
        <w:spacing w:line="348" w:lineRule="exact" w:before="0" w:after="0"/>
        <w:ind w:firstLine="480"/>
        <w:jc w:val="both"/>
      </w:pPr>
      <w:r>
        <w:rPr>
          <w:rFonts w:ascii="Times New Roman" w:hAnsi="Times New Roman" w:eastAsia="方正仿宋_GBK"/>
          <w:b w:val="0"/>
          <w:sz w:val="24"/>
        </w:rPr>
        <w:t xml:space="preserve">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pPr>
        <w:pStyle w:val="2"/>
        <w:widowControl/>
        <w:spacing w:line="348" w:lineRule="exact" w:before="0" w:after="0"/>
        <w:ind w:firstLine="480"/>
        <w:jc w:val="both"/>
      </w:pPr>
      <w:r>
        <w:rPr>
          <w:rFonts w:ascii="Times New Roman" w:hAnsi="Times New Roman" w:eastAsia="方正仿宋_GBK"/>
          <w:b w:val="0"/>
          <w:sz w:val="24"/>
        </w:rPr>
        <w:t xml:space="preserve">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pPr>
        <w:pStyle w:val="2"/>
        <w:widowControl/>
        <w:spacing w:line="348" w:lineRule="exact" w:before="0" w:after="0"/>
        <w:ind w:firstLine="480"/>
        <w:jc w:val="both"/>
      </w:pPr>
      <w:r>
        <w:rPr>
          <w:rFonts w:ascii="Times New Roman" w:hAnsi="Times New Roman" w:eastAsia="方正仿宋_GBK"/>
          <w:b w:val="0"/>
          <w:sz w:val="24"/>
        </w:rPr>
        <w:t xml:space="preserve">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pPr>
        <w:pStyle w:val="4"/>
        <w:keepNext/>
        <w:numPr>
          <w:numId w:val="0"/>
        </w:numPr>
        <w:spacing w:line="480" w:lineRule="exact" w:before="160" w:after="120"/>
        <w:ind w:firstLine="0"/>
      </w:pPr>
      <w:bookmarkStart w:id="1024" w:name="h24"/>
      <w:bookmarkStart w:id="25" w:name="主要概念与规范依据"/>
      <w:r>
        <w:rPr>
          <w:rFonts w:ascii="Times New Roman" w:hAnsi="Times New Roman" w:eastAsia="方正仿宋_GBK"/>
          <w:b/>
          <w:sz w:val="32"/>
        </w:rPr>
        <w:t xml:space="preserve">1.2 主要概念与规范依据</w:t>
      </w:r>
      <w:bookmarkEnd w:id="25"/>
      <w:bookmarkEnd w:id="1024"/>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2"/>
        <w:widowControl/>
        <w:spacing w:line="348" w:lineRule="exact" w:before="0" w:after="0"/>
        <w:ind w:firstLine="480"/>
        <w:jc w:val="both"/>
      </w:pPr>
      <w:r>
        <w:rPr>
          <w:rFonts w:ascii="Times New Roman" w:hAnsi="Times New Roman" w:eastAsia="方正仿宋_GBK"/>
          <w:b w:val="0"/>
          <w:sz w:val="24"/>
        </w:rPr>
        <w:t xml:space="preserve">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pPr>
        <w:pStyle w:val="2"/>
        <w:widowControl/>
        <w:spacing w:line="348" w:lineRule="exact" w:before="0" w:after="0"/>
        <w:ind w:firstLine="480"/>
        <w:jc w:val="both"/>
      </w:pPr>
      <w:r>
        <w:rPr>
          <w:rFonts w:ascii="Times New Roman" w:hAnsi="Times New Roman" w:eastAsia="方正仿宋_GBK"/>
          <w:b w:val="0"/>
          <w:sz w:val="24"/>
        </w:rPr>
        <w:t xml:space="preserve">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2"/>
        <w:widowControl/>
        <w:spacing w:line="348" w:lineRule="exact" w:before="0" w:after="0"/>
        <w:ind w:firstLine="480"/>
        <w:jc w:val="both"/>
      </w:pPr>
      <w:r>
        <w:rPr>
          <w:rFonts w:ascii="Times New Roman" w:hAnsi="Times New Roman" w:eastAsia="方正仿宋_GBK"/>
          <w:b w:val="0"/>
          <w:sz w:val="24"/>
        </w:rPr>
        <w:t xml:space="preserve">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pPr>
        <w:pStyle w:val="2"/>
        <w:widowControl/>
        <w:spacing w:line="348" w:lineRule="exact" w:before="0" w:after="0"/>
        <w:ind w:firstLine="480"/>
        <w:jc w:val="both"/>
      </w:pPr>
      <w:r>
        <w:rPr>
          <w:rFonts w:ascii="Times New Roman" w:hAnsi="Times New Roman" w:eastAsia="方正仿宋_GBK"/>
          <w:b w:val="0"/>
          <w:sz w:val="24"/>
        </w:rPr>
        <w:t xml:space="preserve">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本研究参照全寿命周期费用方法，将新增措施初始投资、固定运维及评价期内设备更新费用折算到2021年末，统一计算至2041年[10,13,14]。结果称为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层次分析法、多准则排序和可拓评价可用于比较技术可行方案的其他规划属性[15,16,17,18]。本项目在相同设备和运行约束下，对主变增容、储能配置和10 kV联络三种措施进行联合寻优，比较建设组合的评价期费用现值。弹性方案不限制容载比上限，结合片区源荷条件确定三种措施的配置及容载比取值。工程实施阶段可补充施工条件、土地资源及运行方式的综合评价。</w:t>
      </w:r>
    </w:p>
    <w:p>
      <w:pPr>
        <w:pStyle w:val="2"/>
        <w:widowControl/>
        <w:spacing w:line="348" w:lineRule="exact" w:before="0" w:after="0"/>
        <w:ind w:firstLine="480"/>
        <w:jc w:val="both"/>
      </w:pPr>
      <w:r>
        <w:rPr>
          <w:rFonts w:ascii="Times New Roman" w:hAnsi="Times New Roman" w:eastAsia="方正仿宋_GBK"/>
          <w:b w:val="0"/>
          <w:sz w:val="24"/>
        </w:rPr>
        <w:t xml:space="preserve">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pPr>
        <w:pStyle w:val="2"/>
        <w:widowControl/>
        <w:spacing w:line="348" w:lineRule="exact" w:before="0" w:after="0"/>
        <w:ind w:firstLine="480"/>
        <w:jc w:val="both"/>
      </w:pPr>
      <w:r>
        <w:rPr>
          <w:rFonts w:ascii="Times New Roman" w:hAnsi="Times New Roman" w:eastAsia="方正仿宋_GBK"/>
          <w:b w:val="0"/>
          <w:sz w:val="24"/>
        </w:rPr>
        <w:t xml:space="preserve">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pPr>
        <w:pStyle w:val="2"/>
        <w:widowControl/>
        <w:spacing w:line="348" w:lineRule="exact" w:before="0" w:after="0"/>
        <w:ind w:firstLine="480"/>
        <w:jc w:val="both"/>
      </w:pPr>
      <w:r>
        <w:rPr>
          <w:rFonts w:ascii="Times New Roman" w:hAnsi="Times New Roman" w:eastAsia="方正仿宋_GBK"/>
          <w:b w:val="0"/>
          <w:sz w:val="24"/>
        </w:rPr>
        <w:t xml:space="preserve">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pPr>
        <w:pStyle w:val="2"/>
        <w:keepNext/>
        <w:spacing w:line="280" w:lineRule="exact" w:before="120" w:after="80"/>
        <w:ind w:firstLine="0"/>
        <w:jc w:val="center"/>
      </w:pPr>
      <w:r>
        <w:rPr>
          <w:rFonts w:ascii="Times New Roman" w:hAnsi="Times New Roman" w:eastAsia="宋体"/>
          <w:b w:val="0"/>
          <w:sz w:val="21"/>
        </w:rPr>
        <w:t xml:space="preserve">表1-1 规划依据与本研究技术环节的对应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相关内容</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本研究的落实环节</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5729—2023《配电网规划设计技术导则》[5]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容量规划、供电区域和容载比建议</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确定区域统计与容量规划的基本关系，结合设备条件进行技术经济比较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2025年4月《配电网规划设计技术导则（修订稿）》[8]</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装机、电量渗透指标，容载比建议与反向容量要求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定义核心指标，开展逐年导则对照，并设置相应反向承载限值</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DL/T 2041—2025《分布式电源接入电力系统承载力评估导则》[12]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系统级、设备级承载力及结果校核</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区分区域源荷规模和设备承载任务，将功率约束落实到站点</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变电容载比与下级中压网络关系研究[7]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站内转带、站间转带和N-1供电能力</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联合校核通道、接收馈线和邻站剩余主变能力</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多电压等级容载比及精细化参数研究[9,20]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层级协同、负荷分布与容量储备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组织五项推广参数，以实际设备配置形成条件推荐范围</w:t>
            </w:r>
          </w:p>
        </w:tc>
      </w:tr>
    </w:tbl>
    <w:p>
      <w:pPr>
        <w:pStyle w:val="2"/>
        <w:widowControl/>
        <w:spacing w:line="348" w:lineRule="exact" w:before="0" w:after="0"/>
        <w:ind w:firstLine="480"/>
        <w:jc w:val="both"/>
      </w:pPr>
      <w:r>
        <w:rPr>
          <w:rFonts w:ascii="Times New Roman" w:hAnsi="Times New Roman" w:eastAsia="方正仿宋_GBK"/>
          <w:b w:val="0"/>
          <w:sz w:val="24"/>
        </w:rPr>
        <w:t xml:space="preserve">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pPr>
        <w:pStyle w:val="4"/>
        <w:keepNext/>
        <w:numPr>
          <w:numId w:val="0"/>
        </w:numPr>
        <w:spacing w:line="480" w:lineRule="exact" w:before="160" w:after="120"/>
        <w:ind w:firstLine="0"/>
      </w:pPr>
      <w:bookmarkStart w:id="1047" w:name="h47"/>
      <w:bookmarkStart w:id="30" w:name="研究范围与对象"/>
      <w:r>
        <w:rPr>
          <w:rFonts w:ascii="Times New Roman" w:hAnsi="Times New Roman" w:eastAsia="方正仿宋_GBK"/>
          <w:b/>
          <w:sz w:val="32"/>
        </w:rPr>
        <w:t xml:space="preserve">1.3 研究范围与对象</w:t>
      </w:r>
      <w:bookmarkEnd w:id="30"/>
      <w:bookmarkEnd w:id="1047"/>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5729—2023第6.3.3条，以行政区县作为最小统计分析范围[5]。本研究选取邳州和市区，电网运行统计与规划优化均按110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pPr>
        <w:pStyle w:val="2"/>
        <w:widowControl/>
        <w:spacing w:line="348" w:lineRule="exact" w:before="0" w:after="0"/>
        <w:ind w:firstLine="480"/>
        <w:jc w:val="both"/>
      </w:pPr>
      <w:r>
        <w:rPr>
          <w:rFonts w:ascii="Times New Roman" w:hAnsi="Times New Roman" w:eastAsia="方正仿宋_GBK"/>
          <w:b w:val="0"/>
          <w:sz w:val="24"/>
        </w:rPr>
        <w:t xml:space="preserve">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pPr>
        <w:pStyle w:val="2"/>
        <w:widowControl/>
        <w:spacing w:line="348" w:lineRule="exact" w:before="0" w:after="0"/>
        <w:ind w:firstLine="480"/>
        <w:jc w:val="both"/>
      </w:pPr>
      <w:r>
        <w:rPr>
          <w:rFonts w:ascii="Times New Roman" w:hAnsi="Times New Roman" w:eastAsia="方正仿宋_GBK"/>
          <w:b w:val="0"/>
          <w:sz w:val="24"/>
        </w:rPr>
        <w:t xml:space="preserve">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可选额定容量逐台配置，使地区主变总容量接近基期年网供最大负荷的两倍。基期负荷取2021年实际统计值。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经济评价以2021年末为折现基准，评价截止于2041年。仿真第1—4年在计算文件中分别标记为2022—2025年，用于统一投运时间和现金流折现。主变、线路和储能的寿命、运维率采用第四章列明的研究参数[10,13,14]。</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2"/>
        <w:widowControl/>
        <w:spacing w:line="348" w:lineRule="exact" w:before="0" w:after="0"/>
        <w:ind w:firstLine="480"/>
        <w:jc w:val="both"/>
      </w:pPr>
      <w:r>
        <w:rPr>
          <w:rFonts w:ascii="Times New Roman" w:hAnsi="Times New Roman" w:eastAsia="方正仿宋_GBK"/>
          <w:b w:val="0"/>
          <w:sz w:val="24"/>
        </w:rPr>
        <w:t xml:space="preserve">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pPr>
        <w:pStyle w:val="2"/>
        <w:widowControl/>
        <w:spacing w:line="348" w:lineRule="exact" w:before="0" w:after="0"/>
        <w:ind w:firstLine="480"/>
        <w:jc w:val="both"/>
      </w:pPr>
      <w:r>
        <w:rPr>
          <w:rFonts w:ascii="Times New Roman" w:hAnsi="Times New Roman" w:eastAsia="方正仿宋_GBK"/>
          <w:b w:val="0"/>
          <w:sz w:val="24"/>
        </w:rPr>
        <w:t xml:space="preserve">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pPr>
        <w:pStyle w:val="4"/>
        <w:keepNext/>
        <w:numPr>
          <w:numId w:val="0"/>
        </w:numPr>
        <w:spacing w:line="480" w:lineRule="exact" w:before="160" w:after="120"/>
        <w:ind w:firstLine="0"/>
      </w:pPr>
      <w:bookmarkStart w:id="1064" w:name="h64"/>
      <w:bookmarkStart w:id="34" w:name="研究目标与内容"/>
      <w:r>
        <w:rPr>
          <w:rFonts w:ascii="Times New Roman" w:hAnsi="Times New Roman" w:eastAsia="方正仿宋_GBK"/>
          <w:b/>
          <w:sz w:val="32"/>
        </w:rPr>
        <w:t xml:space="preserve">1.4 研究目标与内容</w:t>
      </w:r>
      <w:bookmarkEnd w:id="34"/>
      <w:bookmarkEnd w:id="1064"/>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2022—2035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最后，第3.5节从十三项候选指标出发，依次评价其与容载比的关联及指标间的信息重叠，确定五项推广参数。第五章按相应输入区间归纳容载比计算范围，并结合设备措施与费用解释配置差异。</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MVA等设备可保留，新购主变结合国网通用设备，采用31.50、50、63、80 MVA等候选规格并按站限制；扩建、联络投运状态及储能柜数为整数决策。以新增措施评价期费用现值为目标，联合寻优主变增容、储能配置与10 kV联络，各方案共同满足正常及主变N-1等约束。</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pPr>
        <w:pStyle w:val="4"/>
        <w:keepNext/>
        <w:numPr>
          <w:numId w:val="0"/>
        </w:numPr>
        <w:spacing w:line="480" w:lineRule="exact" w:before="160" w:after="120"/>
        <w:ind w:firstLine="0"/>
      </w:pPr>
      <w:bookmarkStart w:id="1076" w:name="h76"/>
      <w:bookmarkStart w:id="37" w:name="研究方法与技术路线"/>
      <w:r>
        <w:rPr>
          <w:rFonts w:ascii="Times New Roman" w:hAnsi="Times New Roman" w:eastAsia="方正仿宋_GBK"/>
          <w:b/>
          <w:sz w:val="32"/>
        </w:rPr>
        <w:t xml:space="preserve">1.5 研究方法与技术路线</w:t>
      </w:r>
      <w:bookmarkEnd w:id="37"/>
      <w:bookmarkEnd w:id="1076"/>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年最大净负荷平均增长率按2021—2025年起止负荷之比开四次方计算。地区案例直接使用2022—2025年逐年实际负荷，保留年度回落，年最大净负荷平均增长率用于概括发展水平及设置推广情景。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632549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63254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92" w:name="h92"/>
      <w:bookmarkStart w:id="43" w:name="研究成果及应用"/>
      <w:r>
        <w:rPr>
          <w:rFonts w:ascii="Times New Roman" w:hAnsi="Times New Roman" w:eastAsia="方正仿宋_GBK"/>
          <w:b/>
          <w:sz w:val="32"/>
        </w:rPr>
        <w:t xml:space="preserve">1.6 研究成果及应用</w:t>
      </w:r>
      <w:bookmarkEnd w:id="43"/>
      <w:bookmarkEnd w:id="10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逐年规划方案，给出年度主变容量、采购规模、储能配置、负荷转接及评价期费用。通用推荐矩阵集中列明电缆造价及储能支撑条件，分别给出三个负荷分散系数下的完整源荷与转供区间，典型场景再以细节点解释具体配置。</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95" w:name="h95"/>
      <w:bookmarkStart w:id="44" w:name="第二章-国内外研究现状"/>
      <w:r>
        <w:rPr>
          <w:rFonts w:ascii="Times New Roman" w:hAnsi="Times New Roman" w:eastAsia="方正仿宋_GBK"/>
          <w:b/>
          <w:sz w:val="36"/>
        </w:rPr>
        <w:t xml:space="preserve">第二章 国内外研究现状</w:t>
      </w:r>
      <w:bookmarkEnd w:id="44"/>
      <w:bookmarkEnd w:id="1095"/>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98" w:name="h98"/>
      <w:bookmarkStart w:id="45" w:name="国外研究现状"/>
      <w:r>
        <w:rPr>
          <w:rFonts w:ascii="Times New Roman" w:hAnsi="Times New Roman" w:eastAsia="方正仿宋_GBK"/>
          <w:b/>
          <w:sz w:val="32"/>
        </w:rPr>
        <w:t xml:space="preserve">2.1 国外研究现状</w:t>
      </w:r>
      <w:bookmarkEnd w:id="45"/>
      <w:bookmarkEnd w:id="1098"/>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场景生成（夜间太阳辐照度设为零等物理约束）刻画源侧时序不确定性，以麻雀搜索算法寻优最大承载力，为承载力计算提供符合物理条件的出力场景[24]。</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20%～34%，说明主动支撑及稳定约束对接入能力的影响[26]。</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23%，为以灵活资源平抑净负荷爬坡提供依据[27]。</w:t>
      </w:r>
    </w:p>
    <w:p>
      <w:pPr>
        <w:pStyle w:val="2"/>
        <w:widowControl/>
        <w:spacing w:line="348" w:lineRule="exact" w:before="0" w:after="0"/>
        <w:ind w:firstLine="480"/>
        <w:jc w:val="both"/>
      </w:pPr>
      <w:r>
        <w:rPr>
          <w:rFonts w:ascii="Times New Roman" w:hAnsi="Times New Roman" w:eastAsia="方正仿宋_GBK"/>
          <w:b w:val="0"/>
          <w:sz w:val="24"/>
        </w:rPr>
        <w:t xml:space="preserve">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光伏有功削减、有载分接开关调节（OLTC）、配网重构及多柔性资源协调四类电压越限治理手段，并讨论了协调控制中调节时序与经济性考虑不足，以及低压网络模型简化对分析结果的影响[30]。</w:t>
      </w:r>
    </w:p>
    <w:p>
      <w:pPr>
        <w:pStyle w:val="2"/>
        <w:widowControl/>
        <w:spacing w:line="348" w:lineRule="exact" w:before="0" w:after="0"/>
        <w:ind w:firstLine="480"/>
        <w:jc w:val="both"/>
      </w:pPr>
      <w:r>
        <w:rPr>
          <w:rFonts w:ascii="Times New Roman" w:hAnsi="Times New Roman" w:eastAsia="方正仿宋_GBK"/>
          <w:b w:val="0"/>
          <w:sz w:val="24"/>
        </w:rPr>
        <w:t xml:space="preserve">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w:t>
      </w:r>
      <w:r>
        <w:rPr>
          <w:rFonts w:ascii="Times New Roman" w:hAnsi="Times New Roman" w:eastAsia="方正仿宋_GBK"/>
          <w:b w:val="0"/>
          <w:sz w:val="24"/>
        </w:rPr>
        <w:t xml:space="preserve">“</w:t>
      </w:r>
      <w:r>
        <w:rPr>
          <w:rFonts w:ascii="Times New Roman" w:hAnsi="Times New Roman" w:eastAsia="方正仿宋_GBK"/>
          <w:b w:val="0"/>
          <w:sz w:val="24"/>
        </w:rPr>
        <w:t xml:space="preserve">净负荷有多低</w:t>
      </w:r>
      <w:r>
        <w:rPr>
          <w:rFonts w:ascii="Times New Roman" w:hAnsi="Times New Roman" w:eastAsia="方正仿宋_GBK"/>
          <w:b w:val="0"/>
          <w:sz w:val="24"/>
        </w:rPr>
        <w:t xml:space="preserve">”</w:t>
      </w:r>
      <w:r>
        <w:rPr>
          <w:rFonts w:ascii="Times New Roman" w:hAnsi="Times New Roman" w:eastAsia="方正仿宋_GBK"/>
          <w:b w:val="0"/>
          <w:sz w:val="24"/>
        </w:rPr>
        <w:t xml:space="preserve">和</w:t>
      </w:r>
      <w:r>
        <w:rPr>
          <w:rFonts w:ascii="Times New Roman" w:hAnsi="Times New Roman" w:eastAsia="方正仿宋_GBK"/>
          <w:b w:val="0"/>
          <w:sz w:val="24"/>
        </w:rPr>
        <w:t xml:space="preserve">“</w:t>
      </w:r>
      <w:r>
        <w:rPr>
          <w:rFonts w:ascii="Times New Roman" w:hAnsi="Times New Roman" w:eastAsia="方正仿宋_GBK"/>
          <w:b w:val="0"/>
          <w:sz w:val="24"/>
        </w:rPr>
        <w:t xml:space="preserve">相邻时段变化有多快</w:t>
      </w:r>
      <w:r>
        <w:rPr>
          <w:rFonts w:ascii="Times New Roman" w:hAnsi="Times New Roman" w:eastAsia="方正仿宋_GBK"/>
          <w:b w:val="0"/>
          <w:sz w:val="24"/>
        </w:rPr>
        <w:t xml:space="preserve">”</w:t>
      </w:r>
      <w:r>
        <w:rPr>
          <w:rFonts w:ascii="Times New Roman" w:hAnsi="Times New Roman" w:eastAsia="方正仿宋_GBK"/>
          <w:b w:val="0"/>
          <w:sz w:val="24"/>
        </w:rPr>
        <w:t xml:space="preserve">分开表达，分别对应低谷吸收任务与调节速度要求。</w:t>
      </w:r>
    </w:p>
    <w:p>
      <w:pPr>
        <w:pStyle w:val="2"/>
        <w:widowControl/>
        <w:spacing w:line="348" w:lineRule="exact" w:before="0" w:after="0"/>
        <w:ind w:firstLine="480"/>
        <w:jc w:val="both"/>
      </w:pPr>
      <w:r>
        <w:rPr>
          <w:rFonts w:ascii="Times New Roman" w:hAnsi="Times New Roman" w:eastAsia="方正仿宋_GBK"/>
          <w:b w:val="0"/>
          <w:sz w:val="24"/>
        </w:rPr>
        <w:t xml:space="preserve">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pPr>
        <w:pStyle w:val="2"/>
        <w:widowControl/>
        <w:spacing w:line="348" w:lineRule="exact" w:before="0" w:after="0"/>
        <w:ind w:firstLine="480"/>
        <w:jc w:val="both"/>
      </w:pPr>
      <w:r>
        <w:rPr>
          <w:rFonts w:ascii="Times New Roman" w:hAnsi="Times New Roman" w:eastAsia="方正仿宋_GBK"/>
          <w:b w:val="0"/>
          <w:sz w:val="24"/>
        </w:rPr>
        <w:t xml:space="preserve">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pPr>
        <w:pStyle w:val="2"/>
        <w:widowControl/>
        <w:spacing w:line="348" w:lineRule="exact" w:before="0" w:after="0"/>
        <w:ind w:firstLine="480"/>
        <w:jc w:val="both"/>
      </w:pPr>
      <w:r>
        <w:rPr>
          <w:rFonts w:ascii="Times New Roman" w:hAnsi="Times New Roman" w:eastAsia="方正仿宋_GBK"/>
          <w:b w:val="0"/>
          <w:sz w:val="24"/>
        </w:rPr>
        <w:t xml:space="preserve">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渗透率），且其孤岛恢复方案采用构网型光伏与储能[37]。</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pPr>
        <w:pStyle w:val="2"/>
        <w:widowControl/>
        <w:spacing w:line="348" w:lineRule="exact" w:before="0" w:after="0"/>
        <w:ind w:firstLine="480"/>
        <w:jc w:val="both"/>
      </w:pPr>
      <w:r>
        <w:rPr>
          <w:rFonts w:ascii="Times New Roman" w:hAnsi="Times New Roman" w:eastAsia="方正仿宋_GBK"/>
          <w:b w:val="0"/>
          <w:sz w:val="24"/>
        </w:rPr>
        <w:t xml:space="preserve">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pPr>
        <w:pStyle w:val="4"/>
        <w:keepNext/>
        <w:numPr>
          <w:numId w:val="0"/>
        </w:numPr>
        <w:spacing w:line="480" w:lineRule="exact" w:before="160" w:after="120"/>
        <w:ind w:firstLine="0"/>
      </w:pPr>
      <w:bookmarkStart w:id="1122" w:name="h122"/>
      <w:bookmarkStart w:id="50" w:name="国内研究现状"/>
      <w:r>
        <w:rPr>
          <w:rFonts w:ascii="Times New Roman" w:hAnsi="Times New Roman" w:eastAsia="方正仿宋_GBK"/>
          <w:b/>
          <w:sz w:val="32"/>
        </w:rPr>
        <w:t xml:space="preserve">2.2 国内研究现状</w:t>
      </w:r>
      <w:bookmarkEnd w:id="50"/>
      <w:bookmarkEnd w:id="112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pPr>
        <w:pStyle w:val="2"/>
        <w:widowControl/>
        <w:spacing w:line="348" w:lineRule="exact" w:before="0" w:after="0"/>
        <w:ind w:firstLine="480"/>
        <w:jc w:val="both"/>
      </w:pPr>
      <w:r>
        <w:rPr>
          <w:rFonts w:ascii="Times New Roman" w:hAnsi="Times New Roman" w:eastAsia="方正仿宋_GBK"/>
          <w:b w:val="0"/>
          <w:sz w:val="24"/>
        </w:rPr>
        <w:t xml:space="preserve">指标精细化研究尝试将容量储备与可靠性及负荷特征衔接。刘文霞等针对导则容载比区间较宽、与可靠性关联不足的问题，提出以理想值为基准的</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用供电可靠性与发展阶段评价区域充裕性[48]。刘炜彬等则从负荷分散系数、储备系数、变压器安全运行率和平均功率因数入手，采用BP神经网络拟合负荷同时率，并将N-1通过率纳入安全运行率，实现精细化、差异化配置[20]。</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pPr>
        <w:pStyle w:val="2"/>
        <w:widowControl/>
        <w:spacing w:line="348" w:lineRule="exact" w:before="0" w:after="0"/>
        <w:ind w:firstLine="480"/>
        <w:jc w:val="both"/>
      </w:pPr>
      <w:r>
        <w:rPr>
          <w:rFonts w:ascii="Times New Roman" w:hAnsi="Times New Roman" w:eastAsia="方正仿宋_GBK"/>
          <w:b w:val="0"/>
          <w:sz w:val="24"/>
        </w:rPr>
        <w:t xml:space="preserve">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pPr>
        <w:pStyle w:val="2"/>
        <w:widowControl/>
        <w:spacing w:line="348" w:lineRule="exact" w:before="0" w:after="0"/>
        <w:ind w:firstLine="480"/>
        <w:jc w:val="both"/>
      </w:pPr>
      <w:r>
        <w:rPr>
          <w:rFonts w:ascii="Times New Roman" w:hAnsi="Times New Roman" w:eastAsia="方正仿宋_GBK"/>
          <w:b w:val="0"/>
          <w:sz w:val="24"/>
        </w:rPr>
        <w:t xml:space="preserve">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pPr>
        <w:pStyle w:val="2"/>
        <w:widowControl/>
        <w:spacing w:line="348" w:lineRule="exact" w:before="0" w:after="0"/>
        <w:ind w:firstLine="480"/>
        <w:jc w:val="both"/>
      </w:pPr>
      <w:r>
        <w:rPr>
          <w:rFonts w:ascii="Times New Roman" w:hAnsi="Times New Roman" w:eastAsia="方正仿宋_GBK"/>
          <w:b w:val="0"/>
          <w:sz w:val="24"/>
        </w:rPr>
        <w:t xml:space="preserve">肖峻等的TSC模型则从网络支援解释容量利用。其研究既约束馈线接收能力，也约束相邻主变承接能力，并通过改变联络位置和规模考察网络强度[7]。这使</w:t>
      </w:r>
      <w:r>
        <w:rPr>
          <w:rFonts w:ascii="Times New Roman" w:hAnsi="Times New Roman" w:eastAsia="方正仿宋_GBK"/>
          <w:b w:val="0"/>
          <w:sz w:val="24"/>
        </w:rPr>
        <w:t xml:space="preserve">“</w:t>
      </w:r>
      <w:r>
        <w:rPr>
          <w:rFonts w:ascii="Times New Roman" w:hAnsi="Times New Roman" w:eastAsia="方正仿宋_GBK"/>
          <w:b w:val="0"/>
          <w:sz w:val="24"/>
        </w:rPr>
        <w:t xml:space="preserve">下级网络较强</w:t>
      </w:r>
      <w:r>
        <w:rPr>
          <w:rFonts w:ascii="Times New Roman" w:hAnsi="Times New Roman" w:eastAsia="方正仿宋_GBK"/>
          <w:b w:val="0"/>
          <w:sz w:val="24"/>
        </w:rPr>
        <w:t xml:space="preserve">”</w:t>
      </w:r>
      <w:r>
        <w:rPr>
          <w:rFonts w:ascii="Times New Roman" w:hAnsi="Times New Roman" w:eastAsia="方正仿宋_GBK"/>
          <w:b w:val="0"/>
          <w:sz w:val="24"/>
        </w:rPr>
        <w:t xml:space="preserve">具有可计算的通道与设备含义。将该思路用于建设比选时，既有联络应按可用能力进入约束，新增联络再按工程投资进入目标函数，网络改善所减少的主变需求才能与建设费用相互对应。</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，并指出单电压等级独立评估会使低压侧承载力估计过于乐观[21]。</w:t>
      </w:r>
    </w:p>
    <w:p>
      <w:pPr>
        <w:pStyle w:val="2"/>
        <w:widowControl/>
        <w:spacing w:line="348" w:lineRule="exact" w:before="0" w:after="0"/>
        <w:ind w:firstLine="480"/>
        <w:jc w:val="both"/>
      </w:pPr>
      <w:r>
        <w:rPr>
          <w:rFonts w:ascii="Times New Roman" w:hAnsi="Times New Roman" w:eastAsia="方正仿宋_GBK"/>
          <w:b w:val="0"/>
          <w:sz w:val="24"/>
        </w:rPr>
        <w:t xml:space="preserve">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pPr>
        <w:pStyle w:val="2"/>
        <w:widowControl/>
        <w:spacing w:line="348" w:lineRule="exact" w:before="0" w:after="0"/>
        <w:ind w:firstLine="480"/>
        <w:jc w:val="both"/>
      </w:pPr>
      <w:r>
        <w:rPr>
          <w:rFonts w:ascii="Times New Roman" w:hAnsi="Times New Roman" w:eastAsia="方正仿宋_GBK"/>
          <w:b w:val="0"/>
          <w:sz w:val="24"/>
        </w:rPr>
        <w:t xml:space="preserve">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，通过运行评价系数反映接入容量的质量差异[56]。</w:t>
      </w:r>
    </w:p>
    <w:p>
      <w:pPr>
        <w:pStyle w:val="2"/>
        <w:widowControl/>
        <w:spacing w:line="348" w:lineRule="exact" w:before="0" w:after="0"/>
        <w:ind w:firstLine="480"/>
        <w:jc w:val="both"/>
      </w:pPr>
      <w:r>
        <w:rPr>
          <w:rFonts w:ascii="Times New Roman" w:hAnsi="Times New Roman" w:eastAsia="方正仿宋_GBK"/>
          <w:b w:val="0"/>
          <w:sz w:val="24"/>
        </w:rPr>
        <w:t xml:space="preserve">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pPr>
        <w:pStyle w:val="2"/>
        <w:widowControl/>
        <w:spacing w:line="348" w:lineRule="exact" w:before="0" w:after="0"/>
        <w:ind w:firstLine="480"/>
        <w:jc w:val="both"/>
      </w:pPr>
      <w:r>
        <w:rPr>
          <w:rFonts w:ascii="Times New Roman" w:hAnsi="Times New Roman" w:eastAsia="方正仿宋_GBK"/>
          <w:b w:val="0"/>
          <w:sz w:val="24"/>
        </w:rPr>
        <w:t xml:space="preserve">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pPr>
        <w:pStyle w:val="2"/>
        <w:widowControl/>
        <w:spacing w:line="348" w:lineRule="exact" w:before="0" w:after="0"/>
        <w:ind w:firstLine="480"/>
        <w:jc w:val="both"/>
      </w:pPr>
      <w:r>
        <w:rPr>
          <w:rFonts w:ascii="Times New Roman" w:hAnsi="Times New Roman" w:eastAsia="方正仿宋_GBK"/>
          <w:b w:val="0"/>
          <w:sz w:val="24"/>
        </w:rPr>
        <w:t xml:space="preserve">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大停电经验，分析高比例新能源接入后向主网反向输送功率的现象，并提示防孤岛与频率保护设定的重要性[57]。</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，为分析江苏地区负荷与气温的关系提供参考[58]。</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风险评估指标体系并提出分层分区紧急切负荷策略[59]，吕达夫等以多场景源荷不确定性模型评估承载能力、得出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[60]，刘克权等则以甘肃为例定性论证高比例新能源下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等工程问题[61]。</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pPr>
        <w:pStyle w:val="2"/>
        <w:widowControl/>
        <w:spacing w:line="348" w:lineRule="exact" w:before="0" w:after="0"/>
        <w:ind w:firstLine="480"/>
        <w:jc w:val="both"/>
      </w:pPr>
      <w:r>
        <w:rPr>
          <w:rFonts w:ascii="Times New Roman" w:hAnsi="Times New Roman" w:eastAsia="方正仿宋_GBK"/>
          <w:b w:val="0"/>
          <w:sz w:val="24"/>
        </w:rPr>
        <w:t xml:space="preserve">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pPr>
        <w:pStyle w:val="2"/>
        <w:widowControl/>
        <w:spacing w:line="348" w:lineRule="exact" w:before="0" w:after="0"/>
        <w:ind w:firstLine="480"/>
        <w:jc w:val="both"/>
      </w:pPr>
      <w:r>
        <w:rPr>
          <w:rFonts w:ascii="Times New Roman" w:hAnsi="Times New Roman" w:eastAsia="方正仿宋_GBK"/>
          <w:b w:val="0"/>
          <w:sz w:val="24"/>
        </w:rPr>
        <w:t xml:space="preserve">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pPr>
        <w:pStyle w:val="2"/>
        <w:widowControl/>
        <w:spacing w:line="348" w:lineRule="exact" w:before="0" w:after="0"/>
        <w:ind w:firstLine="480"/>
        <w:jc w:val="both"/>
      </w:pPr>
      <w:r>
        <w:rPr>
          <w:rFonts w:ascii="Times New Roman" w:hAnsi="Times New Roman" w:eastAsia="方正仿宋_GBK"/>
          <w:b w:val="0"/>
          <w:sz w:val="24"/>
        </w:rPr>
        <w:t xml:space="preserve">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2"/>
        <w:widowControl/>
        <w:spacing w:line="348" w:lineRule="exact" w:before="0" w:after="0"/>
        <w:ind w:firstLine="480"/>
        <w:jc w:val="both"/>
      </w:pPr>
      <w:r>
        <w:rPr>
          <w:rFonts w:ascii="Times New Roman" w:hAnsi="Times New Roman" w:eastAsia="方正仿宋_GBK"/>
          <w:b w:val="0"/>
          <w:sz w:val="24"/>
        </w:rPr>
        <w:t xml:space="preserve">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pPr>
        <w:pStyle w:val="2"/>
        <w:widowControl/>
        <w:spacing w:line="348" w:lineRule="exact" w:before="0" w:after="0"/>
        <w:ind w:firstLine="480"/>
        <w:jc w:val="both"/>
      </w:pPr>
      <w:r>
        <w:rPr>
          <w:rFonts w:ascii="Times New Roman" w:hAnsi="Times New Roman" w:eastAsia="方正仿宋_GBK"/>
          <w:b w:val="0"/>
          <w:sz w:val="24"/>
        </w:rPr>
        <w:t xml:space="preserve">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机制可用于剔除不满足关键要求的规划方案[18]；汪志才等的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二阶锥松弛做多层级配电网消纳空间分解测算，论证层间协调可提升总消纳空间。其算例采用IEEE 6/7/9/10/12/15合成测试系统检验多层级协调方法[75]。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71" w:name="h171"/>
      <w:bookmarkStart w:id="61" w:name="国内外研究对比与述评"/>
      <w:r>
        <w:rPr>
          <w:rFonts w:ascii="Times New Roman" w:hAnsi="Times New Roman" w:eastAsia="方正仿宋_GBK"/>
          <w:b/>
          <w:sz w:val="32"/>
        </w:rPr>
        <w:t xml:space="preserve">2.3 国内外研究对比与述评</w:t>
      </w:r>
      <w:bookmarkEnd w:id="61"/>
      <w:bookmarkEnd w:id="1171"/>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2"/>
        <w:widowControl/>
        <w:spacing w:line="348" w:lineRule="exact" w:before="0" w:after="0"/>
        <w:ind w:firstLine="480"/>
        <w:jc w:val="both"/>
      </w:pPr>
      <w:r>
        <w:rPr>
          <w:rFonts w:ascii="Times New Roman" w:hAnsi="Times New Roman" w:eastAsia="方正仿宋_GBK"/>
          <w:b w:val="0"/>
          <w:sz w:val="24"/>
        </w:rPr>
        <w:t xml:space="preserve">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pPr>
        <w:pStyle w:val="2"/>
        <w:widowControl/>
        <w:spacing w:line="348" w:lineRule="exact" w:before="0" w:after="0"/>
        <w:ind w:firstLine="480"/>
        <w:jc w:val="both"/>
      </w:pPr>
      <w:r>
        <w:rPr>
          <w:rFonts w:ascii="Times New Roman" w:hAnsi="Times New Roman" w:eastAsia="方正仿宋_GBK"/>
          <w:b w:val="0"/>
          <w:sz w:val="24"/>
        </w:rPr>
        <w:t xml:space="preserve">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2"/>
        <w:widowControl/>
        <w:spacing w:line="348" w:lineRule="exact" w:before="0" w:after="0"/>
        <w:ind w:firstLine="480"/>
        <w:jc w:val="both"/>
      </w:pPr>
      <w:r>
        <w:rPr>
          <w:rFonts w:ascii="Times New Roman" w:hAnsi="Times New Roman" w:eastAsia="方正仿宋_GBK"/>
          <w:b w:val="0"/>
          <w:sz w:val="24"/>
        </w:rPr>
        <w:t xml:space="preserve">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pPr>
        <w:pStyle w:val="2"/>
        <w:widowControl/>
        <w:spacing w:line="348" w:lineRule="exact" w:before="0" w:after="0"/>
        <w:ind w:firstLine="480"/>
        <w:jc w:val="both"/>
      </w:pPr>
      <w:r>
        <w:rPr>
          <w:rFonts w:ascii="Times New Roman" w:hAnsi="Times New Roman" w:eastAsia="方正仿宋_GBK"/>
          <w:b w:val="0"/>
          <w:sz w:val="24"/>
        </w:rPr>
        <w:t xml:space="preserve">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pPr>
        <w:pStyle w:val="2"/>
        <w:keepNext/>
        <w:spacing w:line="280" w:lineRule="exact" w:before="120" w:after="80"/>
        <w:ind w:firstLine="0"/>
        <w:jc w:val="center"/>
      </w:pPr>
      <w:r>
        <w:rPr>
          <w:rFonts w:ascii="Times New Roman" w:hAnsi="Times New Roman" w:eastAsia="宋体"/>
          <w:b w:val="0"/>
          <w:sz w:val="21"/>
        </w:rPr>
        <w:t xml:space="preserve">表2-2 灵活资源与网架经济比较的主要条件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比较对象及技术条件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经济评价关注点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对本项目的启示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Martínez等[33]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实际中压网络，持续负荷增长下的电池与传统扩网</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专用储能费用、延缓投资及其他应用条件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将增长路径与容量缺口相联系，按投运时点比较工程组合</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Holweger等[34]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低压网络，用户电池、弃光与无功控制对比网架加强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灵活资源调用与网架投资的年化费用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先明确可调用措施及评价条件，再解释替代结论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Xu等[10]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分布式储能选址、经济运行与寿命费用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储能配置及全寿命周期成本</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同时考虑设备规模、有效支撑能力与评价期费用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陈浩等[11]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多电压等级主变类型与台数选择</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技术约束下的容量配置经济性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按允许的主变规格和台数配置容量，采购费用与配置对应</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王凯亮等[9]</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多电压等级变电站与线路协同规划</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容载比配比与整体建设投资</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同时比较变电和网络建设，分析各项工程的费用变化</w:t>
            </w:r>
          </w:p>
        </w:tc>
      </w:tr>
    </w:tbl>
    <w:p>
      <w:pPr>
        <w:pStyle w:val="2"/>
        <w:widowControl/>
        <w:spacing w:line="348" w:lineRule="exact" w:before="0" w:after="0"/>
        <w:ind w:firstLine="480"/>
        <w:jc w:val="both"/>
      </w:pPr>
      <w:r>
        <w:rPr>
          <w:rFonts w:ascii="Times New Roman" w:hAnsi="Times New Roman" w:eastAsia="方正仿宋_GBK"/>
          <w:b w:val="0"/>
          <w:sz w:val="24"/>
        </w:rPr>
        <w:t xml:space="preserve">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pPr>
        <w:pStyle w:val="2"/>
        <w:widowControl/>
        <w:spacing w:line="348" w:lineRule="exact" w:before="0" w:after="0"/>
        <w:ind w:firstLine="480"/>
        <w:jc w:val="both"/>
      </w:pPr>
      <w:r>
        <w:rPr>
          <w:rFonts w:ascii="Times New Roman" w:hAnsi="Times New Roman" w:eastAsia="方正仿宋_GBK"/>
          <w:b w:val="0"/>
          <w:sz w:val="24"/>
        </w:rPr>
        <w:t xml:space="preserve">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pPr>
        <w:pStyle w:val="4"/>
        <w:keepNext/>
        <w:numPr>
          <w:numId w:val="0"/>
        </w:numPr>
        <w:spacing w:line="480" w:lineRule="exact" w:before="160" w:after="120"/>
        <w:ind w:firstLine="0"/>
      </w:pPr>
      <w:bookmarkStart w:id="1193" w:name="h193"/>
      <w:bookmarkStart w:id="65" w:name="容载比与供电能力的理论联系"/>
      <w:r>
        <w:rPr>
          <w:rFonts w:ascii="Times New Roman" w:hAnsi="Times New Roman" w:eastAsia="方正仿宋_GBK"/>
          <w:b/>
          <w:sz w:val="32"/>
        </w:rPr>
        <w:t xml:space="preserve">2.4 容载比与供电能力的理论联系</w:t>
      </w:r>
      <w:bookmarkEnd w:id="65"/>
      <w:bookmarkEnd w:id="119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pPr>
        <w:pStyle w:val="2"/>
        <w:widowControl/>
        <w:spacing w:line="348" w:lineRule="exact" w:before="0" w:after="0"/>
        <w:ind w:firstLine="480"/>
        <w:jc w:val="both"/>
      </w:pPr>
      <w:r>
        <w:rPr>
          <w:rFonts w:ascii="Times New Roman" w:hAnsi="Times New Roman" w:eastAsia="方正仿宋_GBK"/>
          <w:b w:val="0"/>
          <w:sz w:val="24"/>
        </w:rPr>
        <w:t xml:space="preserve">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pPr>
        <w:pStyle w:val="2"/>
        <w:widowControl/>
        <w:spacing w:line="348" w:lineRule="exact" w:before="0" w:after="0"/>
        <w:ind w:firstLine="480"/>
        <w:jc w:val="both"/>
      </w:pPr>
      <w:r>
        <w:rPr>
          <w:rFonts w:ascii="Times New Roman" w:hAnsi="Times New Roman" w:eastAsia="方正仿宋_GBK"/>
          <w:b w:val="0"/>
          <w:sz w:val="24"/>
        </w:rPr>
        <w:t xml:space="preserve">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pPr>
        <w:pStyle w:val="2"/>
        <w:widowControl/>
        <w:spacing w:line="348" w:lineRule="exact" w:before="0" w:after="0"/>
        <w:ind w:firstLine="480"/>
        <w:jc w:val="both"/>
      </w:pPr>
      <w:r>
        <w:rPr>
          <w:rFonts w:ascii="Times New Roman" w:hAnsi="Times New Roman" w:eastAsia="方正仿宋_GBK"/>
          <w:b w:val="0"/>
          <w:sz w:val="24"/>
        </w:rPr>
        <w:t xml:space="preserve">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pPr>
        <w:pStyle w:val="2"/>
        <w:widowControl/>
        <w:spacing w:line="348" w:lineRule="exact" w:before="0" w:after="0"/>
        <w:ind w:firstLine="480"/>
        <w:jc w:val="both"/>
      </w:pPr>
      <w:r>
        <w:rPr>
          <w:rFonts w:ascii="Times New Roman" w:hAnsi="Times New Roman" w:eastAsia="方正仿宋_GBK"/>
          <w:b w:val="0"/>
          <w:sz w:val="24"/>
        </w:rPr>
        <w:t xml:space="preserve">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pPr>
        <w:pStyle w:val="2"/>
        <w:widowControl/>
        <w:spacing w:line="348" w:lineRule="exact" w:before="0" w:after="0"/>
        <w:ind w:firstLine="480"/>
        <w:jc w:val="both"/>
      </w:pPr>
      <w:r>
        <w:rPr>
          <w:rFonts w:ascii="Times New Roman" w:hAnsi="Times New Roman" w:eastAsia="方正仿宋_GBK"/>
          <w:b w:val="0"/>
          <w:sz w:val="24"/>
        </w:rPr>
        <w:t xml:space="preserve">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pPr>
        <w:pStyle w:val="2"/>
        <w:widowControl/>
        <w:spacing w:line="348" w:lineRule="exact" w:before="0" w:after="0"/>
        <w:ind w:firstLine="480"/>
        <w:jc w:val="both"/>
      </w:pPr>
      <w:r>
        <w:rPr>
          <w:rFonts w:ascii="Times New Roman" w:hAnsi="Times New Roman" w:eastAsia="方正仿宋_GBK"/>
          <w:b w:val="0"/>
          <w:sz w:val="24"/>
        </w:rPr>
        <w:t xml:space="preserve">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主变投运后持续在役，而负荷可能在不同年份上升或下降，因此负荷发展储备需结合规划年份确定。年度规划路径同时处理设备持续在役与负荷波动，按投运年份计取建设费用，并校核各中间年份的容量需求。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pPr>
        <w:pStyle w:val="2"/>
        <w:widowControl/>
        <w:spacing w:line="348" w:lineRule="exact" w:before="0" w:after="0"/>
        <w:ind w:firstLine="480"/>
        <w:jc w:val="both"/>
      </w:pPr>
      <w:r>
        <w:rPr>
          <w:rFonts w:ascii="Times New Roman" w:hAnsi="Times New Roman" w:eastAsia="方正仿宋_GBK"/>
          <w:b w:val="0"/>
          <w:sz w:val="24"/>
        </w:rPr>
        <w:t xml:space="preserve">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pPr>
        <w:pStyle w:val="4"/>
        <w:keepNext/>
        <w:numPr>
          <w:numId w:val="0"/>
        </w:numPr>
        <w:spacing w:line="480" w:lineRule="exact" w:before="160" w:after="120"/>
        <w:ind w:firstLine="0"/>
      </w:pPr>
      <w:bookmarkStart w:id="1215" w:name="h215"/>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215"/>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2"/>
        <w:widowControl/>
        <w:spacing w:line="348" w:lineRule="exact" w:before="0" w:after="0"/>
        <w:ind w:firstLine="480"/>
        <w:jc w:val="both"/>
      </w:pPr>
      <w:r>
        <w:rPr>
          <w:rFonts w:ascii="Times New Roman" w:hAnsi="Times New Roman" w:eastAsia="方正仿宋_GBK"/>
          <w:b w:val="0"/>
          <w:sz w:val="24"/>
        </w:rPr>
        <w:t xml:space="preserve">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pPr>
        <w:pStyle w:val="2"/>
        <w:widowControl/>
        <w:spacing w:line="348" w:lineRule="exact" w:before="0" w:after="0"/>
        <w:ind w:firstLine="480"/>
        <w:jc w:val="both"/>
      </w:pPr>
      <w:r>
        <w:rPr>
          <w:rFonts w:ascii="Times New Roman" w:hAnsi="Times New Roman" w:eastAsia="方正仿宋_GBK"/>
          <w:b w:val="0"/>
          <w:sz w:val="24"/>
        </w:rPr>
        <w:t xml:space="preserve">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供电安全涉及用户恢复供电，反向接入还涉及上级网络、电压和保护配合，两种场景的网络与保护条件可能不同。因此，即使用绝对峰值比较容量压力，仍需保留功率方向及对应场景，分别建立正反向净负荷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2"/>
        <w:widowControl/>
        <w:spacing w:line="348" w:lineRule="exact" w:before="0" w:after="0"/>
        <w:ind w:firstLine="480"/>
        <w:jc w:val="both"/>
      </w:pPr>
      <w:r>
        <w:rPr>
          <w:rFonts w:ascii="Times New Roman" w:hAnsi="Times New Roman" w:eastAsia="方正仿宋_GBK"/>
          <w:b w:val="0"/>
          <w:sz w:val="24"/>
        </w:rPr>
        <w:t xml:space="preserve">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pPr>
        <w:pStyle w:val="2"/>
        <w:widowControl/>
        <w:spacing w:line="348" w:lineRule="exact" w:before="0" w:after="0"/>
        <w:ind w:firstLine="480"/>
        <w:jc w:val="both"/>
      </w:pPr>
      <w:r>
        <w:rPr>
          <w:rFonts w:ascii="Times New Roman" w:hAnsi="Times New Roman" w:eastAsia="方正仿宋_GBK"/>
          <w:b w:val="0"/>
          <w:sz w:val="24"/>
        </w:rPr>
        <w:t xml:space="preserve">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时所需能量相应增加，实际工程还需计及效率、可用荷电状态和容量衰减[10,33]。本项目据此在静态模型中，以铭牌功率和峰段可持续能量共同限制储能支撑。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2"/>
        <w:widowControl/>
        <w:spacing w:line="348" w:lineRule="exact" w:before="0" w:after="0"/>
        <w:ind w:firstLine="480"/>
        <w:jc w:val="both"/>
      </w:pPr>
      <w:r>
        <w:rPr>
          <w:rFonts w:ascii="Times New Roman" w:hAnsi="Times New Roman" w:eastAsia="方正仿宋_GBK"/>
          <w:b w:val="0"/>
          <w:sz w:val="24"/>
        </w:rPr>
        <w:t xml:space="preserve">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pPr>
        <w:pStyle w:val="2"/>
        <w:widowControl/>
        <w:spacing w:line="348" w:lineRule="exact" w:before="0" w:after="0"/>
        <w:ind w:firstLine="480"/>
        <w:jc w:val="both"/>
      </w:pPr>
      <w:r>
        <w:rPr>
          <w:rFonts w:ascii="Times New Roman" w:hAnsi="Times New Roman" w:eastAsia="方正仿宋_GBK"/>
          <w:b w:val="0"/>
          <w:sz w:val="24"/>
        </w:rPr>
        <w:t xml:space="preserve">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光伏增加可能降低部分日间净负荷，而年度设备最大负载率还可能由晚间高峰或局部反送决定。两项指标的相关方向受容量配置、负荷时段和统计边界共同影响[3,4,59]。</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邳州和市区的年度地区指标用于比较县域与城区的源荷相对水平。对具有月度同范围资料的地区，还可计算月度关联并说明样本内性质，为扩大实际数据样本提供依据。</w:t>
      </w:r>
    </w:p>
    <w:p>
      <w:pPr>
        <w:pStyle w:val="4"/>
        <w:keepNext/>
        <w:numPr>
          <w:numId w:val="0"/>
        </w:numPr>
        <w:spacing w:line="480" w:lineRule="exact" w:before="160" w:after="120"/>
        <w:ind w:firstLine="0"/>
      </w:pPr>
      <w:bookmarkStart w:id="1238" w:name="h238"/>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238"/>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新增联络线的可转负荷由线路热限、负荷可分段条件和受端可用容量共同限制，因此公开线路单位造价只能提供价格参考，实际可转任务仍需由网络资料确定[7]。</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pPr>
        <w:pStyle w:val="2"/>
        <w:widowControl/>
        <w:spacing w:line="348" w:lineRule="exact" w:before="0" w:after="0"/>
        <w:ind w:firstLine="480"/>
        <w:jc w:val="both"/>
      </w:pPr>
      <w:r>
        <w:rPr>
          <w:rFonts w:ascii="Times New Roman" w:hAnsi="Times New Roman" w:eastAsia="方正仿宋_GBK"/>
          <w:b w:val="0"/>
          <w:sz w:val="24"/>
        </w:rPr>
        <w:t xml:space="preserve">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2"/>
        <w:widowControl/>
        <w:spacing w:line="348" w:lineRule="exact" w:before="0" w:after="0"/>
        <w:ind w:firstLine="480"/>
        <w:jc w:val="both"/>
      </w:pPr>
      <w:r>
        <w:rPr>
          <w:rFonts w:ascii="Times New Roman" w:hAnsi="Times New Roman" w:eastAsia="方正仿宋_GBK"/>
          <w:b w:val="0"/>
          <w:sz w:val="24"/>
        </w:rPr>
        <w:t xml:space="preserve">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pPr>
        <w:pStyle w:val="2"/>
        <w:widowControl/>
        <w:spacing w:line="348" w:lineRule="exact" w:before="0" w:after="0"/>
        <w:ind w:firstLine="480"/>
        <w:jc w:val="both"/>
      </w:pPr>
      <w:r>
        <w:rPr>
          <w:rFonts w:ascii="Times New Roman" w:hAnsi="Times New Roman" w:eastAsia="方正仿宋_GBK"/>
          <w:b w:val="0"/>
          <w:sz w:val="24"/>
        </w:rPr>
        <w:t xml:space="preserve">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pPr>
        <w:pStyle w:val="4"/>
        <w:keepNext/>
        <w:numPr>
          <w:numId w:val="0"/>
        </w:numPr>
        <w:spacing w:line="480" w:lineRule="exact" w:before="160" w:after="120"/>
        <w:ind w:firstLine="0"/>
      </w:pPr>
      <w:bookmarkStart w:id="1256" w:name="h256"/>
      <w:bookmarkStart w:id="78" w:name="规划寻优方法与本项目选型"/>
      <w:r>
        <w:rPr>
          <w:rFonts w:ascii="Times New Roman" w:hAnsi="Times New Roman" w:eastAsia="方正仿宋_GBK"/>
          <w:b/>
          <w:sz w:val="32"/>
        </w:rPr>
        <w:t xml:space="preserve">2.7 规划寻优方法与本项目选型</w:t>
      </w:r>
      <w:bookmarkEnd w:id="78"/>
      <w:bookmarkEnd w:id="1256"/>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整数规划将设备规格与工程数量直接作为决策变量，在正常运行和供电安全约束下比较措施费用，并通过连续衔接各年设备状态形成建设路径。</w:t>
      </w:r>
    </w:p>
    <w:p>
      <w:pPr>
        <w:pStyle w:val="2"/>
        <w:widowControl/>
        <w:spacing w:line="348" w:lineRule="exact" w:before="0" w:after="0"/>
        <w:ind w:firstLine="480"/>
        <w:jc w:val="both"/>
      </w:pPr>
      <w:r>
        <w:rPr>
          <w:rFonts w:ascii="Times New Roman" w:hAnsi="Times New Roman" w:eastAsia="方正仿宋_GBK"/>
          <w:b w:val="0"/>
          <w:sz w:val="24"/>
        </w:rPr>
        <w:t xml:space="preserve">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pPr>
        <w:pStyle w:val="2"/>
        <w:widowControl/>
        <w:spacing w:line="348" w:lineRule="exact" w:before="0" w:after="0"/>
        <w:ind w:firstLine="480"/>
        <w:jc w:val="both"/>
      </w:pPr>
      <w:r>
        <w:rPr>
          <w:rFonts w:ascii="Times New Roman" w:hAnsi="Times New Roman" w:eastAsia="方正仿宋_GBK"/>
          <w:b w:val="0"/>
          <w:sz w:val="24"/>
        </w:rPr>
        <w:t xml:space="preserve">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费用目标附近可能存在多组可行配置，因此每个费用结果均与其对应的设备和联络项目共同列示。</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2"/>
        <w:widowControl/>
        <w:spacing w:line="348" w:lineRule="exact" w:before="0" w:after="0"/>
        <w:ind w:firstLine="480"/>
        <w:jc w:val="both"/>
      </w:pPr>
      <w:r>
        <w:rPr>
          <w:rFonts w:ascii="Times New Roman" w:hAnsi="Times New Roman" w:eastAsia="方正仿宋_GBK"/>
          <w:b w:val="0"/>
          <w:sz w:val="24"/>
        </w:rPr>
        <w:t xml:space="preserve">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pPr>
        <w:pStyle w:val="2"/>
        <w:widowControl/>
        <w:spacing w:line="348" w:lineRule="exact" w:before="0" w:after="0"/>
        <w:ind w:firstLine="480"/>
        <w:jc w:val="both"/>
      </w:pPr>
      <w:r>
        <w:rPr>
          <w:rFonts w:ascii="Times New Roman" w:hAnsi="Times New Roman" w:eastAsia="方正仿宋_GBK"/>
          <w:b w:val="0"/>
          <w:sz w:val="24"/>
        </w:rPr>
        <w:t xml:space="preserve">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pPr>
        <w:pStyle w:val="4"/>
        <w:keepNext/>
        <w:numPr>
          <w:numId w:val="0"/>
        </w:numPr>
        <w:spacing w:line="480" w:lineRule="exact" w:before="160" w:after="120"/>
        <w:ind w:firstLine="0"/>
      </w:pPr>
      <w:bookmarkStart w:id="1273" w:name="h273"/>
      <w:bookmarkStart w:id="82" w:name="本项目方法选择与工程衔接"/>
      <w:r>
        <w:rPr>
          <w:rFonts w:ascii="Times New Roman" w:hAnsi="Times New Roman" w:eastAsia="方正仿宋_GBK"/>
          <w:b/>
          <w:sz w:val="32"/>
        </w:rPr>
        <w:t xml:space="preserve">2.8 本项目方法选择与工程衔接</w:t>
      </w:r>
      <w:bookmarkEnd w:id="82"/>
      <w:bookmarkEnd w:id="1273"/>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[7,48]。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按额定容量整台选配，扩建位置和联络项目按是否建设选择，储能按整数柜配置，站间转接功率可在允许范围内连续调整，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以2021年实际地区容量为共同起点，2022—2035年承接上年在役设备逐年比选，2021—2025年历史阶段保留实际年度负荷变化，2026—2035年未来阶段采用区域预测比例缩放源荷。通用模板通过参数情景的相关强度和信息重叠分析确定五项推广参数，再选取转供各档均有区间响应的典型源荷条件，归纳容量推荐范围。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各单元的容载比范围由已核验配置归纳，具体取值对应允许主变规格和台数形成的具体配置。规划应用先核对输入与模板条件，再将容量规模落实到设备、联络及储能方案[9,11]。</w:t>
      </w:r>
    </w:p>
    <w:p>
      <w:pPr>
        <w:pStyle w:val="2"/>
        <w:widowControl/>
        <w:spacing w:line="348" w:lineRule="exact" w:before="0" w:after="0"/>
        <w:ind w:firstLine="480"/>
        <w:jc w:val="both"/>
      </w:pPr>
      <w:r>
        <w:rPr>
          <w:rFonts w:ascii="Times New Roman" w:hAnsi="Times New Roman" w:eastAsia="方正仿宋_GBK"/>
          <w:b w:val="0"/>
          <w:sz w:val="24"/>
        </w:rPr>
        <w:t xml:space="preserve">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pPr>
        <w:pStyle w:val="2"/>
        <w:keepNext/>
        <w:spacing w:line="280" w:lineRule="exact" w:before="120" w:after="80"/>
        <w:ind w:firstLine="0"/>
        <w:jc w:val="center"/>
      </w:pPr>
      <w:r>
        <w:rPr>
          <w:rFonts w:ascii="Times New Roman" w:hAnsi="Times New Roman" w:eastAsia="宋体"/>
          <w:b w:val="0"/>
          <w:sz w:val="21"/>
        </w:rPr>
        <w:t xml:space="preserve">表2-3 五项推广参数的文献联系与工程作用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文献依据及相关关系</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进入容量比选的方式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完整序列重点观察</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源荷时段关系及分层接纳能力[3,21]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光伏出力改变日间净负荷，形成相应反送任务</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何时由原主变承担，何时新增主变或储能</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发展储备及多层级容量规划[9,20]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改变比选时点负荷规模，同时影响容载比分母</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固定容量下储备如何消耗，在哪个节点需要设备补强</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不同10 kV线路形式的寿命费用比较[14]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按敷设比例折算新建联络费用，单位通道能力保持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联络造价何时触发主变、储能与线路组合切换</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站内、站间转带及下级网络供电能力[7]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标定既有通道能力及接收余量，实际使用由两端约束决定</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主变规模与新增联络如何随既有支援条件改变</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同时率、负荷构成及局部峰值差异[20]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构造站级局部高峰，保持相应工况区域负荷合计</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相同区域任务下站内容量和网络支援如何重新配置</w:t>
            </w:r>
          </w:p>
        </w:tc>
      </w:tr>
    </w:tbl>
    <w:p>
      <w:pPr>
        <w:pStyle w:val="2"/>
        <w:widowControl/>
        <w:spacing w:line="348" w:lineRule="exact" w:before="0" w:after="0"/>
        <w:ind w:firstLine="480"/>
        <w:jc w:val="both"/>
      </w:pPr>
      <w:commentRangeStart w:id="1"/>
      <w:r>
        <w:rPr>
          <w:rFonts w:ascii="Times New Roman" w:hAnsi="Times New Roman" w:eastAsia="方正仿宋_GBK"/>
          <w:b w:val="0"/>
          <w:sz w:val="24"/>
        </w:rPr>
        <w:t xml:space="preserve">其中，学者Zhu等对铜芯电缆、架空导线及铝合金电缆进行寿命费用评价，费用包括投资、运行维护、故障及报废，并以实际10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commentRangeEnd w:id="1"/>
      <w:r>
        <w:commentReference w:id="1"/>
      </w:r>
    </w:p>
    <w:p>
      <w:pPr>
        <w:pStyle w:val="2"/>
        <w:widowControl/>
        <w:spacing w:line="348" w:lineRule="exact" w:before="0" w:after="0"/>
        <w:ind w:firstLine="480"/>
        <w:jc w:val="both"/>
      </w:pPr>
      <w:r>
        <w:rPr>
          <w:rFonts w:ascii="Times New Roman" w:hAnsi="Times New Roman" w:eastAsia="方正仿宋_GBK"/>
          <w:b w:val="0"/>
          <w:sz w:val="24"/>
        </w:rPr>
        <w:t xml:space="preserve">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2"/>
        <w:keepNext/>
        <w:spacing w:line="280" w:lineRule="exact" w:before="120" w:after="80"/>
        <w:ind w:firstLine="0"/>
        <w:jc w:val="center"/>
      </w:pPr>
      <w:r>
        <w:rPr>
          <w:rFonts w:ascii="Times New Roman" w:hAnsi="Times New Roman" w:eastAsia="宋体"/>
          <w:b w:val="0"/>
          <w:sz w:val="21"/>
        </w:rPr>
        <w:t xml:space="preserve">表2-4 相关方法对源荷输入、设备配置与费用解释的支持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研究方法</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主要输入与输出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适合回答的规划问题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在本研究中的对应关系</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概率鸭子曲线与概率爬坡曲线[3]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源荷边际分布及相依结构，输出净负荷与变化量的分布</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高渗透率下低谷、峰值与调节需求如何随时段变化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按同期源荷关系识别正反向功率，保留时段及持续特征</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多供电层级承载力评估[21]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同层级装机、负荷和电量，输出消纳与接纳能力及薄弱位置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哪一供电层级、哪类设备限制新增电源接入</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区域源荷统计与站级承载校核分别组织，约束落实到设备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TSC及下级网络关系分析[7]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主变、馈线和联络关系，输出满足安全要求的可供负荷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既有容量能否通过站内、站间转带承担更多负荷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校核送端负荷、通道及接收侧能力，解释联络支援</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多电压等级容载比优化[9,11]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可选设备及网络工程，输出容量配比与建设方案</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何种容量及网架组合具有相应经济性</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用主变规格和工程项目形成容量，比较各项建设费用</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源网储分层协同规划[22]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网架候选、资源与运行场景，输出建设及运行方式</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建设形成的资源能力能否在具体工况中发挥作用</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多工况共享年度设备状态，转供与储能按工况使用</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全年运行与成本效益分析[70]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逐时运行及价格，输出改造需求、运行费用与效益</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运行限制在何时出现，对改造费用有何影响</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区分静态容量费用与全年运行分析所需的资料及任务</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上述方法的联系可以沿</w:t>
      </w:r>
      <w:r>
        <w:rPr>
          <w:rFonts w:ascii="Times New Roman" w:hAnsi="Times New Roman" w:eastAsia="方正仿宋_GBK"/>
          <w:b w:val="0"/>
          <w:sz w:val="24"/>
        </w:rPr>
        <w:t xml:space="preserve">“</w:t>
      </w:r>
      <w:r>
        <w:rPr>
          <w:rFonts w:ascii="Times New Roman" w:hAnsi="Times New Roman" w:eastAsia="方正仿宋_GBK"/>
          <w:b w:val="0"/>
          <w:sz w:val="24"/>
        </w:rPr>
        <w:t xml:space="preserve">源荷任务、设备可用能力、工程费用</w:t>
      </w:r>
      <w:r>
        <w:rPr>
          <w:rFonts w:ascii="Times New Roman" w:hAnsi="Times New Roman" w:eastAsia="方正仿宋_GBK"/>
          <w:b w:val="0"/>
          <w:sz w:val="24"/>
        </w:rPr>
        <w:t xml:space="preserve">”</w:t>
      </w:r>
      <w:r>
        <w:rPr>
          <w:rFonts w:ascii="Times New Roman" w:hAnsi="Times New Roman" w:eastAsia="方正仿宋_GBK"/>
          <w:b w:val="0"/>
          <w:sz w:val="24"/>
        </w:rPr>
        <w:t xml:space="preserve">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pPr>
        <w:pStyle w:val="2"/>
        <w:widowControl/>
        <w:spacing w:line="348" w:lineRule="exact" w:before="0" w:after="0"/>
        <w:ind w:firstLine="480"/>
        <w:jc w:val="both"/>
      </w:pPr>
      <w:r>
        <w:rPr>
          <w:rFonts w:ascii="Times New Roman" w:hAnsi="Times New Roman" w:eastAsia="方正仿宋_GBK"/>
          <w:b w:val="0"/>
          <w:sz w:val="24"/>
        </w:rPr>
        <w:t xml:space="preserve">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pPr>
        <w:pStyle w:val="4"/>
        <w:keepNext/>
        <w:numPr>
          <w:numId w:val="0"/>
        </w:numPr>
        <w:spacing w:line="480" w:lineRule="exact" w:before="160" w:after="120"/>
        <w:ind w:firstLine="0"/>
      </w:pPr>
      <w:bookmarkStart w:id="1302" w:name="h302"/>
      <w:bookmarkStart w:id="89" w:name="本章小结"/>
      <w:r>
        <w:rPr>
          <w:rFonts w:ascii="Times New Roman" w:hAnsi="Times New Roman" w:eastAsia="方正仿宋_GBK"/>
          <w:b/>
          <w:sz w:val="32"/>
        </w:rPr>
        <w:t xml:space="preserve">2.9 本章小结</w:t>
      </w:r>
      <w:bookmarkEnd w:id="89"/>
      <w:bookmarkEnd w:id="1302"/>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304" w:name="h304"/>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304"/>
    </w:p>
    <w:p>
      <w:pPr>
        <w:pStyle w:val="4"/>
        <w:keepNext/>
        <w:numPr>
          <w:numId w:val="0"/>
        </w:numPr>
        <w:spacing w:line="480" w:lineRule="exact" w:before="160" w:after="120"/>
        <w:ind w:firstLine="0"/>
      </w:pPr>
      <w:bookmarkStart w:id="1305" w:name="h305"/>
      <w:bookmarkStart w:id="91" w:name="研究地区与原始资料"/>
      <w:r>
        <w:rPr>
          <w:rFonts w:ascii="Times New Roman" w:hAnsi="Times New Roman" w:eastAsia="方正仿宋_GBK"/>
          <w:b/>
          <w:sz w:val="32"/>
        </w:rPr>
        <w:t xml:space="preserve">3.1 研究地区与原始资料</w:t>
      </w:r>
      <w:bookmarkEnd w:id="91"/>
      <w:bookmarkEnd w:id="1305"/>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pPr>
        <w:pStyle w:val="2"/>
        <w:widowControl/>
        <w:spacing w:line="348" w:lineRule="exact" w:before="0" w:after="0"/>
        <w:ind w:firstLine="480"/>
        <w:jc w:val="both"/>
      </w:pPr>
      <w:r>
        <w:rPr>
          <w:rFonts w:ascii="Times New Roman" w:hAnsi="Times New Roman" w:eastAsia="方正仿宋_GBK"/>
          <w:b w:val="0"/>
          <w:sz w:val="24"/>
        </w:rPr>
        <w:t xml:space="preserve">本章以历史容量和负荷分析现状，第五章则在各地区2021年实际容量和负荷下开展规划回算，市区、邳州基期容载比分别为2.15、2.77，后续容量由逐年优化确定。设备统计用于设置允许规格、供电区域类别及主变扩建位置，两类方案的正常负荷调整共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规划案例按正反向供电任务校核正常运行及各站最大单台主变N-1，保持站点之间的同小时功率关系。正向储能支撑持续时间分别取邳州2 h、市区6 h。</w:t>
      </w:r>
    </w:p>
    <w:p>
      <w:pPr>
        <w:pStyle w:val="4"/>
        <w:keepNext/>
        <w:numPr>
          <w:numId w:val="0"/>
        </w:numPr>
        <w:spacing w:line="480" w:lineRule="exact" w:before="160" w:after="120"/>
        <w:ind w:firstLine="0"/>
      </w:pPr>
      <w:bookmarkStart w:id="1315" w:name="h315"/>
      <w:bookmarkStart w:id="95" w:name="年度容量负荷与增长特征"/>
      <w:r>
        <w:rPr>
          <w:rFonts w:ascii="Times New Roman" w:hAnsi="Times New Roman" w:eastAsia="方正仿宋_GBK"/>
          <w:b/>
          <w:sz w:val="32"/>
        </w:rPr>
        <w:t xml:space="preserve">3.2 年度容量、负荷与增长特征</w:t>
      </w:r>
      <w:bookmarkEnd w:id="95"/>
      <w:bookmarkEnd w:id="1315"/>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历史统计保留原始年度波动，用于计算负荷增长和解释运行特征。规划基期及2022—2035年负荷在第五章列示。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2"/>
        <w:widowControl/>
        <w:spacing w:line="348" w:lineRule="exact" w:before="0" w:after="0"/>
        <w:ind w:firstLine="480"/>
        <w:jc w:val="both"/>
      </w:pPr>
      <w:r>
        <w:rPr>
          <w:rFonts w:ascii="Times New Roman" w:hAnsi="Times New Roman" w:eastAsia="方正仿宋_GBK"/>
          <w:b w:val="0"/>
          <w:sz w:val="24"/>
        </w:rPr>
        <w:t xml:space="preserve">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historical_capacity_load.png" id="0" name="Picture"/>
                    <pic:cNvPicPr>
                      <a:picLocks noChangeArrowheads="1" noChangeAspect="1"/>
                    </pic:cNvPicPr>
                  </pic:nvPicPr>
                  <pic:blipFill>
                    <a:blip r:embed="rId9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两地区年度主变容量与网供最大负荷</w:t>
      </w:r>
    </w:p>
    <w:p>
      <w:pPr>
        <w:pStyle w:val="5"/>
        <w:keepNext/>
        <w:numPr>
          <w:numId w:val="0"/>
        </w:numPr>
        <w:spacing w:line="390" w:lineRule="exact" w:before="160" w:after="120"/>
        <w:ind w:firstLine="0"/>
      </w:pPr>
      <w:bookmarkStart w:id="100" w:name="年最大净负荷平均增长率"/>
      <w:r>
        <w:rPr>
          <w:rFonts w:ascii="Times New Roman" w:hAnsi="Times New Roman" w:eastAsia="方正仿宋_GBK"/>
          <w:b/>
          <w:sz w:val="26"/>
        </w:rPr>
        <w:t xml:space="preserve">3.2.3 年最大净负荷平均增长率</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年最大净负荷平均增长率[8]由同范围起止年度负荷按复合增长形式计算。2021—2025年包含四个年度间隔，增长分档采用2025年4月《配电网规划设计技术导则（修订稿）》第6.2.2.1条及表2[8]。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1" w:name="历史统计与规划仿真的衔接"/>
      <w:r>
        <w:rPr>
          <w:rFonts w:ascii="Times New Roman" w:hAnsi="Times New Roman" w:eastAsia="方正仿宋_GBK"/>
          <w:b/>
          <w:sz w:val="26"/>
        </w:rPr>
        <w:t xml:space="preserve">3.2.4 历史统计与规划仿真的衔接</w:t>
      </w:r>
      <w:bookmarkEnd w:id="101"/>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2021—2025年实际容量与负荷用于现状分析，历史年度负荷直接进入地区案例。规划以2021年市区3113.50 MVA、邳州2027.00 MVA实际容量为共同起点，2022—2035年按上年在役设备和当年源荷选择新增措施。2026—2035年的区域负荷预测按相对2025年的比例换算为同范围110 kV电网规划预测峰值，负荷预测值、换算结果及对应增幅如下。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e>
                  <m:e>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e>
                  <m:e>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年的区域负荷预测值，</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为按同范围2025年网供最大负荷换算的110 kV电网规划预测峰值，单位MW；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为相邻年度负荷预测增幅，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年的年最大净负荷平均增长率。比例换算保持对应增幅，未来阶段按2025—2030年、2030—2035年分别计算，与历史2021—2025年的统计增长率对应使用。</w:t>
      </w:r>
    </w:p>
    <w:p>
      <w:pPr>
        <w:pStyle w:val="2"/>
        <w:keepNext/>
        <w:spacing w:line="280" w:lineRule="exact" w:before="120" w:after="80"/>
        <w:ind w:firstLine="0"/>
        <w:jc w:val="center"/>
      </w:pPr>
      <w:r>
        <w:rPr>
          <w:rFonts w:ascii="Times New Roman" w:hAnsi="Times New Roman" w:eastAsia="宋体"/>
          <w:b w:val="0"/>
          <w:sz w:val="21"/>
        </w:rPr>
        <w:t xml:space="preserve">表3-3 两地区区域负荷预测及110 kV电网规划预测峰值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市区110 kV预测峰值/MW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邳州110 kV预测峰值/MW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2967.50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3202.50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3320.00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2059.00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4007.50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2215.00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注：2025年为基准。区域预测采用项目负荷预测资料；缺少的年份按相邻已知节点作等增量插值。110 kV电网规划预测峰值按同范围2025年比例换算。</w:t>
      </w:r>
    </w:p>
    <w:p>
      <w:pPr>
        <w:pStyle w:val="2"/>
        <w:keepNext/>
        <w:spacing w:line="280" w:lineRule="exact" w:before="120" w:after="80"/>
        <w:ind w:firstLine="0"/>
        <w:jc w:val="center"/>
      </w:pPr>
      <w:r>
        <w:rPr>
          <w:rFonts w:ascii="Times New Roman" w:hAnsi="Times New Roman" w:eastAsia="宋体"/>
          <w:b w:val="0"/>
          <w:sz w:val="21"/>
        </w:rPr>
        <w:t xml:space="preserve">表3-4 负荷预测对应的分阶段年最大净负荷平均增长率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时期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2025—2030</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2030—2035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3.82%</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w:t>
            </w:r>
          </w:p>
        </w:tc>
      </w:tr>
    </w:tbl>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340" w:name="h340"/>
      <w:bookmarkStart w:id="102" w:name="分布式光伏装机与电量"/>
      <w:r>
        <w:rPr>
          <w:rFonts w:ascii="Times New Roman" w:hAnsi="Times New Roman" w:eastAsia="方正仿宋_GBK"/>
          <w:b/>
          <w:sz w:val="32"/>
        </w:rPr>
        <w:t xml:space="preserve">3.3 分布式光伏装机与电量</w:t>
      </w:r>
      <w:bookmarkEnd w:id="102"/>
      <w:bookmarkEnd w:id="1340"/>
    </w:p>
    <w:p>
      <w:pPr>
        <w:pStyle w:val="5"/>
        <w:keepNext/>
        <w:numPr>
          <w:numId w:val="0"/>
        </w:numPr>
        <w:spacing w:line="390" w:lineRule="exact" w:before="160" w:after="120"/>
        <w:ind w:firstLine="0"/>
      </w:pPr>
      <w:bookmarkStart w:id="103" w:name="装机规模与月度变化"/>
      <w:r>
        <w:rPr>
          <w:rFonts w:ascii="Times New Roman" w:hAnsi="Times New Roman" w:eastAsia="方正仿宋_GBK"/>
          <w:b/>
          <w:sz w:val="26"/>
        </w:rPr>
        <w:t xml:space="preserve">3.3.1 装机规模与月度变化</w:t>
      </w:r>
      <w:bookmarkEnd w:id="103"/>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MW。图中以虚线区分2021—2022年估计结果与2023年起的月末统计记录。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-3）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表3-5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4"/>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2021—2025年月末分布式光伏装机容量</w:t>
      </w:r>
    </w:p>
    <w:p>
      <w:pPr>
        <w:pStyle w:val="2"/>
        <w:widowControl/>
        <w:spacing w:line="348" w:lineRule="exact" w:before="0" w:after="0"/>
        <w:ind w:firstLine="480"/>
        <w:jc w:val="both"/>
      </w:pPr>
      <w:r>
        <w:rPr>
          <w:rFonts w:ascii="Times New Roman" w:hAnsi="Times New Roman" w:eastAsia="方正仿宋_GBK"/>
          <w:b w:val="0"/>
          <w:sz w:val="24"/>
        </w:rPr>
        <w:t xml:space="preserve">光伏预测采用全市装机相对2025年的发展比例，以两地区2025年装机为基准形成规划情景。光伏装机年增幅与负荷增幅分别计算，装机发展通过日间出力影响净负荷。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为全市第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年的光伏装机预测数值，其比值表示相对发展规模；</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年的情景装机容量，单位MW；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为光伏装机年增幅，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年的装机年平均增幅。2025—2030年、2030—2035年分别为9.32%、10.70%。光伏装机增幅用于源荷情景外推，推广矩阵的负荷发展参数仍采用第3.2.3节定义的年最大净负荷平均增长率。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表3-6 光伏预测相对规模及两地区装机容量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全市装机数值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相对2025年倍数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市区装机/MW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邳州装机/MW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1955.60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962.00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2116.18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1034.00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2274.57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766.91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1253.60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868.47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2757.64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970.03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1071.59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3402.61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1693.40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3725.10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1274.71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4047.58</w:t>
            </w:r>
          </w:p>
        </w:tc>
      </w:tr>
    </w:tbl>
    <w:p>
      <w:pPr>
        <w:pStyle w:val="2"/>
        <w:widowControl/>
        <w:spacing w:line="348" w:lineRule="exact" w:before="0" w:after="0"/>
        <w:ind w:firstLine="480"/>
        <w:jc w:val="both"/>
      </w:pPr>
      <w:r>
        <w:rPr>
          <w:rFonts w:ascii="Times New Roman" w:hAnsi="Times New Roman" w:eastAsia="方正仿宋_GBK"/>
          <w:b w:val="0"/>
          <w:sz w:val="24"/>
        </w:rPr>
        <w:t xml:space="preserve">注：全市装机原截图未标单位，仅用于计算相对倍数。2031—2034年在2030、2035年间作等增量插值。地区装机按2025年地区装机与全市相对倍数计算。</w:t>
      </w:r>
    </w:p>
    <w:p>
      <w:pPr>
        <w:pStyle w:val="5"/>
        <w:keepNext/>
        <w:numPr>
          <w:numId w:val="0"/>
        </w:numPr>
        <w:spacing w:line="390" w:lineRule="exact" w:before="160" w:after="120"/>
        <w:ind w:firstLine="0"/>
      </w:pPr>
      <w:bookmarkStart w:id="105" w:name="年发电量估计方法"/>
      <w:r>
        <w:rPr>
          <w:rFonts w:ascii="Times New Roman" w:hAnsi="Times New Roman" w:eastAsia="方正仿宋_GBK"/>
          <w:b/>
          <w:sz w:val="26"/>
        </w:rPr>
        <w:t xml:space="preserve">3.3.2 年发电量估计方法</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，使用本月末和前月末容量均值；1月前月取2024年12月。式（3-5）为本研究积分估计方法，典型出力系数来自原始光伏曲线。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6" w:name="用户最大负荷与分布式电源装机渗透率"/>
      <w:r>
        <w:rPr>
          <w:rFonts w:ascii="Times New Roman" w:hAnsi="Times New Roman" w:eastAsia="方正仿宋_GBK"/>
          <w:b/>
          <w:sz w:val="26"/>
        </w:rPr>
        <w:t xml:space="preserve">3.3.3 用户最大负荷与分布式电源装机渗透率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7" w:name="用户电量与分布式电源电量渗透率"/>
      <w:r>
        <w:rPr>
          <w:rFonts w:ascii="Times New Roman" w:hAnsi="Times New Roman" w:eastAsia="方正仿宋_GBK"/>
          <w:b/>
          <w:sz w:val="26"/>
        </w:rPr>
        <w:t xml:space="preserve">3.3.4 用户电量与分布式电源电量渗透率</w:t>
      </w:r>
      <w:bookmarkEnd w:id="107"/>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-7）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366" w:name="h366"/>
      <w:bookmarkStart w:id="108" w:name="主变负载率与双向净负荷"/>
      <w:r>
        <w:rPr>
          <w:rFonts w:ascii="Times New Roman" w:hAnsi="Times New Roman" w:eastAsia="方正仿宋_GBK"/>
          <w:b/>
          <w:sz w:val="32"/>
        </w:rPr>
        <w:t xml:space="preserve">3.4 主变负载率与双向净负荷</w:t>
      </w:r>
      <w:bookmarkEnd w:id="108"/>
      <w:bookmarkEnd w:id="1366"/>
    </w:p>
    <w:p>
      <w:pPr>
        <w:pStyle w:val="5"/>
        <w:keepNext/>
        <w:numPr>
          <w:numId w:val="0"/>
        </w:numPr>
        <w:spacing w:line="390" w:lineRule="exact" w:before="160" w:after="120"/>
        <w:ind w:firstLine="0"/>
      </w:pPr>
      <w:bookmarkStart w:id="109" w:name="主变年最大负载率统计"/>
      <w:r>
        <w:rPr>
          <w:rFonts w:ascii="Times New Roman" w:hAnsi="Times New Roman" w:eastAsia="方正仿宋_GBK"/>
          <w:b/>
          <w:sz w:val="26"/>
        </w:rPr>
        <w:t xml:space="preserve">3.4.1 主变年最大负载率统计</w:t>
      </w:r>
      <w:bookmarkEnd w:id="109"/>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表3-7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10"/>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邳州和市区逐台主变最大负载率分布</w:t>
      </w:r>
    </w:p>
    <w:p>
      <w:pPr>
        <w:pStyle w:val="5"/>
        <w:keepNext/>
        <w:numPr>
          <w:numId w:val="0"/>
        </w:numPr>
        <w:spacing w:line="390" w:lineRule="exact" w:before="160" w:after="120"/>
        <w:ind w:firstLine="0"/>
      </w:pPr>
      <w:bookmarkStart w:id="111" w:name="最大正向反向净负荷"/>
      <w:r>
        <w:rPr>
          <w:rFonts w:ascii="Times New Roman" w:hAnsi="Times New Roman" w:eastAsia="方正仿宋_GBK"/>
          <w:b/>
          <w:sz w:val="26"/>
        </w:rPr>
        <w:t xml:space="preserve">3.4.2 最大正向、反向净负荷</w:t>
      </w:r>
      <w:bookmarkEnd w:id="111"/>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表3-8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commentRangeStart w:id="2"/>
            <w:r>
              <w:rPr>
                <w:rFonts w:ascii="Times New Roman" w:hAnsi="Times New Roman" w:eastAsia="宋体"/>
                <w:b/>
                <w:sz w:val="18"/>
              </w:rPr>
              <w:t>110 kV变电站</w:t>
            </w:r>
            <w:commentRangeEnd w:id="2"/>
            <w:r>
              <w:commentReference w:id="2"/>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commentRangeStart w:id="3"/>
            <w:r>
              <w:rPr>
                <w:rFonts w:ascii="Times New Roman" w:hAnsi="Times New Roman" w:eastAsia="宋体"/>
                <w:b w:val="0"/>
                <w:sz w:val="18"/>
              </w:rPr>
              <w:t>八义集变</w:t>
            </w:r>
            <w:commentRangeEnd w:id="3"/>
            <w:r>
              <w:commentReference w:id="3"/>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widowControl/>
        <w:spacing w:line="348" w:lineRule="exact" w:before="0" w:after="0"/>
        <w:ind w:firstLine="480"/>
        <w:jc w:val="both"/>
      </w:pPr>
      <w:r>
        <w:rPr>
          <w:rFonts w:ascii="Times New Roman" w:hAnsi="Times New Roman" w:eastAsia="方正仿宋_GBK"/>
          <w:b w:val="0"/>
          <w:sz w:val="24"/>
        </w:rPr>
        <w:t xml:space="preserve">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518211"/>
            <wp:effectExtent b="0" l="0" r="0" t="0"/>
            <wp:docPr descr="" title="" id="1" name="Picture"/>
            <a:graphic>
              <a:graphicData uri="http://schemas.openxmlformats.org/drawingml/2006/picture">
                <pic:pic>
                  <pic:nvPicPr>
                    <pic:cNvPr descr="研究报告/02图表/当前版/pizhou_station_direction.png" id="0" name="Picture"/>
                    <pic:cNvPicPr>
                      <a:picLocks noChangeArrowheads="1" noChangeAspect="1"/>
                    </pic:cNvPicPr>
                  </pic:nvPicPr>
                  <pic:blipFill>
                    <a:blip r:embed="rId112"/>
                    <a:stretch>
                      <a:fillRect/>
                    </a:stretch>
                  </pic:blipFill>
                  <pic:spPr bwMode="auto">
                    <a:xfrm>
                      <a:off x="0" y="0"/>
                      <a:ext cx="5120640" cy="451821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邳州2025年逐站正反向净负荷极值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96416"/>
            <wp:effectExtent b="0" l="0" r="0" t="0"/>
            <wp:docPr descr="" title="" id="1" name="Picture"/>
            <a:graphic>
              <a:graphicData uri="http://schemas.openxmlformats.org/drawingml/2006/picture">
                <pic:pic>
                  <pic:nvPicPr>
                    <pic:cNvPr descr="研究报告/02图表/当前版/city_station_direction.png" id="0" name="Picture"/>
                    <pic:cNvPicPr>
                      <a:picLocks noChangeArrowheads="1" noChangeAspect="1"/>
                    </pic:cNvPicPr>
                  </pic:nvPicPr>
                  <pic:blipFill>
                    <a:blip r:embed="rId113"/>
                    <a:stretch>
                      <a:fillRect/>
                    </a:stretch>
                  </pic:blipFill>
                  <pic:spPr bwMode="auto">
                    <a:xfrm>
                      <a:off x="0" y="0"/>
                      <a:ext cx="5120640" cy="479641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市区2025年逐站正反向净负荷极值</w:t>
      </w:r>
    </w:p>
    <w:p>
      <w:pPr>
        <w:pStyle w:val="2"/>
        <w:keepNext/>
        <w:spacing w:line="280" w:lineRule="exact" w:before="120" w:after="80"/>
        <w:ind w:firstLine="0"/>
        <w:jc w:val="center"/>
      </w:pPr>
      <w:r>
        <w:rPr>
          <w:rFonts w:ascii="Times New Roman" w:hAnsi="Times New Roman" w:eastAsia="宋体"/>
          <w:b w:val="0"/>
          <w:sz w:val="21"/>
        </w:rPr>
        <w:t xml:space="preserve">表3-9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38.27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74.88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52.46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68.67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64.54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68.08</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108.71</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4"/>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两地区静态工况下的站级负载率</w:t>
      </w:r>
    </w:p>
    <w:p>
      <w:pPr>
        <w:pStyle w:val="5"/>
        <w:keepNext/>
        <w:numPr>
          <w:numId w:val="0"/>
        </w:numPr>
        <w:spacing w:line="390" w:lineRule="exact" w:before="160" w:after="120"/>
        <w:ind w:firstLine="0"/>
      </w:pPr>
      <w:bookmarkStart w:id="115" w:name="区域同步净负荷曲线"/>
      <w:r>
        <w:rPr>
          <w:rFonts w:ascii="Times New Roman" w:hAnsi="Times New Roman" w:eastAsia="方正仿宋_GBK"/>
          <w:b/>
          <w:sz w:val="26"/>
        </w:rPr>
        <w:t xml:space="preserve">3.4.3 区域同步净负荷曲线</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6"/>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7"/>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市区区域净负荷曲线及95%近峰时段</w:t>
      </w:r>
    </w:p>
    <w:p>
      <w:pPr>
        <w:pStyle w:val="5"/>
        <w:keepNext/>
        <w:numPr>
          <w:numId w:val="0"/>
        </w:numPr>
        <w:spacing w:line="390" w:lineRule="exact" w:before="160" w:after="120"/>
        <w:ind w:firstLine="0"/>
      </w:pPr>
      <w:bookmarkStart w:id="118" w:name="峰值持续时间"/>
      <w:r>
        <w:rPr>
          <w:rFonts w:ascii="Times New Roman" w:hAnsi="Times New Roman" w:eastAsia="方正仿宋_GBK"/>
          <w:b/>
          <w:sz w:val="26"/>
        </w:rPr>
        <w:t xml:space="preserve">3.4.4 95%峰值持续时间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表3-10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2"/>
        <w:widowControl/>
        <w:spacing w:line="348" w:lineRule="exact" w:before="0" w:after="0"/>
        <w:ind w:firstLine="480"/>
        <w:jc w:val="both"/>
      </w:pPr>
      <w:r>
        <w:rPr>
          <w:rFonts w:ascii="Times New Roman" w:hAnsi="Times New Roman" w:eastAsia="方正仿宋_GBK"/>
          <w:b w:val="0"/>
          <w:sz w:val="24"/>
        </w:rPr>
        <w:t xml:space="preserve">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regional_load_duration.png" id="0" name="Picture"/>
                    <pic:cNvPicPr>
                      <a:picLocks noChangeArrowheads="1" noChangeAspect="1"/>
                    </pic:cNvPicPr>
                  </pic:nvPicPr>
                  <pic:blipFill>
                    <a:blip r:embed="rId119"/>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图3-10 两地区全年净负荷绝对值持续曲线及高值端</w:t>
      </w:r>
    </w:p>
    <w:p>
      <w:pPr>
        <w:pStyle w:val="5"/>
        <w:keepNext/>
        <w:numPr>
          <w:numId w:val="0"/>
        </w:numPr>
        <w:spacing w:line="390" w:lineRule="exact" w:before="160" w:after="120"/>
        <w:ind w:firstLine="0"/>
      </w:pPr>
      <w:bookmarkStart w:id="120" w:name="峰段与储能容量的联系"/>
      <w:r>
        <w:rPr>
          <w:rFonts w:ascii="Times New Roman" w:hAnsi="Times New Roman" w:eastAsia="方正仿宋_GBK"/>
          <w:b/>
          <w:sz w:val="26"/>
        </w:rPr>
        <w:t xml:space="preserve">3.4.5 峰段与储能容量的联系</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储能额定功率限制瞬时支撑幅度，可用能量限制连续支撑时长，因此静态支撑能力需同时满足峰值幅度与持续时间要求，模型取铭牌功率和峰段可持续能量折算功率的较小值确定充放电功率。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pPr>
        <w:pStyle w:val="4"/>
        <w:keepNext/>
        <w:numPr>
          <w:numId w:val="0"/>
        </w:numPr>
        <w:spacing w:line="480" w:lineRule="exact" w:before="160" w:after="120"/>
        <w:ind w:firstLine="0"/>
      </w:pPr>
      <w:bookmarkStart w:id="1402" w:name="h402"/>
      <w:bookmarkStart w:id="121" w:name="核心参数依据与相关性分析"/>
      <w:r>
        <w:rPr>
          <w:rFonts w:ascii="Times New Roman" w:hAnsi="Times New Roman" w:eastAsia="方正仿宋_GBK"/>
          <w:b/>
          <w:sz w:val="32"/>
        </w:rPr>
        <w:t xml:space="preserve">3.5 核心参数依据与相关性分析</w:t>
      </w:r>
      <w:bookmarkEnd w:id="121"/>
      <w:bookmarkEnd w:id="1402"/>
    </w:p>
    <w:p>
      <w:pPr>
        <w:pStyle w:val="5"/>
        <w:keepNext/>
        <w:numPr>
          <w:numId w:val="0"/>
        </w:numPr>
        <w:spacing w:line="390" w:lineRule="exact" w:before="160" w:after="120"/>
        <w:ind w:firstLine="0"/>
      </w:pPr>
      <w:bookmarkStart w:id="122" w:name="十三项候选指标及工程依据"/>
      <w:r>
        <w:rPr>
          <w:rFonts w:ascii="Times New Roman" w:hAnsi="Times New Roman" w:eastAsia="方正仿宋_GBK"/>
          <w:b/>
          <w:sz w:val="26"/>
        </w:rPr>
        <w:t xml:space="preserve">3.5.1 十三项候选指标及工程依据</w:t>
      </w:r>
      <w:bookmarkEnd w:id="122"/>
    </w:p>
    <w:p>
      <w:pPr>
        <w:pStyle w:val="FirstParagraph"/>
        <w:widowControl/>
        <w:spacing w:line="348" w:lineRule="exact" w:before="0" w:after="0"/>
        <w:ind w:firstLine="480"/>
        <w:jc w:val="both"/>
      </w:pPr>
      <w:commentRangeStart w:id="4"/>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十三项候选指标，先评价其与容载比的关联，再比较指标之间的信息重叠，确定推广矩阵的参数。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commentRangeEnd w:id="4"/>
      <w:r>
        <w:commentReference w:id="4"/>
      </w:r>
    </w:p>
    <w:p>
      <w:pPr>
        <w:pStyle w:val="2"/>
        <w:keepNext/>
        <w:spacing w:line="280" w:lineRule="exact" w:before="120" w:after="80"/>
        <w:ind w:firstLine="0"/>
        <w:jc w:val="center"/>
      </w:pPr>
      <w:r>
        <w:rPr>
          <w:rFonts w:ascii="Times New Roman" w:hAnsi="Times New Roman" w:eastAsia="宋体"/>
          <w:b w:val="0"/>
          <w:sz w:val="21"/>
        </w:rPr>
        <w:t xml:space="preserve">表3-11 十三项候选指标的定义、依据与规划作用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同范围分布式电源并网装机容量与用户最大负荷之比，无量纲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导则第6.5.4条给出定义，第7.4.2.2条联系反向容量校核[8]；装机及负荷资料见第3.3节</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同范围分布式电源年发电量与用户年用电量之比，%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导则第6.5.4条给出定义[8]；描述本地电源的年度供能水平</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各站净负荷绝对峰值与本站初始主变有功容量之比的最大值，%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按第3.4.2节计算，功率因数取0.95；描述局部容量压力[4,5]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区域同期净负荷曲线的最大受电功率，MW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按式（3-8）计算；对应正向供电任务[4,5]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区域同期净负荷曲线的最大反送功率幅值，MW</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按式（3-8）计算；对应新能源反向输送任务[4,5]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同范围起止年度网供最大负荷之比按年度间隔开根后减1，%/年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导则第6.2.2.1条据此划分负荷发展阶段[8]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净负荷绝对值达到全年最大绝对值95%的最长连续时长，h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按第3.4.4节由补齐后的8760小时曲线统计；描述连续近峰过程</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导则第6.2.2条列为容量储备影响因素[8]；联系局部峰值与区域同时峰值</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导则第6.2.2.1条及馈线联络研究说明转供能力与容量储备的关系[7,8]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新购主变单位有功容量投资与联络单位有效转供功率投资之比，无量纲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按第4.5.4节由工程价格与有效能力折算；描述主变、线路的相对投资[85,87,88,89]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新购主变单位有功容量投资与储能单位有效支撑功率投资之比，无量纲</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按第4.5.4节折算；联系参考价格、可用能量和支撑时长[85,87,88,89]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线路形式影响工程费用[14]；邳州约11%、市区约80%，按第4.3节折算新增联络费用</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储能定容同时考虑功率、能量及持续过程[10,33]；按第4.4节参与设备比选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pPr>
        <w:pStyle w:val="2"/>
        <w:keepNext/>
        <w:spacing w:line="280" w:lineRule="exact" w:before="120" w:after="80"/>
        <w:ind w:firstLine="0"/>
        <w:jc w:val="center"/>
      </w:pPr>
      <w:r>
        <w:rPr>
          <w:rFonts w:ascii="Times New Roman" w:hAnsi="Times New Roman" w:eastAsia="宋体"/>
          <w:b w:val="0"/>
          <w:sz w:val="21"/>
        </w:rPr>
        <w:t xml:space="preserve">表3-12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表3-13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pPr>
        <w:pStyle w:val="5"/>
        <w:keepNext/>
        <w:numPr>
          <w:numId w:val="0"/>
        </w:numPr>
        <w:spacing w:line="390" w:lineRule="exact" w:before="160" w:after="120"/>
        <w:ind w:firstLine="0"/>
      </w:pPr>
      <w:bookmarkStart w:id="123" w:name="情景采样与两层分析方法"/>
      <w:r>
        <w:rPr>
          <w:rFonts w:ascii="Times New Roman" w:hAnsi="Times New Roman" w:eastAsia="方正仿宋_GBK"/>
          <w:b/>
          <w:sz w:val="26"/>
        </w:rPr>
        <w:t xml:space="preserve">3.5.2 情景采样与两层分析方法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pPr>
        <w:pStyle w:val="2"/>
        <w:widowControl/>
        <w:spacing w:line="348" w:lineRule="exact" w:before="0" w:after="0"/>
        <w:ind w:firstLine="480"/>
        <w:jc w:val="both"/>
      </w:pPr>
      <w:r>
        <w:rPr>
          <w:rFonts w:ascii="Times New Roman" w:hAnsi="Times New Roman" w:eastAsia="方正仿宋_GBK"/>
          <w:b w:val="0"/>
          <w:sz w:val="24"/>
        </w:rPr>
        <w:t xml:space="preserve">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pPr>
        <w:pStyle w:val="2"/>
        <w:keepNext/>
        <w:spacing w:line="280" w:lineRule="exact" w:before="120" w:after="80"/>
        <w:ind w:firstLine="0"/>
        <w:jc w:val="center"/>
      </w:pPr>
      <w:r>
        <w:rPr>
          <w:rFonts w:ascii="Times New Roman" w:hAnsi="Times New Roman" w:eastAsia="宋体"/>
          <w:b w:val="0"/>
          <w:sz w:val="21"/>
        </w:rPr>
        <w:t xml:space="preserve">表3-14 候选指标的采样节点与点数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采样节点或计算方式</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点数</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0～3.00，步长0.125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0～65%，步长2.5个百分点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随源荷情景计算各站负载率并取最大值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按同期区域净负荷取正向极值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按同期区域净负荷取反向极值</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由源荷节点计算</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0、1%、2%、3%、4%、5%、5.5%、6%、7%、7.1%、7.5%、8%、9%、10%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1.00、1.05、1.10、1.15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10%～90%，步长10个百分点</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储能价格取参考值的70%～130%，步长10个百分点，按有效功率折算</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7个价格节点</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 h，步长1 h</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pPr>
        <w:pStyle w:val="2"/>
        <w:widowControl/>
        <w:spacing w:line="348" w:lineRule="exact" w:before="0" w:after="0"/>
        <w:ind w:firstLine="480"/>
        <w:jc w:val="both"/>
      </w:pPr>
      <w:r>
        <w:rPr>
          <w:rFonts w:ascii="Times New Roman" w:hAnsi="Times New Roman" w:eastAsia="方正仿宋_GBK"/>
          <w:b w:val="0"/>
          <w:sz w:val="24"/>
        </w:rPr>
        <w:t xml:space="preserve">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，汇总节点计算Pearson系数，节点等权并保留零容量响应组[90]。正向净负荷沿年最大净负荷平均增长率序列分析，反向净负荷和站级负载率沿电量序列分析，两项投资比分别沿独立价格序列分析。</w:t>
      </w:r>
    </w:p>
    <w:p>
      <w:pPr>
        <w:pStyle w:val="2"/>
        <w:widowControl/>
        <w:spacing w:line="348" w:lineRule="exact" w:before="0" w:after="0"/>
        <w:ind w:firstLine="480"/>
        <w:jc w:val="both"/>
      </w:pPr>
      <w:r>
        <w:rPr>
          <w:rFonts w:ascii="Times New Roman" w:hAnsi="Times New Roman" w:eastAsia="方正仿宋_GBK"/>
          <w:b w:val="0"/>
          <w:sz w:val="24"/>
        </w:rPr>
        <w:t xml:space="preserve">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pPr>
        <w:pStyle w:val="5"/>
        <w:keepNext/>
        <w:numPr>
          <w:numId w:val="0"/>
        </w:numPr>
        <w:spacing w:line="390" w:lineRule="exact" w:before="160" w:after="120"/>
        <w:ind w:firstLine="0"/>
      </w:pPr>
      <w:bookmarkStart w:id="124" w:name="与容载比的相关性筛选"/>
      <w:r>
        <w:rPr>
          <w:rFonts w:ascii="Times New Roman" w:hAnsi="Times New Roman" w:eastAsia="方正仿宋_GBK"/>
          <w:b/>
          <w:sz w:val="26"/>
        </w:rPr>
        <w:t xml:space="preserve">3.5.3 与容载比的相关性筛选</w:t>
      </w:r>
      <w:bookmarkEnd w:id="124"/>
    </w:p>
    <w:p>
      <w:pPr>
        <w:pStyle w:val="FirstParagraph"/>
        <w:keepNext/>
        <w:spacing w:line="280" w:lineRule="exact" w:before="120" w:after="80"/>
        <w:ind w:firstLine="0"/>
        <w:jc w:val="center"/>
      </w:pPr>
      <w:r>
        <w:rPr>
          <w:rFonts w:ascii="Times New Roman" w:hAnsi="Times New Roman" w:eastAsia="宋体"/>
          <w:b w:val="0"/>
          <w:sz w:val="21"/>
        </w:rPr>
        <w:t xml:space="preserve">表3-15 十三项指标与容载比的组内相关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88781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60798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41118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17262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bl>
    <w:p>
      <w:pPr>
        <w:pStyle w:val="2"/>
        <w:widowControl/>
        <w:spacing w:line="348" w:lineRule="exact" w:before="0" w:after="0"/>
        <w:ind w:firstLine="480"/>
        <w:jc w:val="both"/>
      </w:pPr>
      <w:r>
        <w:rPr>
          <w:rFonts w:ascii="Times New Roman" w:hAnsi="Times New Roman" w:eastAsia="方正仿宋_GBK"/>
          <w:b w:val="0"/>
          <w:sz w:val="24"/>
        </w:rPr>
        <w:t xml:space="preserve">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pPr>
        <w:pStyle w:val="2"/>
        <w:widowControl/>
        <w:spacing w:line="348" w:lineRule="exact" w:before="0" w:after="0"/>
        <w:ind w:firstLine="480"/>
        <w:jc w:val="both"/>
      </w:pPr>
      <w:r>
        <w:rPr>
          <w:rFonts w:ascii="Times New Roman" w:hAnsi="Times New Roman" w:eastAsia="方正仿宋_GBK"/>
          <w:b w:val="0"/>
          <w:sz w:val="24"/>
        </w:rPr>
        <w:t xml:space="preserve">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pPr>
        <w:pStyle w:val="2"/>
        <w:widowControl/>
        <w:spacing w:line="348" w:lineRule="exact" w:before="0" w:after="0"/>
        <w:ind w:firstLine="480"/>
        <w:jc w:val="both"/>
      </w:pPr>
      <w:r>
        <w:rPr>
          <w:rFonts w:ascii="Times New Roman" w:hAnsi="Times New Roman" w:eastAsia="方正仿宋_GBK"/>
          <w:b w:val="0"/>
          <w:sz w:val="24"/>
        </w:rPr>
        <w:t xml:space="preserve">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pPr>
        <w:pStyle w:val="2"/>
        <w:widowControl/>
        <w:spacing w:line="348" w:lineRule="exact" w:before="0" w:after="0"/>
        <w:ind w:firstLine="480"/>
        <w:jc w:val="both"/>
      </w:pPr>
      <w:r>
        <w:rPr>
          <w:rFonts w:ascii="Times New Roman" w:hAnsi="Times New Roman" w:eastAsia="方正仿宋_GBK"/>
          <w:b w:val="0"/>
          <w:sz w:val="24"/>
        </w:rPr>
        <w:t xml:space="preserve">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045336"/>
            <wp:effectExtent b="0" l="0" r="0" t="0"/>
            <wp:docPr descr="" title="" id="1" name="Picture"/>
            <a:graphic>
              <a:graphicData uri="http://schemas.openxmlformats.org/drawingml/2006/picture">
                <pic:pic>
                  <pic:nvPicPr>
                    <pic:cNvPr descr="研究报告/02图表/当前版/indicator_correlation_strength.png" id="0" name="Picture"/>
                    <pic:cNvPicPr>
                      <a:picLocks noChangeArrowheads="1" noChangeAspect="1"/>
                    </pic:cNvPicPr>
                  </pic:nvPicPr>
                  <pic:blipFill>
                    <a:blip r:embed="rId125"/>
                    <a:stretch>
                      <a:fillRect/>
                    </a:stretch>
                  </pic:blipFill>
                  <pic:spPr bwMode="auto">
                    <a:xfrm>
                      <a:off x="0" y="0"/>
                      <a:ext cx="5120640" cy="50453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图3-11 十三项候选指标与容载比的组内相关</w:t>
      </w:r>
    </w:p>
    <w:p>
      <w:pPr>
        <w:pStyle w:val="5"/>
        <w:keepNext/>
        <w:numPr>
          <w:numId w:val="0"/>
        </w:numPr>
        <w:spacing w:line="390" w:lineRule="exact" w:before="160" w:after="120"/>
        <w:ind w:firstLine="0"/>
      </w:pPr>
      <w:bookmarkStart w:id="126" w:name="高相关指标归并与代表参数"/>
      <w:r>
        <w:rPr>
          <w:rFonts w:ascii="Times New Roman" w:hAnsi="Times New Roman" w:eastAsia="方正仿宋_GBK"/>
          <w:b/>
          <w:sz w:val="26"/>
        </w:rPr>
        <w:t xml:space="preserve">3.5.4 高相关指标归并与代表参数</w:t>
      </w:r>
      <w:bookmarkEnd w:id="126"/>
    </w:p>
    <w:p>
      <w:pPr>
        <w:pStyle w:val="FirstParagraph"/>
        <w:keepNext/>
        <w:spacing w:line="280" w:lineRule="exact" w:before="120" w:after="80"/>
        <w:ind w:firstLine="0"/>
        <w:jc w:val="center"/>
      </w:pPr>
      <w:r>
        <w:rPr>
          <w:rFonts w:ascii="Times New Roman" w:hAnsi="Times New Roman" w:eastAsia="宋体"/>
          <w:b w:val="0"/>
          <w:sz w:val="21"/>
        </w:rPr>
        <w:t xml:space="preserve">表3-16 十三项指标的Pearson相关矩阵（1）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站级负载率最大值</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95%峰值持续时间</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表3-17 十三项指标的Pearson相关矩阵（2）</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930"/>
        <w:gridCol w:w="1054"/>
        <w:gridCol w:w="868"/>
        <w:gridCol w:w="1551"/>
        <w:gridCol w:w="1489"/>
        <w:gridCol w:w="992"/>
        <w:gridCol w:w="1427"/>
      </w:tblGrid>
      <w:tr>
        <w:trPr>
          <w:cantSplit/>
          <w:tblHeader/>
        </w:trPr>
        <w:tc>
          <w:tcPr>
            <w:tcW w:type="dxa" w:w="930"/>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w:t>
            </w:r>
          </w:p>
        </w:tc>
        <w:tc>
          <w:tcPr>
            <w:tcW w:type="dxa" w:w="1054"/>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86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55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主变与线路单位功率投资比</w:t>
            </w:r>
          </w:p>
        </w:tc>
        <w:tc>
          <w:tcPr>
            <w:tcW w:type="dxa" w:w="148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主变与储能单位功率投资比</w:t>
            </w:r>
          </w:p>
        </w:tc>
        <w:tc>
          <w:tcPr>
            <w:tcW w:type="dxa" w:w="99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4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主变与线路单位功率投资比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主变与储能单位功率投资比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930"/>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054"/>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6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55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8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-0.87</w:t>
            </w:r>
          </w:p>
        </w:tc>
        <w:tc>
          <w:tcPr>
            <w:tcW w:type="dxa" w:w="99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4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80" w:lineRule="exact" w:before="120" w:after="80"/>
        <w:ind w:firstLine="0"/>
        <w:jc w:val="center"/>
      </w:pPr>
      <w:r>
        <w:rPr>
          <w:rFonts w:ascii="Times New Roman" w:hAnsi="Times New Roman" w:eastAsia="宋体"/>
          <w:b w:val="0"/>
          <w:sz w:val="21"/>
        </w:rPr>
        <w:t xml:space="preserve">表3-18 高相关指标归并及代表参数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候选指标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对应基础参数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代表参数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分布式电源电量渗透率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最大反向净负荷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站级负载率最大值</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最大正向净负荷</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r>
    </w:tbl>
    <w:p>
      <w:pPr>
        <w:pStyle w:val="2"/>
        <w:widowControl/>
        <w:spacing w:line="348" w:lineRule="exact" w:before="0" w:after="0"/>
        <w:ind w:firstLine="480"/>
        <w:jc w:val="both"/>
      </w:pPr>
      <w:r>
        <w:rPr>
          <w:rFonts w:ascii="Times New Roman" w:hAnsi="Times New Roman" w:eastAsia="方正仿宋_GBK"/>
          <w:b w:val="0"/>
          <w:sz w:val="24"/>
        </w:rPr>
        <w:t xml:space="preserve">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pPr>
        <w:pStyle w:val="2"/>
        <w:widowControl/>
        <w:spacing w:line="348" w:lineRule="exact" w:before="0" w:after="0"/>
        <w:ind w:firstLine="480"/>
        <w:jc w:val="both"/>
      </w:pPr>
      <w:r>
        <w:rPr>
          <w:rFonts w:ascii="Times New Roman" w:hAnsi="Times New Roman" w:eastAsia="方正仿宋_GBK"/>
          <w:b w:val="0"/>
          <w:sz w:val="24"/>
        </w:rPr>
        <w:t xml:space="preserve">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pPr>
        <w:pStyle w:val="5"/>
        <w:keepNext/>
        <w:numPr>
          <w:numId w:val="0"/>
        </w:numPr>
        <w:spacing w:line="390" w:lineRule="exact" w:before="160" w:after="120"/>
        <w:ind w:firstLine="0"/>
      </w:pPr>
      <w:bookmarkStart w:id="127" w:name="五项参数的相关关系与矩阵组织"/>
      <w:r>
        <w:rPr>
          <w:rFonts w:ascii="Times New Roman" w:hAnsi="Times New Roman" w:eastAsia="方正仿宋_GBK"/>
          <w:b/>
          <w:sz w:val="26"/>
        </w:rPr>
        <w:t xml:space="preserve">3.5.5 五项参数的相关关系与矩阵组织</w:t>
      </w:r>
      <w:bookmarkEnd w:id="127"/>
    </w:p>
    <w:p>
      <w:pPr>
        <w:pStyle w:val="FirstParagraph"/>
        <w:keepNext/>
        <w:spacing w:line="280" w:lineRule="exact" w:before="120" w:after="80"/>
        <w:ind w:firstLine="0"/>
        <w:jc w:val="center"/>
      </w:pPr>
      <w:r>
        <w:rPr>
          <w:rFonts w:ascii="Times New Roman" w:hAnsi="Times New Roman" w:eastAsia="宋体"/>
          <w:b w:val="0"/>
          <w:sz w:val="21"/>
        </w:rPr>
        <w:t xml:space="preserve">表3-19 五项推广参数的Pearson相关矩阵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292301"/>
            <wp:effectExtent b="0" l="0" r="0" t="0"/>
            <wp:docPr descr="" title="" id="1" name="Picture"/>
            <a:graphic>
              <a:graphicData uri="http://schemas.openxmlformats.org/drawingml/2006/picture">
                <pic:pic>
                  <pic:nvPicPr>
                    <pic:cNvPr descr="研究报告/02图表/当前版/five_parameter_correlation_map.png" id="0" name="Picture"/>
                    <pic:cNvPicPr>
                      <a:picLocks noChangeArrowheads="1" noChangeAspect="1"/>
                    </pic:cNvPicPr>
                  </pic:nvPicPr>
                  <pic:blipFill>
                    <a:blip r:embed="rId128"/>
                    <a:stretch>
                      <a:fillRect/>
                    </a:stretch>
                  </pic:blipFill>
                  <pic:spPr bwMode="auto">
                    <a:xfrm>
                      <a:off x="0" y="0"/>
                      <a:ext cx="5120640" cy="429230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图3-12 五项推广参数的Pearson相关矩阵</w:t>
      </w:r>
    </w:p>
    <w:p>
      <w:pPr>
        <w:pStyle w:val="2"/>
        <w:widowControl/>
        <w:spacing w:line="348" w:lineRule="exact" w:before="0" w:after="0"/>
        <w:ind w:firstLine="480"/>
        <w:jc w:val="both"/>
      </w:pPr>
      <w:r>
        <w:rPr>
          <w:rFonts w:ascii="Times New Roman" w:hAnsi="Times New Roman" w:eastAsia="方正仿宋_GBK"/>
          <w:b w:val="0"/>
          <w:sz w:val="24"/>
        </w:rPr>
        <w:t xml:space="preserve">五项参数中，电缆长度占比与初始转供率的Pearson系数为0.29，其余配对绝对值均不超过0.15。二者在联合取值中具有一定地区网络背景联系，但分别通过线路造价和既有支援能力作用于设备选择。</w:t>
      </w:r>
    </w:p>
    <w:p>
      <w:pPr>
        <w:pStyle w:val="2"/>
        <w:widowControl/>
        <w:spacing w:line="348" w:lineRule="exact" w:before="0" w:after="0"/>
        <w:ind w:firstLine="480"/>
        <w:jc w:val="both"/>
      </w:pPr>
      <w:r>
        <w:rPr>
          <w:rFonts w:ascii="Times New Roman" w:hAnsi="Times New Roman" w:eastAsia="方正仿宋_GBK"/>
          <w:b w:val="0"/>
          <w:sz w:val="24"/>
        </w:rPr>
        <w:t xml:space="preserve">五项参数之间的相关绝对值均低于本研究的信息归并阈值，分别保留电源规模、负荷发展、线路经济条件、既有网络支援及局部峰值分布的信息，能够从不同规划条件解释容载比差异。</w:t>
      </w:r>
    </w:p>
    <w:p>
      <w:pPr>
        <w:pStyle w:val="2"/>
        <w:keepNext/>
        <w:spacing w:line="280" w:lineRule="exact" w:before="120" w:after="80"/>
        <w:ind w:firstLine="0"/>
        <w:jc w:val="center"/>
      </w:pPr>
      <w:r>
        <w:rPr>
          <w:rFonts w:ascii="Times New Roman" w:hAnsi="Times New Roman" w:eastAsia="宋体"/>
          <w:b w:val="0"/>
          <w:sz w:val="21"/>
        </w:rPr>
        <w:t xml:space="preserve">表3-20 十三项指标至五项推广参数的筛选结果</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环节</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指标数</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处理结果</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候选指标</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涵盖源荷规模、运行压力、网络支援、时间及相对投资</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容载比相关性筛选</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95%峰值持续时间、储能支撑持续时间及两项投资比的相关强度较低</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高相关指标归并</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电量、反向净负荷和站级负载率归入装机指标组，正向净负荷归入增长指标组</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参数间相关核验</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最大Pearson绝对值为0.29，五项间信息重叠较少</w:t>
            </w:r>
          </w:p>
        </w:tc>
      </w:tr>
    </w:tbl>
    <w:p>
      <w:pPr>
        <w:pStyle w:val="2"/>
        <w:widowControl/>
        <w:spacing w:line="348" w:lineRule="exact" w:before="0" w:after="0"/>
        <w:ind w:firstLine="480"/>
        <w:jc w:val="both"/>
      </w:pPr>
      <w:r>
        <w:rPr>
          <w:rFonts w:ascii="Times New Roman" w:hAnsi="Times New Roman" w:eastAsia="方正仿宋_GBK"/>
          <w:b w:val="0"/>
          <w:sz w:val="24"/>
        </w:rPr>
        <w:t xml:space="preserve">两层分析由十三项候选指标得到五项推广参数：分布式电源装机渗透率、年最大净负荷平均增长率、电缆长度占比、初始转供率和负荷分散系数。其对应的矩阵分类如下。</w:t>
      </w:r>
    </w:p>
    <w:p>
      <w:pPr>
        <w:pStyle w:val="2"/>
        <w:keepNext/>
        <w:spacing w:line="280" w:lineRule="exact" w:before="120" w:after="80"/>
        <w:ind w:firstLine="0"/>
        <w:jc w:val="center"/>
      </w:pPr>
      <w:r>
        <w:rPr>
          <w:rFonts w:ascii="Times New Roman" w:hAnsi="Times New Roman" w:eastAsia="宋体"/>
          <w:b w:val="0"/>
          <w:sz w:val="21"/>
        </w:rPr>
        <w:t xml:space="preserve">表3-21 采用指标与推广矩阵分类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采用指标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pPr>
        <w:pStyle w:val="4"/>
        <w:keepNext/>
        <w:numPr>
          <w:numId w:val="0"/>
        </w:numPr>
        <w:spacing w:line="480" w:lineRule="exact" w:before="160" w:after="120"/>
        <w:ind w:firstLine="0"/>
      </w:pPr>
      <w:bookmarkStart w:id="1445" w:name="h445"/>
      <w:bookmarkStart w:id="129" w:name="kv负荷转接资料与仿真条件"/>
      <w:r>
        <w:rPr>
          <w:rFonts w:ascii="Times New Roman" w:hAnsi="Times New Roman" w:eastAsia="方正仿宋_GBK"/>
          <w:b/>
          <w:sz w:val="32"/>
        </w:rPr>
        <w:t xml:space="preserve">3.6 10 kV负荷转接资料与仿真条件</w:t>
      </w:r>
      <w:bookmarkEnd w:id="129"/>
      <w:bookmarkEnd w:id="1445"/>
    </w:p>
    <w:p>
      <w:pPr>
        <w:pStyle w:val="5"/>
        <w:keepNext/>
        <w:numPr>
          <w:numId w:val="0"/>
        </w:numPr>
        <w:spacing w:line="390" w:lineRule="exact" w:before="160" w:after="120"/>
        <w:ind w:firstLine="0"/>
      </w:pPr>
      <w:bookmarkStart w:id="130" w:name="地区转供统计与计算方法"/>
      <w:r>
        <w:rPr>
          <w:rFonts w:ascii="Times New Roman" w:hAnsi="Times New Roman" w:eastAsia="方正仿宋_GBK"/>
          <w:b/>
          <w:sz w:val="26"/>
        </w:rPr>
        <w:t xml:space="preserve">3.6.1 地区转供统计与计算方法</w:t>
      </w:r>
      <w:bookmarkEnd w:id="130"/>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31" w:name="逐站能力及网络约束"/>
      <w:r>
        <w:rPr>
          <w:rFonts w:ascii="Times New Roman" w:hAnsi="Times New Roman" w:eastAsia="方正仿宋_GBK"/>
          <w:b/>
          <w:sz w:val="26"/>
        </w:rPr>
        <w:t xml:space="preserve">3.6.2 逐站能力及网络约束</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地区案例将全停转供统计与110 kV站点逐一匹配，市区26座具有对应资料的变电站、邳州20座站采用对应记录。每站统计转供率用于描述网络背景，计算中的既有可转能力直接采用原始MW值，所有年份固定封顶，正常固定与事故追加切换共同占用该额度。</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既有通道与新增候选分别记录馈线端点和有效容量，各通道共同校核源端可切负荷、共享馈线余量和接收站容量。新增联络单项参考能力按墩振线23—24杆下游区段计算：压力场景的全馈线负荷为8.23 MW，25个区段节点的负荷合计占90.97%，新增馈线按550 A路径电流条件折算热限。</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N</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k</m:t>
                            </m:r>
                          </m:sub>
                        </m:sSub>
                      </m:e>
                    </m:nary>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8.2344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0.90972763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e>
                  <m:e>
                    <m:r>
                      <m:rPr>
                        <m:nor m:val="1"/>
                      </m:rPr>
                      <w:rPr>
                        <w:rFonts w:ascii="Times New Roman" w:hAnsi="Times New Roman" w:cs="Times New Roman" w:eastAsia="方正仿宋_GBK"/>
                        <w:i w:val="0"/>
                        <w:iCs w:val="0"/>
                      </w:rPr>
                      <m:t>=</m:t>
                    </m:r>
                    <m:f>
                      <m:fPr>
                        <m:type m:val="bar"/>
                      </m:fPr>
                      <m:num>
                        <m:rad>
                          <m:radPr>
                            <m:degHide m:val="1"/>
                          </m:radPr>
                          <m:deg/>
                          <m:e>
                            <m:r>
                              <m:rPr>
                                <m:nor m:val="1"/>
                              </m:rPr>
                              <w:rPr>
                                <w:rFonts w:ascii="Times New Roman" w:hAnsi="Times New Roman" w:cs="Times New Roman" w:eastAsia="方正仿宋_GBK"/>
                                <w:i w:val="0"/>
                                <w:iCs w:val="0"/>
                              </w:rPr>
                              <m:t>3</m:t>
                            </m:r>
                          </m:e>
                        </m:rad>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U</m:t>
                        </m:r>
                        <m:sSub>
                          <m:e>
                            <m:r>
                              <m:rPr>
                                <m:nor m:val="1"/>
                              </m:rPr>
                              <w:rPr>
                                <w:rFonts w:ascii="Times New Roman" w:hAnsi="Times New Roman" w:cs="Times New Roman" w:eastAsia="方正仿宋_GBK"/>
                                <w:i w:val="1"/>
                                <w:iCs w:val="1"/>
                              </w:rPr>
                              <m:t>I</m:t>
                            </m:r>
                          </m:e>
                          <m:sub>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num>
                      <m:den>
                        <m:r>
                          <m:rPr>
                            <m:nor m:val="1"/>
                          </m:rPr>
                          <w:rPr>
                            <w:rFonts w:ascii="Times New Roman" w:hAnsi="Times New Roman" w:cs="Times New Roman" w:eastAsia="方正仿宋_GBK"/>
                            <w:i w:val="0"/>
                            <w:iCs w:val="0"/>
                          </w:rPr>
                          <m:t>1000</m:t>
                        </m:r>
                      </m:den>
                    </m:f>
                  </m:e>
                </m:mr>
                <m:mr>
                  <m:e/>
                  <m:e>
                    <m:r>
                      <m:rPr>
                        <m:nor m:val="1"/>
                      </m:rPr>
                      <w:rPr>
                        <w:rFonts w:ascii="Times New Roman" w:hAnsi="Times New Roman" w:cs="Times New Roman" w:eastAsia="方正仿宋_GBK"/>
                        <w:i w:val="0"/>
                        <w:iCs w:val="0"/>
                      </w:rPr>
                      <m:t>=</m:t>
                    </m:r>
                    <m:f>
                      <m:fPr>
                        <m:type m:val="bar"/>
                      </m:fPr>
                      <m:num>
                        <m:rad>
                          <m:radPr>
                            <m:degHide m:val="1"/>
                          </m:radPr>
                          <m:deg/>
                          <m:e>
                            <m:r>
                              <m:rPr>
                                <m:nor m:val="1"/>
                              </m:rPr>
                              <w:rPr>
                                <w:rFonts w:ascii="Times New Roman" w:hAnsi="Times New Roman" w:cs="Times New Roman" w:eastAsia="方正仿宋_GBK"/>
                                <w:i w:val="0"/>
                                <w:iCs w:val="0"/>
                              </w:rPr>
                              <m:t>3</m:t>
                            </m:r>
                          </m:e>
                        </m:ra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num>
                      <m:den>
                        <m:r>
                          <m:rPr>
                            <m:nor m:val="1"/>
                          </m:rPr>
                          <w:rPr>
                            <w:rFonts w:ascii="Times New Roman" w:hAnsi="Times New Roman" w:cs="Times New Roman" w:eastAsia="方正仿宋_GBK"/>
                            <w:i w:val="0"/>
                            <w:iCs w:val="0"/>
                          </w:rPr>
                          <m:t>1000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9.05</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sty m:val="p"/>
                <m:scr m:val="script"/>
                <m:nor m:val="1"/>
              </m:rPr>
              <w:rPr>
                <w:rFonts w:ascii="Times New Roman" w:hAnsi="Times New Roman" w:cs="Times New Roman" w:eastAsia="方正仿宋_GBK"/>
                <w:i w:val="1"/>
                <w:iCs w:val="1"/>
              </w:rPr>
              <m:t>N</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为分段开关下游可切换区段的节点集合，</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k</m:t>
            </m:r>
          </m:sub>
        </m:sSub>
      </m:oMath>
      <w:r>
        <w:rPr>
          <w:rFonts w:ascii="Times New Roman" w:hAnsi="Times New Roman" w:eastAsia="方正仿宋_GBK"/>
          <w:b w:val="0"/>
          <w:sz w:val="24"/>
        </w:rPr>
        <w:t xml:space="preserve">为节点</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的压力场景负荷，</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为区段合计负荷，单位MW；</w:t>
      </w:r>
      <m:oMath>
        <m:r>
          <m:rPr>
            <m:nor m:val="1"/>
          </m:rPr>
          <w:rPr>
            <w:rFonts w:ascii="Times New Roman" w:hAnsi="Times New Roman" w:cs="Times New Roman" w:eastAsia="方正仿宋_GBK"/>
            <w:i w:val="1"/>
            <w:iCs w:val="1"/>
          </w:rPr>
          <m:t>U</m:t>
        </m:r>
      </m:oMath>
      <w:r>
        <w:rPr>
          <w:rFonts w:ascii="Times New Roman" w:hAnsi="Times New Roman" w:eastAsia="方正仿宋_GBK"/>
          <w:b w:val="0"/>
          <w:sz w:val="24"/>
        </w:rPr>
        <w:t xml:space="preserve">为线电压，取10 kV，</w:t>
      </w:r>
      <m:oMath>
        <m:sSub>
          <m:e>
            <m:r>
              <m:rPr>
                <m:nor m:val="1"/>
              </m:rPr>
              <w:rPr>
                <w:rFonts w:ascii="Times New Roman" w:hAnsi="Times New Roman" w:cs="Times New Roman" w:eastAsia="方正仿宋_GBK"/>
                <w:i w:val="1"/>
                <w:iCs w:val="1"/>
              </w:rPr>
              <m:t>I</m:t>
            </m:r>
          </m:e>
          <m:sub>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sub>
        </m:sSub>
      </m:oMath>
      <w:r>
        <w:rPr>
          <w:rFonts w:ascii="Times New Roman" w:hAnsi="Times New Roman" w:eastAsia="方正仿宋_GBK"/>
          <w:b w:val="0"/>
          <w:sz w:val="24"/>
        </w:rPr>
        <w:t xml:space="preserve">为新增路径的研究允许电流，取550 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oMath>
      <w:r>
        <w:rPr>
          <w:rFonts w:ascii="Times New Roman" w:hAnsi="Times New Roman" w:eastAsia="方正仿宋_GBK"/>
          <w:b w:val="0"/>
          <w:sz w:val="24"/>
        </w:rPr>
        <w:t xml:space="preserve">为有功热限，</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为单项候选的参考转移规模，单位MW。节点负荷按六馈线结构化资料及区段明细汇总。</w:t>
      </w:r>
    </w:p>
    <w:p>
      <w:pPr>
        <w:pStyle w:val="2"/>
        <w:widowControl/>
        <w:spacing w:line="348" w:lineRule="exact" w:before="0" w:after="0"/>
        <w:ind w:firstLine="480"/>
        <w:jc w:val="both"/>
      </w:pPr>
      <w:r>
        <w:rPr>
          <w:rFonts w:ascii="Times New Roman" w:hAnsi="Times New Roman" w:eastAsia="方正仿宋_GBK"/>
          <w:b w:val="0"/>
          <w:sz w:val="24"/>
        </w:rPr>
        <w:t xml:space="preserve">新增联络的正向负荷转接还需逐工况满足共享资源约束：</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年投运状态；</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为共用馈线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的转出、转入通道集合，</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为接收站</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的转入通道集合；</w:t>
      </w:r>
      <m:oMath>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为源端可切负荷，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为馈线热限，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为接收余量计算所用负荷，</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为接收站按第5.3.1节容量条件确定的可承接余量，单位均为MW。实际转供取上述条件共同允许的功率，新增工程费用按地区电缆长度占比计算。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32" w:name="电源归属及反向功率"/>
      <w:r>
        <w:rPr>
          <w:rFonts w:ascii="Times New Roman" w:hAnsi="Times New Roman" w:eastAsia="方正仿宋_GBK"/>
          <w:b/>
          <w:sz w:val="26"/>
        </w:rPr>
        <w:t xml:space="preserve">3.6.3 电源归属及反向功率</w:t>
      </w:r>
      <w:bookmarkEnd w:id="132"/>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地区案例按源荷区段同时切换用电负荷和区段内光伏，按转接后的带符号净功率校核正向供电与反向容量。转出区段受本站可切换区段、既有MW预算及可用路径限制，区域内部转入与转出保持同小时平衡。</w:t>
      </w:r>
    </w:p>
    <w:p>
      <w:pPr>
        <w:pStyle w:val="4"/>
        <w:keepNext/>
        <w:numPr>
          <w:numId w:val="0"/>
        </w:numPr>
        <w:spacing w:line="480" w:lineRule="exact" w:before="160" w:after="120"/>
        <w:ind w:firstLine="0"/>
      </w:pPr>
      <w:bookmarkStart w:id="1458" w:name="h458"/>
      <w:bookmarkStart w:id="133" w:name="站级负载率与配置需求"/>
      <w:r>
        <w:rPr>
          <w:rFonts w:ascii="Times New Roman" w:hAnsi="Times New Roman" w:eastAsia="方正仿宋_GBK"/>
          <w:b/>
          <w:sz w:val="32"/>
        </w:rPr>
        <w:t xml:space="preserve">3.7 站级负载率与配置需求</w:t>
      </w:r>
      <w:bookmarkEnd w:id="133"/>
      <w:bookmarkEnd w:id="1458"/>
    </w:p>
    <w:p>
      <w:pPr>
        <w:pStyle w:val="5"/>
        <w:keepNext/>
        <w:numPr>
          <w:numId w:val="0"/>
        </w:numPr>
        <w:spacing w:line="390" w:lineRule="exact" w:before="160" w:after="120"/>
        <w:ind w:firstLine="0"/>
      </w:pPr>
      <w:bookmarkStart w:id="134" w:name="邳州站级相对负载"/>
      <w:r>
        <w:rPr>
          <w:rFonts w:ascii="Times New Roman" w:hAnsi="Times New Roman" w:eastAsia="方正仿宋_GBK"/>
          <w:b/>
          <w:sz w:val="26"/>
        </w:rPr>
        <w:t xml:space="preserve">3.7.1 邳州站级相对负载</w:t>
      </w:r>
      <w:bookmarkEnd w:id="134"/>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129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5"/>
                    <a:stretch>
                      <a:fillRect/>
                    </a:stretch>
                  </pic:blipFill>
                  <pic:spPr bwMode="auto">
                    <a:xfrm>
                      <a:off x="0" y="0"/>
                      <a:ext cx="5120640" cy="351129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图3-13 邳州站级负载率</w:t>
      </w:r>
    </w:p>
    <w:p>
      <w:pPr>
        <w:pStyle w:val="5"/>
        <w:keepNext/>
        <w:numPr>
          <w:numId w:val="0"/>
        </w:numPr>
        <w:spacing w:line="390" w:lineRule="exact" w:before="160" w:after="120"/>
        <w:ind w:firstLine="0"/>
      </w:pPr>
      <w:bookmarkStart w:id="136" w:name="市区站级相对负载"/>
      <w:r>
        <w:rPr>
          <w:rFonts w:ascii="Times New Roman" w:hAnsi="Times New Roman" w:eastAsia="方正仿宋_GBK"/>
          <w:b/>
          <w:sz w:val="26"/>
        </w:rPr>
        <w:t xml:space="preserve">3.7.2 市区站级相对负载</w:t>
      </w:r>
      <w:bookmarkEnd w:id="136"/>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4564684"/>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7"/>
                    <a:stretch>
                      <a:fillRect/>
                    </a:stretch>
                  </pic:blipFill>
                  <pic:spPr bwMode="auto">
                    <a:xfrm>
                      <a:off x="0" y="0"/>
                      <a:ext cx="5120640" cy="456468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图3-14 市区站级负载率</w:t>
      </w:r>
    </w:p>
    <w:p>
      <w:pPr>
        <w:pStyle w:val="5"/>
        <w:keepNext/>
        <w:numPr>
          <w:numId w:val="0"/>
        </w:numPr>
        <w:spacing w:line="390" w:lineRule="exact" w:before="160" w:after="120"/>
        <w:ind w:firstLine="0"/>
      </w:pPr>
      <w:bookmarkStart w:id="138" w:name="负载率与规划措施的联系"/>
      <w:r>
        <w:rPr>
          <w:rFonts w:ascii="Times New Roman" w:hAnsi="Times New Roman" w:eastAsia="方正仿宋_GBK"/>
          <w:b/>
          <w:sz w:val="26"/>
        </w:rPr>
        <w:t xml:space="preserve">3.7.3 负载率与规划措施的联系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9" w:name="较高负载率站的方向与配置条件"/>
      <w:r>
        <w:rPr>
          <w:rFonts w:ascii="Times New Roman" w:hAnsi="Times New Roman" w:eastAsia="方正仿宋_GBK"/>
          <w:b/>
          <w:sz w:val="26"/>
        </w:rPr>
        <w:t xml:space="preserve">3.7.4 较高负载率站的方向与配置条件</w:t>
      </w:r>
      <w:bookmarkEnd w:id="139"/>
    </w:p>
    <w:p>
      <w:pPr>
        <w:pStyle w:val="FirstParagraph"/>
        <w:keepNext/>
        <w:spacing w:line="280" w:lineRule="exact" w:before="120" w:after="80"/>
        <w:ind w:firstLine="0"/>
        <w:jc w:val="center"/>
      </w:pPr>
      <w:r>
        <w:rPr>
          <w:rFonts w:ascii="Times New Roman" w:hAnsi="Times New Roman" w:eastAsia="宋体"/>
          <w:b w:val="0"/>
          <w:sz w:val="21"/>
        </w:rPr>
        <w:t xml:space="preserve">表3-22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68.68%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108.71%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40" w:name="站级功率的主导方向"/>
      <w:r>
        <w:rPr>
          <w:rFonts w:ascii="Times New Roman" w:hAnsi="Times New Roman" w:eastAsia="方正仿宋_GBK"/>
          <w:b/>
          <w:sz w:val="26"/>
        </w:rPr>
        <w:t xml:space="preserve">3.7.5 站级功率的主导方向</w:t>
      </w:r>
      <w:bookmarkEnd w:id="140"/>
    </w:p>
    <w:p>
      <w:pPr>
        <w:pStyle w:val="FirstParagraph"/>
        <w:keepNext/>
        <w:spacing w:line="280" w:lineRule="exact" w:before="120" w:after="80"/>
        <w:ind w:firstLine="0"/>
        <w:jc w:val="center"/>
      </w:pPr>
      <w:r>
        <w:rPr>
          <w:rFonts w:ascii="Times New Roman" w:hAnsi="Times New Roman" w:eastAsia="宋体"/>
          <w:b w:val="0"/>
          <w:sz w:val="21"/>
        </w:rPr>
        <w:t xml:space="preserve">表3-23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校核区段源荷共同切换后的本站及邻站反向输送需求。建设方案以第五章逐工况网络校核为依据。</w:t>
      </w:r>
    </w:p>
    <w:p>
      <w:pPr>
        <w:pStyle w:val="4"/>
        <w:keepNext/>
        <w:numPr>
          <w:numId w:val="0"/>
        </w:numPr>
        <w:spacing w:line="480" w:lineRule="exact" w:before="160" w:after="120"/>
        <w:ind w:firstLine="0"/>
      </w:pPr>
      <w:bookmarkStart w:id="1474" w:name="h474"/>
      <w:bookmarkStart w:id="141" w:name="运行特征的综合分析"/>
      <w:r>
        <w:rPr>
          <w:rFonts w:ascii="Times New Roman" w:hAnsi="Times New Roman" w:eastAsia="方正仿宋_GBK"/>
          <w:b/>
          <w:sz w:val="32"/>
        </w:rPr>
        <w:t xml:space="preserve">3.8 运行特征的综合分析</w:t>
      </w:r>
      <w:bookmarkEnd w:id="141"/>
      <w:bookmarkEnd w:id="1474"/>
    </w:p>
    <w:p>
      <w:pPr>
        <w:pStyle w:val="5"/>
        <w:keepNext/>
        <w:numPr>
          <w:numId w:val="0"/>
        </w:numPr>
        <w:spacing w:line="390" w:lineRule="exact" w:before="160" w:after="120"/>
        <w:ind w:firstLine="0"/>
      </w:pPr>
      <w:bookmarkStart w:id="142" w:name="容量建设与负荷变化的不同作用"/>
      <w:r>
        <w:rPr>
          <w:rFonts w:ascii="Times New Roman" w:hAnsi="Times New Roman" w:eastAsia="方正仿宋_GBK"/>
          <w:b/>
          <w:sz w:val="26"/>
        </w:rPr>
        <w:t xml:space="preserve">3.8.1 容量建设与负荷变化的不同作用</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表3-24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pPr>
        <w:pStyle w:val="2"/>
        <w:widowControl/>
        <w:spacing w:line="348" w:lineRule="exact" w:before="0" w:after="0"/>
        <w:ind w:firstLine="480"/>
        <w:jc w:val="both"/>
      </w:pPr>
      <w:r>
        <w:rPr>
          <w:rFonts w:ascii="Times New Roman" w:hAnsi="Times New Roman" w:eastAsia="方正仿宋_GBK"/>
          <w:b w:val="0"/>
          <w:sz w:val="24"/>
        </w:rPr>
        <w:t xml:space="preserve">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819425"/>
            <wp:effectExtent b="0" l="0" r="0" t="0"/>
            <wp:docPr descr="" title="" id="1" name="Picture"/>
            <a:graphic>
              <a:graphicData uri="http://schemas.openxmlformats.org/drawingml/2006/picture">
                <pic:pic>
                  <pic:nvPicPr>
                    <pic:cNvPr descr="研究报告/02图表/当前版/historical_clr_contribution.png" id="0" name="Picture"/>
                    <pic:cNvPicPr>
                      <a:picLocks noChangeArrowheads="1" noChangeAspect="1"/>
                    </pic:cNvPicPr>
                  </pic:nvPicPr>
                  <pic:blipFill>
                    <a:blip r:embed="rId143"/>
                    <a:stretch>
                      <a:fillRect/>
                    </a:stretch>
                  </pic:blipFill>
                  <pic:spPr bwMode="auto">
                    <a:xfrm>
                      <a:off x="0" y="0"/>
                      <a:ext cx="5120640" cy="481942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图3-15 两地区年度容载比变化的容量与负荷贡献</w:t>
      </w:r>
    </w:p>
    <w:p>
      <w:pPr>
        <w:pStyle w:val="5"/>
        <w:keepNext/>
        <w:numPr>
          <w:numId w:val="0"/>
        </w:numPr>
        <w:spacing w:line="390" w:lineRule="exact" w:before="160" w:after="120"/>
        <w:ind w:firstLine="0"/>
      </w:pPr>
      <w:bookmarkStart w:id="144" w:name="光伏发电与用电高峰的季节关系"/>
      <w:r>
        <w:rPr>
          <w:rFonts w:ascii="Times New Roman" w:hAnsi="Times New Roman" w:eastAsia="方正仿宋_GBK"/>
          <w:b/>
          <w:sz w:val="26"/>
        </w:rPr>
        <w:t xml:space="preserve">3.8.2 光伏发电与用电高峰的季节关系</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pPr>
        <w:pStyle w:val="2"/>
        <w:keepNext/>
        <w:spacing w:line="280" w:lineRule="exact" w:before="120" w:after="80"/>
        <w:ind w:firstLine="0"/>
        <w:jc w:val="center"/>
      </w:pPr>
      <w:r>
        <w:rPr>
          <w:rFonts w:ascii="Times New Roman" w:hAnsi="Times New Roman" w:eastAsia="宋体"/>
          <w:b w:val="0"/>
          <w:sz w:val="21"/>
        </w:rPr>
        <w:t xml:space="preserve">表3-25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quarterly_energy_comparison.png" id="0" name="Picture"/>
                    <pic:cNvPicPr>
                      <a:picLocks noChangeArrowheads="1" noChangeAspect="1"/>
                    </pic:cNvPicPr>
                  </pic:nvPicPr>
                  <pic:blipFill>
                    <a:blip r:embed="rId145"/>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图3-16 邳州2025年分季度电量规模与电量渗透率</w:t>
      </w:r>
    </w:p>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46" w:name="区域容量储备与重载设备并存"/>
      <w:r>
        <w:rPr>
          <w:rFonts w:ascii="Times New Roman" w:hAnsi="Times New Roman" w:eastAsia="方正仿宋_GBK"/>
          <w:b/>
          <w:sz w:val="26"/>
        </w:rPr>
        <w:t xml:space="preserve">3.8.3 区域容量储备与重载设备并存</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和额定容量共同决定N-1后的剩余容量。第三台投运能够增加故障后可用容量，两台共同升档也能提高最大单台停运后的剩余能力。第五章以实际基期设备为起点，按年度源荷和转供条件比较各站的更换、扩建及配储需求。</w:t>
      </w:r>
    </w:p>
    <w:p>
      <w:pPr>
        <w:pStyle w:val="2"/>
        <w:widowControl/>
        <w:spacing w:line="348" w:lineRule="exact" w:before="0" w:after="0"/>
        <w:ind w:firstLine="480"/>
        <w:jc w:val="both"/>
      </w:pPr>
      <w:commentRangeStart w:id="5"/>
      <w:r>
        <w:rPr>
          <w:rFonts w:ascii="Times New Roman" w:hAnsi="Times New Roman" w:eastAsia="方正仿宋_GBK"/>
          <w:b w:val="0"/>
          <w:sz w:val="24"/>
        </w:rPr>
        <w:t xml:space="preserve">负荷分散系数为各站最大正向净负荷之和与区域同时最大正向净负荷之比，无量纲。系数1.00对应各站正向峰值完全同时发生的边界情景。按2025年补齐后的同小时序列计算，邳州各站峰值合计1005.50 MW、区域同时峰值951.66 MW，系数为1.06；市区分别为1455.10 MW、1307.32 MW，系数为1.11。两地区样本为1.00、1.10、1.15三个推广节点提供参照，其中1.15为本研究情景范围的上端。站间峰值越不同步，系数还可能高于1.15，实际取值应由同范围同期曲线计算。</w:t>
      </w:r>
      <w:commentRangeEnd w:id="5"/>
      <w:r>
        <w:commentReference w:id="5"/>
      </w:r>
    </w:p>
    <w:p>
      <w:pPr>
        <w:pStyle w:val="5"/>
        <w:keepNext/>
        <w:numPr>
          <w:numId w:val="0"/>
        </w:numPr>
        <w:spacing w:line="390" w:lineRule="exact" w:before="160" w:after="120"/>
        <w:ind w:firstLine="0"/>
      </w:pPr>
      <w:bookmarkStart w:id="147" w:name="两地区的容量规划重点"/>
      <w:r>
        <w:rPr>
          <w:rFonts w:ascii="Times New Roman" w:hAnsi="Times New Roman" w:eastAsia="方正仿宋_GBK"/>
          <w:b/>
          <w:sz w:val="26"/>
        </w:rPr>
        <w:t xml:space="preserve">3.8.4 两地区的容量规划重点</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502" w:name="h502"/>
      <w:bookmarkStart w:id="148" w:name="第四章-基于实际工程的建设成本模型"/>
      <w:r>
        <w:rPr>
          <w:rFonts w:ascii="Times New Roman" w:hAnsi="Times New Roman" w:eastAsia="方正仿宋_GBK"/>
          <w:b/>
          <w:sz w:val="36"/>
        </w:rPr>
        <w:t xml:space="preserve">第四章 基于实际工程的建设成本模型</w:t>
      </w:r>
      <w:bookmarkEnd w:id="148"/>
      <w:bookmarkEnd w:id="1502"/>
    </w:p>
    <w:p>
      <w:pPr>
        <w:pStyle w:val="4"/>
        <w:keepNext/>
        <w:numPr>
          <w:numId w:val="0"/>
        </w:numPr>
        <w:spacing w:line="480" w:lineRule="exact" w:before="160" w:after="120"/>
        <w:ind w:firstLine="0"/>
      </w:pPr>
      <w:bookmarkStart w:id="1503" w:name="h503"/>
      <w:bookmarkStart w:id="149" w:name="成本模型的范围与建立原则"/>
      <w:r>
        <w:rPr>
          <w:rFonts w:ascii="Times New Roman" w:hAnsi="Times New Roman" w:eastAsia="方正仿宋_GBK"/>
          <w:b/>
          <w:sz w:val="32"/>
        </w:rPr>
        <w:t xml:space="preserve">4.1 成本模型的范围与建立原则</w:t>
      </w:r>
      <w:bookmarkEnd w:id="149"/>
      <w:bookmarkEnd w:id="1503"/>
    </w:p>
    <w:p>
      <w:pPr>
        <w:pStyle w:val="5"/>
        <w:keepNext/>
        <w:numPr>
          <w:numId w:val="0"/>
        </w:numPr>
        <w:spacing w:line="390" w:lineRule="exact" w:before="160" w:after="120"/>
        <w:ind w:firstLine="0"/>
      </w:pPr>
      <w:bookmarkStart w:id="150" w:name="建设改造措施与投资估算依据"/>
      <w:r>
        <w:rPr>
          <w:rFonts w:ascii="Times New Roman" w:hAnsi="Times New Roman" w:eastAsia="方正仿宋_GBK"/>
          <w:b/>
          <w:sz w:val="26"/>
        </w:rPr>
        <w:t xml:space="preserve">4.1.1 建设改造措施与投资估算依据</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pPr>
        <w:pStyle w:val="5"/>
        <w:keepNext/>
        <w:numPr>
          <w:numId w:val="0"/>
        </w:numPr>
        <w:spacing w:line="390" w:lineRule="exact" w:before="160" w:after="120"/>
        <w:ind w:firstLine="0"/>
      </w:pPr>
      <w:bookmarkStart w:id="151" w:name="投资运维与更新"/>
      <w:r>
        <w:rPr>
          <w:rFonts w:ascii="Times New Roman" w:hAnsi="Times New Roman" w:eastAsia="方正仿宋_GBK"/>
          <w:b/>
          <w:sz w:val="26"/>
        </w:rPr>
        <w:t xml:space="preserve">4.1.2 投资、运维与更新</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2041年为截止年，新增工程在投运年发生初始投资，次年起计固定运维。设备达到设定寿命且评价期内仍需服务时，按同等实价更新，使不同寿命的措施在相同现金流范围内比较[10,13,14]。</w:t>
      </w:r>
    </w:p>
    <w:p>
      <w:pPr>
        <w:pStyle w:val="2"/>
        <w:widowControl/>
        <w:spacing w:line="348" w:lineRule="exact" w:before="0" w:after="0"/>
        <w:ind w:firstLine="480"/>
        <w:jc w:val="both"/>
      </w:pPr>
      <w:r>
        <w:rPr>
          <w:rFonts w:ascii="Times New Roman" w:hAnsi="Times New Roman" w:eastAsia="方正仿宋_GBK"/>
          <w:b w:val="0"/>
          <w:sz w:val="24"/>
        </w:rPr>
        <w:t xml:space="preserve">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现值法；统一资金时间价值参数[10,13,14]</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初始投资4.20%/年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按初始投资比例估算年度运维[13]</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初始投资2.20%/年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按初始投资比例估算年度运维[14]</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初始投资3.00%/年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52" w:name="增量比较的适用范围"/>
      <w:r>
        <w:rPr>
          <w:rFonts w:ascii="Times New Roman" w:hAnsi="Times New Roman" w:eastAsia="方正仿宋_GBK"/>
          <w:b/>
          <w:sz w:val="26"/>
        </w:rPr>
        <w:t xml:space="preserve">4.1.3 增量比较的适用范围</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515" w:name="h515"/>
      <w:bookmarkStart w:id="153" w:name="主变工程成本系数"/>
      <w:r>
        <w:rPr>
          <w:rFonts w:ascii="Times New Roman" w:hAnsi="Times New Roman" w:eastAsia="方正仿宋_GBK"/>
          <w:b/>
          <w:sz w:val="32"/>
        </w:rPr>
        <w:t xml:space="preserve">4.2 主变工程成本系数</w:t>
      </w:r>
      <w:bookmarkEnd w:id="153"/>
      <w:bookmarkEnd w:id="1515"/>
    </w:p>
    <w:p>
      <w:pPr>
        <w:pStyle w:val="5"/>
        <w:keepNext/>
        <w:numPr>
          <w:numId w:val="0"/>
        </w:numPr>
        <w:spacing w:line="390" w:lineRule="exact" w:before="160" w:after="120"/>
        <w:ind w:firstLine="0"/>
      </w:pPr>
      <w:bookmarkStart w:id="154" w:name="替换工程案例"/>
      <w:r>
        <w:rPr>
          <w:rFonts w:ascii="Times New Roman" w:hAnsi="Times New Roman" w:eastAsia="方正仿宋_GBK"/>
          <w:b/>
          <w:sz w:val="26"/>
        </w:rPr>
        <w:t xml:space="preserve">4.2.1 替换工程案例</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2"/>
        <w:widowControl/>
        <w:spacing w:line="348" w:lineRule="exact" w:before="0" w:after="0"/>
        <w:ind w:firstLine="480"/>
        <w:jc w:val="both"/>
      </w:pPr>
      <w:r>
        <w:rPr>
          <w:rFonts w:ascii="Times New Roman" w:hAnsi="Times New Roman" w:eastAsia="方正仿宋_GBK"/>
          <w:b w:val="0"/>
          <w:sz w:val="24"/>
        </w:rPr>
        <w:t xml:space="preserve">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capacity_balance.png" id="0" name="Picture"/>
                    <pic:cNvPicPr>
                      <a:picLocks noChangeArrowheads="1" noChangeAspect="1"/>
                    </pic:cNvPicPr>
                  </pic:nvPicPr>
                  <pic:blipFill>
                    <a:blip r:embed="rId155"/>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主变工程新购容量、替换容量与净增容量</w:t>
      </w:r>
    </w:p>
    <w:p>
      <w:pPr>
        <w:pStyle w:val="5"/>
        <w:keepNext/>
        <w:numPr>
          <w:numId w:val="0"/>
        </w:numPr>
        <w:spacing w:line="390" w:lineRule="exact" w:before="160" w:after="120"/>
        <w:ind w:firstLine="0"/>
      </w:pPr>
      <w:bookmarkStart w:id="156" w:name="采购容量加权系数"/>
      <w:r>
        <w:rPr>
          <w:rFonts w:ascii="Times New Roman" w:hAnsi="Times New Roman" w:eastAsia="方正仿宋_GBK"/>
          <w:b/>
          <w:sz w:val="26"/>
        </w:rPr>
        <w:t xml:space="preserve">4.2.2 采购容量加权系数</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2"/>
        <w:widowControl/>
        <w:spacing w:line="348" w:lineRule="exact" w:before="0" w:after="0"/>
        <w:ind w:firstLine="480"/>
        <w:jc w:val="both"/>
      </w:pPr>
      <w:r>
        <w:rPr>
          <w:rFonts w:ascii="Times New Roman" w:hAnsi="Times New Roman" w:eastAsia="方正仿宋_GBK"/>
          <w:b w:val="0"/>
          <w:sz w:val="24"/>
        </w:rPr>
        <w:t xml:space="preserve">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transformer_unit_cost_basis.png" id="0" name="Picture"/>
                    <pic:cNvPicPr>
                      <a:picLocks noChangeArrowheads="1" noChangeAspect="1"/>
                    </pic:cNvPicPr>
                  </pic:nvPicPr>
                  <pic:blipFill>
                    <a:blip r:embed="rId157"/>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图4-2 按新购与净增容量折算的主变工程投资</w:t>
      </w:r>
    </w:p>
    <w:p>
      <w:pPr>
        <w:pStyle w:val="5"/>
        <w:keepNext/>
        <w:numPr>
          <w:numId w:val="0"/>
        </w:numPr>
        <w:spacing w:line="390" w:lineRule="exact" w:before="160" w:after="120"/>
        <w:ind w:firstLine="0"/>
      </w:pPr>
      <w:bookmarkStart w:id="158" w:name="净增容量与工程费用"/>
      <w:r>
        <w:rPr>
          <w:rFonts w:ascii="Times New Roman" w:hAnsi="Times New Roman" w:eastAsia="方正仿宋_GBK"/>
          <w:b/>
          <w:sz w:val="26"/>
        </w:rPr>
        <w:t xml:space="preserve">4.2.3 净增容量与工程费用</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9" w:name="主变扩建"/>
      <w:r>
        <w:rPr>
          <w:rFonts w:ascii="Times New Roman" w:hAnsi="Times New Roman" w:eastAsia="方正仿宋_GBK"/>
          <w:b/>
          <w:sz w:val="26"/>
        </w:rPr>
        <w:t xml:space="preserve">4.2.4 主变扩建</w:t>
      </w:r>
      <w:bookmarkEnd w:id="159"/>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主变扩建仅在具备预留位置的站点设置，按1223万元/项计费，费用包含增加台数及相应配套工程。</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540" w:name="h540"/>
      <w:bookmarkStart w:id="160" w:name="kv联络工程费用"/>
      <w:r>
        <w:rPr>
          <w:rFonts w:ascii="Times New Roman" w:hAnsi="Times New Roman" w:eastAsia="方正仿宋_GBK"/>
          <w:b/>
          <w:sz w:val="32"/>
        </w:rPr>
        <w:t xml:space="preserve">4.3 10 kV联络工程费用</w:t>
      </w:r>
      <w:bookmarkEnd w:id="160"/>
      <w:bookmarkEnd w:id="1540"/>
    </w:p>
    <w:p>
      <w:pPr>
        <w:pStyle w:val="5"/>
        <w:keepNext/>
        <w:numPr>
          <w:numId w:val="0"/>
        </w:numPr>
        <w:spacing w:line="390" w:lineRule="exact" w:before="160" w:after="120"/>
        <w:ind w:firstLine="0"/>
      </w:pPr>
      <w:bookmarkStart w:id="161" w:name="参考工程及单位造价"/>
      <w:r>
        <w:rPr>
          <w:rFonts w:ascii="Times New Roman" w:hAnsi="Times New Roman" w:eastAsia="方正仿宋_GBK"/>
          <w:b/>
          <w:sz w:val="26"/>
        </w:rPr>
        <w:t xml:space="preserve">4.3.1 参考工程及单位造价</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pPr>
        <w:pStyle w:val="5"/>
        <w:keepNext/>
        <w:numPr>
          <w:numId w:val="0"/>
        </w:numPr>
        <w:spacing w:line="390" w:lineRule="exact" w:before="160" w:after="120"/>
        <w:ind w:firstLine="0"/>
      </w:pPr>
      <w:bookmarkStart w:id="162" w:name="电缆长度占比与综合造价"/>
      <w:r>
        <w:rPr>
          <w:rFonts w:ascii="Times New Roman" w:hAnsi="Times New Roman" w:eastAsia="方正仿宋_GBK"/>
          <w:b/>
          <w:sz w:val="26"/>
        </w:rPr>
        <w:t xml:space="preserve">4.3.2 电缆长度占比与综合造价</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2"/>
        <w:widowControl/>
        <w:spacing w:line="348" w:lineRule="exact" w:before="0" w:after="0"/>
        <w:ind w:firstLine="480"/>
        <w:jc w:val="both"/>
      </w:pPr>
      <w:r>
        <w:rPr>
          <w:rFonts w:ascii="Times New Roman" w:hAnsi="Times New Roman" w:eastAsia="方正仿宋_GBK"/>
          <w:b w:val="0"/>
          <w:sz w:val="24"/>
        </w:rPr>
        <w:t xml:space="preserve">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ne_investment_components.png" id="0" name="Picture"/>
                    <pic:cNvPicPr>
                      <a:picLocks noChangeArrowheads="1" noChangeAspect="1"/>
                    </pic:cNvPicPr>
                  </pic:nvPicPr>
                  <pic:blipFill>
                    <a:blip r:embed="rId163"/>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图4-3 不同电缆长度占比下联络项目的投资构成</w:t>
      </w:r>
    </w:p>
    <w:p>
      <w:pPr>
        <w:pStyle w:val="5"/>
        <w:keepNext/>
        <w:numPr>
          <w:numId w:val="0"/>
        </w:numPr>
        <w:spacing w:line="390" w:lineRule="exact" w:before="160" w:after="120"/>
        <w:ind w:firstLine="0"/>
      </w:pPr>
      <w:bookmarkStart w:id="164" w:name="联络能力与工程计费"/>
      <w:r>
        <w:rPr>
          <w:rFonts w:ascii="Times New Roman" w:hAnsi="Times New Roman" w:eastAsia="方正仿宋_GBK"/>
          <w:b/>
          <w:sz w:val="26"/>
        </w:rPr>
        <w:t xml:space="preserve">4.3.3 联络能力与工程计费</w:t>
      </w:r>
      <w:bookmarkEnd w:id="164"/>
    </w:p>
    <w:p>
      <w:pPr>
        <w:pStyle w:val="FirstParagraph"/>
        <w:widowControl/>
        <w:spacing w:line="348" w:lineRule="exact" w:before="0" w:after="0"/>
        <w:ind w:firstLine="480"/>
        <w:jc w:val="both"/>
      </w:pPr>
      <w:commentRangeStart w:id="6"/>
      <w:r>
        <w:rPr>
          <w:rFonts w:ascii="Times New Roman" w:hAnsi="Times New Roman" w:eastAsia="方正仿宋_GBK"/>
          <w:b w:val="0"/>
          <w:sz w:val="24"/>
        </w:rPr>
        <w:t xml:space="preserve">新增联络能力的取值依据邳州局部六条10 kV馈线的结构化资料、联络关系及区段明细。先按开关位置识别可切换区段，再核对区段负荷、线路允许电流和接收侧余量。墩振线23—24杆下游区段的2025年压力场景负荷汇总为7.49 MW，作为新增独立接收馈线的候选转移规模，低于按允许电流及0.95功率因数折算的有功容量9.05 MW，计算过程见第3.6.2节。7.49 MW是该区段场景计算的参考规模，实际可转功率还受送受端馈线、路径共享和邻站主变余量共同限制。模型按具体送受端建立候选边，既有工程不重复计原建设费，新增边按投运年计费。</w:t>
      </w:r>
      <w:commentRangeEnd w:id="6"/>
      <w:r>
        <w:commentReference w:id="6"/>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554" w:name="h554"/>
      <w:bookmarkStart w:id="165" w:name="储能投资模型"/>
      <w:r>
        <w:rPr>
          <w:rFonts w:ascii="Times New Roman" w:hAnsi="Times New Roman" w:eastAsia="方正仿宋_GBK"/>
          <w:b/>
          <w:sz w:val="32"/>
        </w:rPr>
        <w:t xml:space="preserve">4.4 储能投资模型</w:t>
      </w:r>
      <w:bookmarkEnd w:id="165"/>
      <w:bookmarkEnd w:id="1554"/>
    </w:p>
    <w:p>
      <w:pPr>
        <w:pStyle w:val="5"/>
        <w:keepNext/>
        <w:numPr>
          <w:numId w:val="0"/>
        </w:numPr>
        <w:spacing w:line="390" w:lineRule="exact" w:before="160" w:after="120"/>
        <w:ind w:firstLine="0"/>
      </w:pPr>
      <w:bookmarkStart w:id="166" w:name="储能规格与采购价格依据"/>
      <w:r>
        <w:rPr>
          <w:rFonts w:ascii="Times New Roman" w:hAnsi="Times New Roman" w:eastAsia="方正仿宋_GBK"/>
          <w:b/>
          <w:sz w:val="26"/>
        </w:rPr>
        <w:t xml:space="preserve">4.4.1 储能规格与采购价格依据</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MWh，折合10柜[87]。</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储能采购价格依据[87,89]</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67" w:name="成套柜单位价格"/>
      <w:r>
        <w:rPr>
          <w:rFonts w:ascii="Times New Roman" w:hAnsi="Times New Roman" w:eastAsia="方正仿宋_GBK"/>
          <w:b/>
          <w:sz w:val="26"/>
        </w:rPr>
        <w:t xml:space="preserve">4.4.2 成套柜单位价格</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68" w:name="储能有效支撑功率与持续时间"/>
      <w:r>
        <w:rPr>
          <w:rFonts w:ascii="Times New Roman" w:hAnsi="Times New Roman" w:eastAsia="方正仿宋_GBK"/>
          <w:b/>
          <w:sz w:val="26"/>
        </w:rPr>
        <w:t xml:space="preserve">4.4.3 储能有效支撑功率与持续时间</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储能有效支撑功率同时受额定功率和可用电量限制，取额定功率与可用电量除以支撑持续时间所得功率的较小值。设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单位为MW，单柜额定能量为215.00 kWh，额定功率为100.00 kW，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6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图4-4 储能单位有效支撑功率投资与持续时间</w:t>
      </w:r>
    </w:p>
    <w:p>
      <w:pPr>
        <w:pStyle w:val="2"/>
        <w:widowControl/>
        <w:spacing w:line="348" w:lineRule="exact" w:before="0" w:after="0"/>
        <w:ind w:firstLine="480"/>
        <w:jc w:val="both"/>
      </w:pPr>
      <w:r>
        <w:rPr>
          <w:rFonts w:ascii="Times New Roman" w:hAnsi="Times New Roman" w:eastAsia="方正仿宋_GBK"/>
          <w:b w:val="0"/>
          <w:sz w:val="24"/>
        </w:rPr>
        <w:t xml:space="preserve">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668818"/>
            <wp:effectExtent b="0" l="0" r="0" t="0"/>
            <wp:docPr descr="" title="" id="1" name="Picture"/>
            <a:graphic>
              <a:graphicData uri="http://schemas.openxmlformats.org/drawingml/2006/picture">
                <pic:pic>
                  <pic:nvPicPr>
                    <pic:cNvPr descr="研究报告/02图表/当前版/storage_support_modules.png" id="0" name="Picture"/>
                    <pic:cNvPicPr>
                      <a:picLocks noChangeArrowheads="1" noChangeAspect="1"/>
                    </pic:cNvPicPr>
                  </pic:nvPicPr>
                  <pic:blipFill>
                    <a:blip r:embed="rId170"/>
                    <a:stretch>
                      <a:fillRect/>
                    </a:stretch>
                  </pic:blipFill>
                  <pic:spPr bwMode="auto">
                    <a:xfrm>
                      <a:off x="0" y="0"/>
                      <a:ext cx="5120640" cy="4668818"/>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图4-5 1 MW连续支撑任务对应的储能成套柜配置</w:t>
      </w:r>
    </w:p>
    <w:p>
      <w:pPr>
        <w:pStyle w:val="5"/>
        <w:keepNext/>
        <w:numPr>
          <w:numId w:val="0"/>
        </w:numPr>
        <w:spacing w:line="390" w:lineRule="exact" w:before="160" w:after="120"/>
        <w:ind w:firstLine="0"/>
      </w:pPr>
      <w:bookmarkStart w:id="171" w:name="可用能力与工程适用性"/>
      <w:r>
        <w:rPr>
          <w:rFonts w:ascii="Times New Roman" w:hAnsi="Times New Roman" w:eastAsia="方正仿宋_GBK"/>
          <w:b/>
          <w:sz w:val="26"/>
        </w:rPr>
        <w:t xml:space="preserve">4.4.4 可用能力与工程适用性</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可用电量系数用于第3.4.5节所述静态比选，正向支撑对应可放电电量，反向吸收对应可充电空间。工程应用时，应结合保证可用电量、充放电效率、充电条件及恢复时间核定两方向的支撑能力。</w:t>
      </w:r>
    </w:p>
    <w:p>
      <w:pPr>
        <w:pStyle w:val="4"/>
        <w:keepNext/>
        <w:numPr>
          <w:numId w:val="0"/>
        </w:numPr>
        <w:spacing w:line="480" w:lineRule="exact" w:before="160" w:after="120"/>
        <w:ind w:firstLine="0"/>
      </w:pPr>
      <w:bookmarkStart w:id="1573" w:name="h573"/>
      <w:bookmarkStart w:id="172" w:name="参数变化与措施费用的联系"/>
      <w:r>
        <w:rPr>
          <w:rFonts w:ascii="Times New Roman" w:hAnsi="Times New Roman" w:eastAsia="方正仿宋_GBK"/>
          <w:b/>
          <w:sz w:val="32"/>
        </w:rPr>
        <w:t xml:space="preserve">4.5 参数变化与措施费用的联系</w:t>
      </w:r>
      <w:bookmarkEnd w:id="172"/>
      <w:bookmarkEnd w:id="1573"/>
    </w:p>
    <w:p>
      <w:pPr>
        <w:pStyle w:val="5"/>
        <w:keepNext/>
        <w:numPr>
          <w:numId w:val="0"/>
        </w:numPr>
        <w:spacing w:line="390" w:lineRule="exact" w:before="160" w:after="120"/>
        <w:ind w:firstLine="0"/>
      </w:pPr>
      <w:bookmarkStart w:id="173" w:name="电缆长度占比与联络费用"/>
      <w:r>
        <w:rPr>
          <w:rFonts w:ascii="Times New Roman" w:hAnsi="Times New Roman" w:eastAsia="方正仿宋_GBK"/>
          <w:b/>
          <w:sz w:val="26"/>
        </w:rPr>
        <w:t xml:space="preserve">4.5.1 电缆长度占比与联络费用</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74" w:name="储能支撑时间与配置费用"/>
      <w:r>
        <w:rPr>
          <w:rFonts w:ascii="Times New Roman" w:hAnsi="Times New Roman" w:eastAsia="方正仿宋_GBK"/>
          <w:b/>
          <w:sz w:val="26"/>
        </w:rPr>
        <w:t xml:space="preserve">4.5.2 储能支撑时间与配置费用</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pPr>
        <w:pStyle w:val="5"/>
        <w:keepNext/>
        <w:numPr>
          <w:numId w:val="0"/>
        </w:numPr>
        <w:spacing w:line="390" w:lineRule="exact" w:before="160" w:after="120"/>
        <w:ind w:firstLine="0"/>
      </w:pPr>
      <w:bookmarkStart w:id="175" w:name="三类措施的经济比较"/>
      <w:r>
        <w:rPr>
          <w:rFonts w:ascii="Times New Roman" w:hAnsi="Times New Roman" w:eastAsia="方正仿宋_GBK"/>
          <w:b/>
          <w:sz w:val="26"/>
        </w:rPr>
        <w:t xml:space="preserve">4.5.3 三类措施的经济比较</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5"/>
        <w:keepNext/>
        <w:numPr>
          <w:numId w:val="0"/>
        </w:numPr>
        <w:spacing w:line="390" w:lineRule="exact" w:before="160" w:after="120"/>
        <w:ind w:firstLine="0"/>
      </w:pPr>
      <w:bookmarkStart w:id="176" w:name="主变与线路储能的单位功率投资比"/>
      <w:r>
        <w:rPr>
          <w:rFonts w:ascii="Times New Roman" w:hAnsi="Times New Roman" w:eastAsia="方正仿宋_GBK"/>
          <w:b/>
          <w:sz w:val="26"/>
        </w:rPr>
        <w:t xml:space="preserve">4.5.4 主变与线路、储能的单位功率投资比</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为储能价格相对参考值的倍率。主变采用第4.2节的更换参考单价，扩建项目仍按单项工程投资计费[85,87,88,89]。</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pPr>
        <w:pStyle w:val="2"/>
        <w:widowControl/>
        <w:spacing w:line="348" w:lineRule="exact" w:before="0" w:after="0"/>
        <w:ind w:firstLine="480"/>
        <w:jc w:val="both"/>
      </w:pPr>
      <w:r>
        <w:rPr>
          <w:rFonts w:ascii="Times New Roman" w:hAnsi="Times New Roman" w:eastAsia="方正仿宋_GBK"/>
          <w:b w:val="0"/>
          <w:sz w:val="24"/>
        </w:rPr>
        <w:t xml:space="preserve">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pPr>
        <w:pStyle w:val="4"/>
        <w:keepNext/>
        <w:numPr>
          <w:numId w:val="0"/>
        </w:numPr>
        <w:spacing w:line="480" w:lineRule="exact" w:before="160" w:after="120"/>
        <w:ind w:firstLine="0"/>
      </w:pPr>
      <w:bookmarkStart w:id="1590" w:name="h590"/>
      <w:bookmarkStart w:id="177" w:name="现金流现值计算"/>
      <w:r>
        <w:rPr>
          <w:rFonts w:ascii="Times New Roman" w:hAnsi="Times New Roman" w:eastAsia="方正仿宋_GBK"/>
          <w:b/>
          <w:sz w:val="32"/>
        </w:rPr>
        <w:t xml:space="preserve">4.6 现金流现值计算</w:t>
      </w:r>
      <w:bookmarkEnd w:id="177"/>
      <w:bookmarkEnd w:id="1590"/>
    </w:p>
    <w:p>
      <w:pPr>
        <w:pStyle w:val="5"/>
        <w:keepNext/>
        <w:numPr>
          <w:numId w:val="0"/>
        </w:numPr>
        <w:spacing w:line="390" w:lineRule="exact" w:before="160" w:after="120"/>
        <w:ind w:firstLine="0"/>
      </w:pPr>
      <w:bookmarkStart w:id="178" w:name="单项工程现值因子"/>
      <w:r>
        <w:rPr>
          <w:rFonts w:ascii="Times New Roman" w:hAnsi="Times New Roman" w:eastAsia="方正仿宋_GBK"/>
          <w:b/>
          <w:sz w:val="26"/>
        </w:rPr>
        <w:t xml:space="preserve">4.6.1 单项工程现值因子</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=6%。单项工程现值由投运投资、评价期内更新和投运次年起固定运维构成[10,13,14]。</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。主变按40年和运维费率4.20%、线路按40年和运维费率2.20%、储能按25年和运维费率3.00%计算。2022—2035年投运的三类设备均未在2041年评价截止前达到设定寿命，因此本评价期内的更新支出为零。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2"/>
        <w:widowControl/>
        <w:spacing w:line="348" w:lineRule="exact" w:before="0" w:after="0"/>
        <w:ind w:firstLine="480"/>
        <w:jc w:val="both"/>
      </w:pPr>
      <w:r>
        <w:rPr>
          <w:rFonts w:ascii="Times New Roman" w:hAnsi="Times New Roman" w:eastAsia="方正仿宋_GBK"/>
          <w:b w:val="0"/>
          <w:sz w:val="24"/>
        </w:rPr>
        <w:t xml:space="preserve">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代表批次按共同的2041年截止期计算，与逐年项目现金流直接对应。工程安排在满足每年技术约束的前提下比较投运时点，设备提前形成的容量储备及其费用由相应年度共同承担。</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14569"/>
            <wp:effectExtent b="0" l="0" r="0" t="0"/>
            <wp:docPr descr="" title="" id="1" name="Picture"/>
            <a:graphic>
              <a:graphicData uri="http://schemas.openxmlformats.org/drawingml/2006/picture">
                <pic:pic>
                  <pic:nvPicPr>
                    <pic:cNvPr descr="研究报告/02图表/当前版/lifecycle_investment_maintenance.png" id="0" name="Picture"/>
                    <pic:cNvPicPr>
                      <a:picLocks noChangeArrowheads="1" noChangeAspect="1"/>
                    </pic:cNvPicPr>
                  </pic:nvPicPr>
                  <pic:blipFill>
                    <a:blip r:embed="rId179"/>
                    <a:stretch>
                      <a:fillRect/>
                    </a:stretch>
                  </pic:blipFill>
                  <pic:spPr bwMode="auto">
                    <a:xfrm>
                      <a:off x="0" y="0"/>
                      <a:ext cx="5120640" cy="361456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图4-6 各投运批次单位初始投资的建设与运维现值</w:t>
      </w:r>
    </w:p>
    <w:p>
      <w:pPr>
        <w:pStyle w:val="5"/>
        <w:keepNext/>
        <w:numPr>
          <w:numId w:val="0"/>
        </w:numPr>
        <w:spacing w:line="390" w:lineRule="exact" w:before="160" w:after="120"/>
        <w:ind w:firstLine="0"/>
      </w:pPr>
      <w:bookmarkStart w:id="180" w:name="年度投运对现值的影响"/>
      <w:r>
        <w:rPr>
          <w:rFonts w:ascii="Times New Roman" w:hAnsi="Times New Roman" w:eastAsia="方正仿宋_GBK"/>
          <w:b/>
          <w:sz w:val="26"/>
        </w:rPr>
        <w:t xml:space="preserve">4.6.2 年度投运对现值的影响</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2035年最多更换一次，更换投资按当年新购整台容量计算。不同位置和第三台主变仍可分年投运，采购批次合计用于费用，容量净增用于设备状态及容载比。</w:t>
      </w:r>
    </w:p>
    <w:p>
      <w:pPr>
        <w:pStyle w:val="5"/>
        <w:keepNext/>
        <w:numPr>
          <w:numId w:val="0"/>
        </w:numPr>
        <w:spacing w:line="390" w:lineRule="exact" w:before="160" w:after="120"/>
        <w:ind w:firstLine="0"/>
      </w:pPr>
      <w:bookmarkStart w:id="181" w:name="费用构成与结果复算"/>
      <w:r>
        <w:rPr>
          <w:rFonts w:ascii="Times New Roman" w:hAnsi="Times New Roman" w:eastAsia="方正仿宋_GBK"/>
          <w:b/>
          <w:sz w:val="26"/>
        </w:rPr>
        <w:t xml:space="preserve">4.6.3 费用构成与结果复算</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82" w:name="评价期边界与费用解释"/>
      <w:r>
        <w:rPr>
          <w:rFonts w:ascii="Times New Roman" w:hAnsi="Times New Roman" w:eastAsia="方正仿宋_GBK"/>
          <w:b/>
          <w:sz w:val="26"/>
        </w:rPr>
        <w:t xml:space="preserve">4.6.4 评价期边界与费用解释</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2035年投运设备未在评价截止前触发更新，现值结果因而反映这一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pPr>
        <w:pStyle w:val="5"/>
        <w:keepNext/>
        <w:numPr>
          <w:numId w:val="0"/>
        </w:numPr>
        <w:spacing w:line="390" w:lineRule="exact" w:before="160" w:after="120"/>
        <w:ind w:firstLine="0"/>
      </w:pPr>
      <w:bookmarkStart w:id="183" w:name="主变更换与扩建的投资差异"/>
      <w:r>
        <w:rPr>
          <w:rFonts w:ascii="Times New Roman" w:hAnsi="Times New Roman" w:eastAsia="方正仿宋_GBK"/>
          <w:b/>
          <w:sz w:val="26"/>
        </w:rPr>
        <w:t xml:space="preserve">4.6.5 主变更换与扩建的投资差异</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84" w:name="联络与储能的费用响应"/>
      <w:r>
        <w:rPr>
          <w:rFonts w:ascii="Times New Roman" w:hAnsi="Times New Roman" w:eastAsia="方正仿宋_GBK"/>
          <w:b/>
          <w:sz w:val="26"/>
        </w:rPr>
        <w:t xml:space="preserve">4.6.6 联络与储能的费用响应</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pPr>
        <w:pStyle w:val="3"/>
        <w:keepNext/>
        <w:pageBreakBefore/>
        <w:numPr>
          <w:numId w:val="0"/>
        </w:numPr>
        <w:spacing w:line="540" w:lineRule="exact" w:before="0" w:after="120"/>
        <w:ind w:firstLine="0"/>
      </w:pPr>
      <w:bookmarkStart w:id="1619" w:name="h619"/>
      <w:bookmarkStart w:id="185"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85"/>
      <w:bookmarkEnd w:id="1619"/>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621" w:name="h621"/>
      <w:bookmarkStart w:id="186" w:name="寻优问题与共同起点"/>
      <w:r>
        <w:rPr>
          <w:rFonts w:ascii="Times New Roman" w:hAnsi="Times New Roman" w:eastAsia="方正仿宋_GBK"/>
          <w:b/>
          <w:sz w:val="32"/>
        </w:rPr>
        <w:t xml:space="preserve">5.1 寻优问题与共同起点</w:t>
      </w:r>
      <w:bookmarkEnd w:id="186"/>
      <w:bookmarkEnd w:id="1621"/>
    </w:p>
    <w:p>
      <w:pPr>
        <w:pStyle w:val="5"/>
        <w:keepNext/>
        <w:numPr>
          <w:numId w:val="0"/>
        </w:numPr>
        <w:spacing w:line="390" w:lineRule="exact" w:before="160" w:after="120"/>
        <w:ind w:firstLine="0"/>
      </w:pPr>
      <w:bookmarkStart w:id="187" w:name="年度负荷与共同仿真起点"/>
      <w:r>
        <w:rPr>
          <w:rFonts w:ascii="Times New Roman" w:hAnsi="Times New Roman" w:eastAsia="方正仿宋_GBK"/>
          <w:b/>
          <w:sz w:val="26"/>
        </w:rPr>
        <w:t xml:space="preserve">5.1.1 年度负荷与共同仿真起点</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两类方案均以2021年实际地区主变容量为共同起点，市区3113.50 MVA、邳州2027.00 MVA，对应基期容载比分别为2.15和2.77。逐站初始组合按地区容量及设备对应资料标定。2022—2035年逐年承接上一年度在役主变、储能和联络，只根据当年源荷及共同技术条件选择新增工程。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的2021年初始主变总容量，单位MVA；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年的年度统计网供最大负荷，单位MW。2021—2025年采用同范围年度统计，2026—2035年采用区域负荷预测相对2025年的比例缩放规划峰值。</w:t>
      </w:r>
    </w:p>
    <w:p>
      <w:pPr>
        <w:pStyle w:val="2"/>
        <w:keepNext/>
        <w:spacing w:line="280" w:lineRule="exact" w:before="120" w:after="80"/>
        <w:ind w:firstLine="0"/>
        <w:jc w:val="center"/>
      </w:pPr>
      <w:r>
        <w:rPr>
          <w:rFonts w:ascii="Times New Roman" w:hAnsi="Times New Roman" w:eastAsia="宋体"/>
          <w:b w:val="0"/>
          <w:sz w:val="21"/>
        </w:rPr>
        <w:t xml:space="preserve">表5-1 两地区共同基期及规划年度</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规划年度</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2021—2024年小时源荷根据2025年站级模板及各年光伏规模回算，负荷按原年度区域正向峰值标定；2025年沿用站级小时样本。未来源荷按区域负荷预测及全市光伏装机相对2025年的比例缩放，站点空间分配继承基准模板。历史回算与未来预测均保留所采用的补值，年度规划峰值继续使用同范围年度统计及其预测外推值。</w:t>
      </w:r>
    </w:p>
    <w:p>
      <w:pPr>
        <w:pStyle w:val="5"/>
        <w:keepNext/>
        <w:numPr>
          <w:numId w:val="0"/>
        </w:numPr>
        <w:spacing w:line="390" w:lineRule="exact" w:before="160" w:after="120"/>
        <w:ind w:firstLine="0"/>
      </w:pPr>
      <w:bookmarkStart w:id="188" w:name="刚性与弹性方案"/>
      <w:r>
        <w:rPr>
          <w:rFonts w:ascii="Times New Roman" w:hAnsi="Times New Roman" w:eastAsia="方正仿宋_GBK"/>
          <w:b/>
          <w:sz w:val="26"/>
        </w:rPr>
        <w:t xml:space="preserve">5.1.2 刚性与弹性方案</w:t>
      </w:r>
      <w:bookmarkEnd w:id="188"/>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其中刚性方案新增扩容受当年负荷两倍的容量限制，若负荷回落使既有容量超过该值，则维持上一年度在役容量。弹性方案取消2.0的新增容量控制，在相同承载约束下比较设备费用，并兼顾联络工程简化。具体容量由正常及N-1承载需求、允许规格和扩建位置共同确定，两方案同地区同年度采用相同的容载比下限。</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为年度容载比下限，按对应阶段的年最大净负荷平均增长率与导则建议范围确定[8]。两类方案均按实际设备配置与同年网供峰值计算容载比。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89" w:name="工程候选与参数设置"/>
      <w:r>
        <w:rPr>
          <w:rFonts w:ascii="Times New Roman" w:hAnsi="Times New Roman" w:eastAsia="方正仿宋_GBK"/>
          <w:b/>
          <w:sz w:val="26"/>
        </w:rPr>
        <w:t xml:space="preserve">5.1.3 工程候选与参数设置</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基期/规划年度</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2021/2022—2035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基期设备固定，年度承接上年在役资产</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源荷序列</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每年8760小时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历史模板回算及区域预测同比缩放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邳州2.00 h、市区6.00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 kW/215.00 kWh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SOC可用窗口与放电效率的研究取值[86]</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31.50、50.00、63.00、80.00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按站限制，有预留位置时第三台50.00 MVA</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逐站原始MW固定封顶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站级转供收资、路径及共享馈线余量</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新增联络投资</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工程负载率要求</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正常运行≤80%，主变N-1剩余主变短时≤130%</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正常及事故方式的工程校核标准</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主变更换组织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同一原主变位置全期最多更换一次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弹性工程选择</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比较设备费用，兼顾联络工程简化</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费用目标与工程可实施性</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核心参数的定义、选取依据及地区资料见第3.5节。地区案例保留实际年度负荷和具体网络，推广模板按第3.5节的五项参数组织源荷、网络及工程费用条件。</w:t>
      </w:r>
    </w:p>
    <w:p>
      <w:pPr>
        <w:pStyle w:val="4"/>
        <w:keepNext/>
        <w:numPr>
          <w:numId w:val="0"/>
        </w:numPr>
        <w:spacing w:line="480" w:lineRule="exact" w:before="160" w:after="120"/>
        <w:ind w:firstLine="0"/>
      </w:pPr>
      <w:bookmarkStart w:id="1644" w:name="h644"/>
      <w:bookmarkStart w:id="190" w:name="三类措施的选取与寻优方法"/>
      <w:r>
        <w:rPr>
          <w:rFonts w:ascii="Times New Roman" w:hAnsi="Times New Roman" w:eastAsia="方正仿宋_GBK"/>
          <w:b/>
          <w:sz w:val="32"/>
        </w:rPr>
        <w:t xml:space="preserve">5.2 三类措施的选取与寻优方法</w:t>
      </w:r>
      <w:bookmarkEnd w:id="190"/>
      <w:bookmarkEnd w:id="1644"/>
    </w:p>
    <w:p>
      <w:pPr>
        <w:pStyle w:val="5"/>
        <w:keepNext/>
        <w:numPr>
          <w:numId w:val="0"/>
        </w:numPr>
        <w:spacing w:line="390" w:lineRule="exact" w:before="160" w:after="120"/>
        <w:ind w:firstLine="0"/>
      </w:pPr>
      <w:bookmarkStart w:id="191" w:name="主变增容及扩建方案"/>
      <w:r>
        <w:rPr>
          <w:rFonts w:ascii="Times New Roman" w:hAnsi="Times New Roman" w:eastAsia="方正仿宋_GBK"/>
          <w:b/>
          <w:sz w:val="26"/>
        </w:rPr>
        <w:t xml:space="preserve">5.2.1 主变增容及扩建方案</w:t>
      </w:r>
      <w:bookmarkEnd w:id="191"/>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规划期内同一位置最多更换一次，更换后保持所购规格。该建设组织假设由两类方案共同采用，不同位置的更换和第三台主变扩建可按需求分年安排。更换主变按新购整台容量计费，净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92" w:name="利用既有10-kv联络能力"/>
      <w:r>
        <w:rPr>
          <w:rFonts w:ascii="Times New Roman" w:hAnsi="Times New Roman" w:eastAsia="方正仿宋_GBK"/>
          <w:b/>
          <w:sz w:val="26"/>
        </w:rPr>
        <w:t xml:space="preserve">5.2.2 利用既有10 kV联络能力</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逐站全停转供资料标定，以站外最大可供负荷与损失负荷之和为需供负荷，计算本站转供比例。既有转出能力采用逐站统计MW上限，正常和故障转供共同校核具体通道及接收侧能力，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e>
                  <m:e>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r>
                      <m:rPr>
                        <m:nor m:val="1"/>
                      </m:rPr>
                      <w:rPr>
                        <w:rFonts w:ascii="Times New Roman" w:hAnsi="Times New Roman" w:cs="Times New Roman" w:eastAsia="方正仿宋_GBK"/>
                        <w:i w:val="0"/>
                        <w:iCs w:val="0"/>
                      </w:rPr>
                      <m:t>+</m:t>
                    </m:r>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为收资中的站外最大可供负荷，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为逐站统计转供比例，用于描述既有能力。</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oMath>
      <w:r>
        <w:rPr>
          <w:rFonts w:ascii="Times New Roman" w:hAnsi="Times New Roman" w:eastAsia="方正仿宋_GBK"/>
          <w:b w:val="0"/>
          <w:sz w:val="24"/>
        </w:rPr>
        <w:t xml:space="preserve">和</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分别为年度正常固定及本站故障追加切换区段的峰值功率上界，按区段数占原属站全部区段的比例折算。实际转接还需满足路径、共享馈线及接收侧容量条件。</w:t>
      </w:r>
    </w:p>
    <w:p>
      <w:pPr>
        <w:pStyle w:val="5"/>
        <w:keepNext/>
        <w:numPr>
          <w:numId w:val="0"/>
        </w:numPr>
        <w:spacing w:line="390" w:lineRule="exact" w:before="160" w:after="120"/>
        <w:ind w:firstLine="0"/>
      </w:pPr>
      <w:bookmarkStart w:id="193" w:name="新建10-kv联络提升转供能力"/>
      <w:r>
        <w:rPr>
          <w:rFonts w:ascii="Times New Roman" w:hAnsi="Times New Roman" w:eastAsia="方正仿宋_GBK"/>
          <w:b/>
          <w:sz w:val="26"/>
        </w:rPr>
        <w:t xml:space="preserve">5.2.3 新建10 kV联络提升转供能力</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94" w:name="负荷转接与容量衔接"/>
      <w:r>
        <w:rPr>
          <w:rFonts w:ascii="Times New Roman" w:hAnsi="Times New Roman" w:eastAsia="方正仿宋_GBK"/>
          <w:b/>
          <w:sz w:val="26"/>
        </w:rPr>
        <w:t xml:space="preserve">5.2.4 负荷转接与容量衔接</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为转出及承接的区段净功率，单位MW。用电负荷和光伏随供电区段转接，正向为受电、负向为反送，区县内部转入和转出合计相等。每个工况使用自身源荷分布，分别校核两方向容量。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95" w:name="储能有效支撑功率"/>
      <w:r>
        <w:rPr>
          <w:rFonts w:ascii="Times New Roman" w:hAnsi="Times New Roman" w:eastAsia="方正仿宋_GBK"/>
          <w:b/>
          <w:sz w:val="26"/>
        </w:rPr>
        <w:t xml:space="preserve">5.2.5 储能有效支撑功率</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为相应有效功率，单位MW。额定功率1.00 MW、额定能量2.15 MWh的储能配置，在4.00 h条件下有效支撑功率为0.41 MW。工程应用条件见第4.4.4节。</w:t>
      </w:r>
    </w:p>
    <w:p>
      <w:pPr>
        <w:pStyle w:val="4"/>
        <w:keepNext/>
        <w:numPr>
          <w:numId w:val="0"/>
        </w:numPr>
        <w:spacing w:line="480" w:lineRule="exact" w:before="160" w:after="120"/>
        <w:ind w:firstLine="0"/>
      </w:pPr>
      <w:bookmarkStart w:id="1664" w:name="h664"/>
      <w:bookmarkStart w:id="196" w:name="约束条件与求解流程"/>
      <w:r>
        <w:rPr>
          <w:rFonts w:ascii="Times New Roman" w:hAnsi="Times New Roman" w:eastAsia="方正仿宋_GBK"/>
          <w:b/>
          <w:sz w:val="32"/>
        </w:rPr>
        <w:t xml:space="preserve">5.3 约束条件与求解流程</w:t>
      </w:r>
      <w:bookmarkEnd w:id="196"/>
      <w:bookmarkEnd w:id="1664"/>
    </w:p>
    <w:p>
      <w:pPr>
        <w:pStyle w:val="5"/>
        <w:keepNext/>
        <w:numPr>
          <w:numId w:val="0"/>
        </w:numPr>
        <w:spacing w:line="390" w:lineRule="exact" w:before="160" w:after="120"/>
        <w:ind w:firstLine="0"/>
      </w:pPr>
      <w:commentRangeStart w:id="7"/>
      <w:bookmarkStart w:id="197" w:name="供电安全及供电能力约束"/>
      <w:r>
        <w:rPr>
          <w:rFonts w:ascii="Times New Roman" w:hAnsi="Times New Roman" w:eastAsia="方正仿宋_GBK"/>
          <w:b/>
          <w:sz w:val="26"/>
        </w:rPr>
        <w:t xml:space="preserve">5.3.1 供电安全及供电能力约束</w:t>
      </w:r>
      <w:bookmarkEnd w:id="197"/>
      <w:commentRangeEnd w:id="7"/>
      <w:r>
        <w:commentReference w:id="7"/>
      </w:r>
    </w:p>
    <w:p>
      <w:pPr>
        <w:pStyle w:val="FirstParagraph"/>
        <w:widowControl/>
        <w:spacing w:line="348" w:lineRule="exact" w:before="0" w:after="0"/>
        <w:ind w:firstLine="480"/>
        <w:jc w:val="both"/>
      </w:pPr>
      <w:commentRangeStart w:id="0"/>
      <w:r>
        <w:rPr>
          <w:rFonts w:ascii="Times New Roman" w:hAnsi="Times New Roman" w:eastAsia="方正仿宋_GBK"/>
          <w:b w:val="0"/>
          <w:sz w:val="24"/>
        </w:rPr>
        <w:t xml:space="preserve">工程运行要求为：正常运行主变负载率不超过80%，主变N-1时剩余主变短时负载率不超过130%。正常及故障方式共同允许储能和已投运联络参与，设备建设状态在同一年各工况间共享，充放电及转供功率按当处源荷条件安排。按上述工程要求，正反向功率的容量校核关系为：</w:t>
      </w:r>
      <w:commentRangeEnd w:id="0"/>
      <w:r>
        <w:commentReference w:id="0"/>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为工程允许负载率，正常运行及故障工况中的健康站取0.80，主变N-1时故障站按剩余主变短时允许负载率取1.30；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pPr>
        <w:pStyle w:val="2"/>
        <w:widowControl/>
        <w:spacing w:line="348" w:lineRule="exact" w:before="0" w:after="0"/>
        <w:ind w:firstLine="480"/>
        <w:jc w:val="both"/>
      </w:pPr>
      <w:r>
        <w:rPr>
          <w:rFonts w:ascii="Times New Roman" w:hAnsi="Times New Roman" w:eastAsia="方正仿宋_GBK"/>
          <w:b w:val="0"/>
          <w:sz w:val="24"/>
        </w:rPr>
        <w:t xml:space="preserve">正常运行反向潮流按2025年4月《配电网规划设计技术导则（修订稿）》第6.5.3条的80%要求控制[8]。故障站扣除最大单台主变后，以剩余主变容量校核短时支撑能力，并结合故障持续时间及运行规程核定允许过载时间。</w:t>
      </w:r>
    </w:p>
    <w:p>
      <w:pPr>
        <w:pStyle w:val="2"/>
        <w:widowControl/>
        <w:spacing w:line="348" w:lineRule="exact" w:before="0" w:after="0"/>
        <w:ind w:firstLine="480"/>
        <w:jc w:val="both"/>
      </w:pPr>
      <w:r>
        <w:rPr>
          <w:rFonts w:ascii="Times New Roman" w:hAnsi="Times New Roman" w:eastAsia="方正仿宋_GBK"/>
          <w:b w:val="0"/>
          <w:sz w:val="24"/>
        </w:rPr>
        <w:t xml:space="preserve">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工程落实时按式（5-8）逐站校核。</w:t>
      </w:r>
    </w:p>
    <w:p>
      <w:pPr>
        <w:pStyle w:val="2"/>
        <w:widowControl/>
        <w:spacing w:line="348" w:lineRule="exact" w:before="0" w:after="0"/>
        <w:ind w:firstLine="480"/>
        <w:jc w:val="both"/>
      </w:pPr>
      <w:r>
        <w:rPr>
          <w:rFonts w:ascii="Times New Roman" w:hAnsi="Times New Roman" w:eastAsia="方正仿宋_GBK"/>
          <w:b w:val="0"/>
          <w:sz w:val="24"/>
        </w:rPr>
        <w:t xml:space="preserve">本研究采用静态有效功率进行设备容量比选。导则同时要求电压不越限，并在系统级承载力评估中统筹新能源利用率和调峰能力[8]。本次对各年8760小时及规定支撑时长回代校核，储能仍采用有效功率折算，连续荷电状态、电压及保护需结合实际网络补充检验。邳州2021年固定基期设备存在事故支撑缺口，规划补强自2022年开始，基期数据用于保持两方案共同起点。</w:t>
      </w:r>
    </w:p>
    <w:p>
      <w:pPr>
        <w:pStyle w:val="5"/>
        <w:keepNext/>
        <w:numPr>
          <w:numId w:val="0"/>
        </w:numPr>
        <w:spacing w:line="390" w:lineRule="exact" w:before="160" w:after="120"/>
        <w:ind w:firstLine="0"/>
      </w:pPr>
      <w:bookmarkStart w:id="198" w:name="评价期费用目标"/>
      <w:r>
        <w:rPr>
          <w:rFonts w:ascii="Times New Roman" w:hAnsi="Times New Roman" w:eastAsia="方正仿宋_GBK"/>
          <w:b/>
          <w:sz w:val="26"/>
        </w:rPr>
        <w:t xml:space="preserve">5.3.2 评价期费用目标</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每年根据当年源荷选择新增措施，将投运批次折算至2021年末、统一评价到2041年。两类方案在各自容量条件下比较主变、储能与联络工程费用，形成满足供电任务的可行配置。寿命、维护费率及折现率沿用第四章设置，投运当年计建设投资、次年起计固定运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99" w:name="三类措施的约束寻优流程"/>
      <w:r>
        <w:rPr>
          <w:rFonts w:ascii="Times New Roman" w:hAnsi="Times New Roman" w:eastAsia="方正仿宋_GBK"/>
          <w:b/>
          <w:sz w:val="26"/>
        </w:rPr>
        <w:t xml:space="preserve">5.3.3 三类措施的约束寻优流程</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计算结果按年度设备承接、容量非减、区段功率平衡、既有转供上限、共享馈线余量及接收站主变容量逐项复核，再以固定区段预案回代各年8760小时正常与故障工况。</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比选先载入2021年共同基期设备，2022年起每年固定已投运资产，载入当年负荷与光伏，选择允许的主变更换、扩建、储能和联络工程。正常供区与故障追加切换分别为全年固定预案，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设备选择及储能柜数采用整数变量。每年联合比选主变增容、储能配置与10 kV联络，弹性方案不限制容载比上限，在共同设备和运行约束下比较三种措施的建设组合。取得配置后，按主变实际采购量、储能新增柜数及联络投运批次复算费用，各年的选择只使用当年需求和上年资产。</w:t>
      </w:r>
    </w:p>
    <w:p>
      <w:pPr>
        <w:pStyle w:val="4"/>
        <w:keepNext/>
        <w:numPr>
          <w:numId w:val="0"/>
        </w:numPr>
        <w:spacing w:line="480" w:lineRule="exact" w:before="160" w:after="120"/>
        <w:ind w:firstLine="0"/>
      </w:pPr>
      <w:bookmarkStart w:id="1679" w:name="h679"/>
      <w:bookmarkStart w:id="200" w:name="寻优结果"/>
      <w:r>
        <w:rPr>
          <w:rFonts w:ascii="Times New Roman" w:hAnsi="Times New Roman" w:eastAsia="方正仿宋_GBK"/>
          <w:b/>
          <w:sz w:val="32"/>
        </w:rPr>
        <w:t xml:space="preserve">5.4 寻优结果</w:t>
      </w:r>
      <w:bookmarkEnd w:id="200"/>
      <w:bookmarkEnd w:id="1679"/>
    </w:p>
    <w:p>
      <w:pPr>
        <w:pStyle w:val="5"/>
        <w:keepNext/>
        <w:numPr>
          <w:numId w:val="0"/>
        </w:numPr>
        <w:spacing w:line="390" w:lineRule="exact" w:before="160" w:after="120"/>
        <w:ind w:firstLine="0"/>
      </w:pPr>
      <w:bookmarkStart w:id="201" w:name="邳州逐年方案"/>
      <w:r>
        <w:rPr>
          <w:rFonts w:ascii="Times New Roman" w:hAnsi="Times New Roman" w:eastAsia="方正仿宋_GBK"/>
          <w:b/>
          <w:sz w:val="26"/>
        </w:rPr>
        <w:t xml:space="preserve">5.4.1 邳州逐年方案</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邳州两方案2021年均保留2027.00 MVA实际地区容量，2022年起按当年源荷选择新增工程。弹性方案2022年净增41.50 MVA，至2035年主变容量为2901.00 MVA。年末配置与当年新增措施分别列示。</w:t>
      </w:r>
    </w:p>
    <w:p>
      <w:pPr>
        <w:pStyle w:val="2"/>
        <w:keepNext/>
        <w:spacing w:line="280" w:lineRule="exact" w:before="120" w:after="80"/>
        <w:ind w:firstLine="0"/>
        <w:jc w:val="center"/>
      </w:pPr>
      <w:commentRangeStart w:id="8"/>
      <w:r>
        <w:rPr>
          <w:rFonts w:ascii="Times New Roman" w:hAnsi="Times New Roman" w:eastAsia="宋体"/>
          <w:b w:val="0"/>
          <w:sz w:val="21"/>
        </w:rPr>
        <w:t xml:space="preserve">表5-4 邳州逐年容量及措施</w:t>
      </w:r>
      <w:commentRangeEnd w:id="8"/>
      <w:r>
        <w:commentReference w:id="8"/>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1265.64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2562.50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1313.58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2891.00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注：2021年为两方案共同的固定基期，储能及新线列为本次规划新增设备的累计在役规模。</w:t>
      </w:r>
    </w:p>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1131.28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3473.37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5116.40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2189.46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2805.77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4423.94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8649.97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7916.60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8994.23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91.38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6833.63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2738.77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2311.14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6363.08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1442.88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2667.04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41.71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5221.95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7993.09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9872.28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7554.51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132.44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7210.91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邳州刚性方案2022—2026年保持2027.00 MVA，期间随局部需求增加储能和联络。弹性方案2022年净增41.50 MVA，2025年增至2091.50 MVA，该年未新增储能，累计新增联络3条；刚性方案为56.33 MWh储能、9条联络。站内补强使前期供电需求更多由主变承担。</w:t>
      </w:r>
    </w:p>
    <w:p>
      <w:pPr>
        <w:pStyle w:val="2"/>
        <w:widowControl/>
        <w:spacing w:line="348" w:lineRule="exact" w:before="0" w:after="0"/>
        <w:ind w:firstLine="480"/>
        <w:jc w:val="both"/>
      </w:pPr>
      <w:r>
        <w:rPr>
          <w:rFonts w:ascii="Times New Roman" w:hAnsi="Times New Roman" w:eastAsia="方正仿宋_GBK"/>
          <w:b w:val="0"/>
          <w:sz w:val="24"/>
        </w:rPr>
        <w:t xml:space="preserve">随着源荷继续增长，弹性方案也逐步增加储能和联络。2030年其主变容量2388.50 MVA、储能69.66 MWh、累计新增联络6条，刚性分别为2125.50 MVA、153.94 MWh和25条。2035年弹性主变容量2901.00 MVA，较刚性2678.00 MVA多223.00 MVA，容载比分别为2.06和1.90；储能分别为545.67 MWh和568.25 MWh，累计新增联络分别为21条和58条。容量配置和配套工程的替代随年度需求逐步形成。</w:t>
      </w:r>
    </w:p>
    <w:p>
      <w:pPr>
        <w:pStyle w:val="2"/>
        <w:widowControl/>
        <w:spacing w:line="348" w:lineRule="exact" w:before="0" w:after="0"/>
        <w:ind w:firstLine="480"/>
        <w:jc w:val="both"/>
      </w:pPr>
      <w:r>
        <w:rPr>
          <w:rFonts w:ascii="Times New Roman" w:hAnsi="Times New Roman" w:eastAsia="方正仿宋_GBK"/>
          <w:b w:val="0"/>
          <w:sz w:val="24"/>
        </w:rPr>
        <w:t xml:space="preserve">主变增加以整台更换和扩建实施，因此年度容量存在保持不变的阶段。2023年负荷低于2022年，两方案继续保留在役主变，容载比随分母减小而升高。后续年份按当年需求追加工程，年度主变新购容量扣除被替换容量后对应净增容量，费用按完整采购量计算。</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202"/>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邳州两类方案的逐年新增工程</w:t>
      </w:r>
    </w:p>
    <w:p>
      <w:pPr>
        <w:pStyle w:val="5"/>
        <w:keepNext/>
        <w:numPr>
          <w:numId w:val="0"/>
        </w:numPr>
        <w:spacing w:line="390" w:lineRule="exact" w:before="160" w:after="120"/>
        <w:ind w:firstLine="0"/>
      </w:pPr>
      <w:bookmarkStart w:id="203" w:name="市区逐年方案"/>
      <w:r>
        <w:rPr>
          <w:rFonts w:ascii="Times New Roman" w:hAnsi="Times New Roman" w:eastAsia="方正仿宋_GBK"/>
          <w:b/>
          <w:sz w:val="26"/>
        </w:rPr>
        <w:t xml:space="preserve">5.4.2 市区逐年方案</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市区两方案2021年均保留3113.50 MVA实际地区容量，2022年起按当年源荷选择新增工程。弹性方案2022年净增0.00 MVA，至2035年主变容量为3608.50 MVA。年末配置与当年新增措施分别列示。</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1920.41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1998.19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2073.29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2149.74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2226.18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注：2021年为两方案共同的固定基期，储能及新线列为本次规划新增设备的累计在役规模。</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204"/>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2939.39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1230.88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1977.62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2832.60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3629.33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2851.29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5607.41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6275.23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4876.09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3862.44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3135.22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4137.06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3263.75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3952.56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4959.75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3471.86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5132.03</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市区2022年两方案均利用3113.50 MVA在役主变及既有网络满足当年计算需求，新增工程费用为零。2023—2025年两方案开始出现建设差异，至2025年弹性方案容量3150.50 MVA，未新增储能及联络；刚性保持3113.50 MVA，配储3.87 MWh、累计新增联络5条。弹性方案以站内补强承担局部增长任务，但相应主变工程也增加当期投资。</w:t>
      </w:r>
    </w:p>
    <w:p>
      <w:pPr>
        <w:pStyle w:val="2"/>
        <w:widowControl/>
        <w:spacing w:line="348" w:lineRule="exact" w:before="0" w:after="0"/>
        <w:ind w:firstLine="480"/>
        <w:jc w:val="both"/>
      </w:pPr>
      <w:r>
        <w:rPr>
          <w:rFonts w:ascii="Times New Roman" w:hAnsi="Times New Roman" w:eastAsia="方正仿宋_GBK"/>
          <w:b w:val="0"/>
          <w:sz w:val="24"/>
        </w:rPr>
        <w:t xml:space="preserve">2030年弹性方案主变容量增至3413.00 MVA，仍未新增储能和联络；刚性容量3140.50 MVA，储能12.04 MWh、累计新增联络32条。此时弹性累计费用现值为16806.54万元，高于刚性的14819.77万元，前期较多主变采购尚未由配套工程节省抵消。</w:t>
      </w:r>
    </w:p>
    <w:p>
      <w:pPr>
        <w:pStyle w:val="2"/>
        <w:widowControl/>
        <w:spacing w:line="348" w:lineRule="exact" w:before="0" w:after="0"/>
        <w:ind w:firstLine="480"/>
        <w:jc w:val="both"/>
      </w:pPr>
      <w:r>
        <w:rPr>
          <w:rFonts w:ascii="Times New Roman" w:hAnsi="Times New Roman" w:eastAsia="方正仿宋_GBK"/>
          <w:b w:val="0"/>
          <w:sz w:val="24"/>
        </w:rPr>
        <w:t xml:space="preserve">2032年以后两方案继续按局部缺口增加储能。2035年弹性主变容量3608.50 MVA、储能109.65 MWh、累计新增联络35条，刚性分别为3587.00 MVA、92.88 MWh和66条。弹性储能高于刚性，减少联络的同时保留了更多本地支撑。两方案容量差为21.50 MVA，容载比分别为1.62和1.61，费用比较需同时考虑各年度主变、储能与联络投入。</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205"/>
                    <a:stretch>
                      <a:fillRect/>
                    </a:stretch>
                  </pic:blipFill>
                  <pic:spPr bwMode="auto">
                    <a:xfrm>
                      <a:off x="0" y="0"/>
                      <a:ext cx="5120640" cy="51206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市区两类方案的逐年新增工程</w:t>
      </w:r>
    </w:p>
    <w:p>
      <w:pPr>
        <w:pStyle w:val="5"/>
        <w:keepNext/>
        <w:numPr>
          <w:numId w:val="0"/>
        </w:numPr>
        <w:spacing w:line="390" w:lineRule="exact" w:before="160" w:after="120"/>
        <w:ind w:firstLine="0"/>
      </w:pPr>
      <w:bookmarkStart w:id="206" w:name="弹性方案与导则建议范围的逐年对照"/>
      <w:r>
        <w:rPr>
          <w:rFonts w:ascii="Times New Roman" w:hAnsi="Times New Roman" w:eastAsia="方正仿宋_GBK"/>
          <w:b/>
          <w:sz w:val="26"/>
        </w:rPr>
        <w:t xml:space="preserve">5.4.3 弹性方案与导则建议范围的逐年对照</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2025年4月《配电网规划设计技术导则（修订稿）》第6.2.2.1条提出容载比总体控制在1.5～2.0，表2按年最大净负荷平均增长率划分发展阶段，相应建议范围如下[8]。</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本节沿用建模采用的2021—2025年年最大净负荷平均增长率，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pPr>
        <w:pStyle w:val="2"/>
        <w:widowControl/>
        <w:spacing w:line="348" w:lineRule="exact" w:before="0" w:after="0"/>
        <w:ind w:firstLine="480"/>
        <w:jc w:val="both"/>
      </w:pPr>
      <w:r>
        <w:rPr>
          <w:rFonts w:ascii="Times New Roman" w:hAnsi="Times New Roman" w:eastAsia="方正仿宋_GBK"/>
          <w:b w:val="0"/>
          <w:sz w:val="24"/>
        </w:rPr>
        <w:t xml:space="preserve">前述年度表以2021年实际地区容量为共同起点。按2021—2025年年最大净负荷平均增长率分档，邳州2022—2025年弹性容载比均高于建议上限1.90，市区均高于1.70。原有容量、后续补强及负荷波动共同形成这些取值。未来阶段采用区域预测发展速度，年度共同下限按照相应阶段设置，两方案使用相同值。</w:t>
      </w:r>
    </w:p>
    <w:p>
      <w:pPr>
        <w:pStyle w:val="2"/>
        <w:widowControl/>
        <w:spacing w:line="348" w:lineRule="exact" w:before="0" w:after="0"/>
        <w:ind w:firstLine="480"/>
        <w:jc w:val="both"/>
      </w:pPr>
      <w:r>
        <w:rPr>
          <w:rFonts w:ascii="Times New Roman" w:hAnsi="Times New Roman" w:eastAsia="方正仿宋_GBK"/>
          <w:b w:val="0"/>
          <w:sz w:val="24"/>
        </w:rPr>
        <w:t xml:space="preserve">市区2025年1528.82 MW负荷按容载比1.70折算容量为2598.99 MVA，2021年实际容量3113.50 MVA已高出514.51 MVA。在容量保持非减的条件下，存量设备对应2025年容载比2.04，弹性方案追加37.00 MVA后为2.06。存量设备与新增补强分别贡献容量储备和局部供电能力，翟山变等站的具体任务结合逐站配置核对。</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207" w:name="建设规模与费用比较"/>
      <w:r>
        <w:rPr>
          <w:rFonts w:ascii="Times New Roman" w:hAnsi="Times New Roman" w:eastAsia="方正仿宋_GBK"/>
          <w:b/>
          <w:sz w:val="26"/>
        </w:rPr>
        <w:t xml:space="preserve">5.4.4 建设规模与费用比较</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两地区2022—2035年新增工程按共同2041年评价截止期折现，刚性方案费用现值合计98006.53万元，弹性为95107.86万元，减少2898.67万元，降幅2.96%。</w:t>
      </w:r>
    </w:p>
    <w:p>
      <w:pPr>
        <w:pStyle w:val="2"/>
        <w:keepNext/>
        <w:spacing w:line="280" w:lineRule="exact" w:before="120" w:after="80"/>
        <w:ind w:firstLine="0"/>
        <w:jc w:val="center"/>
      </w:pPr>
      <w:r>
        <w:rPr>
          <w:rFonts w:ascii="Times New Roman" w:hAnsi="Times New Roman" w:eastAsia="宋体"/>
          <w:b w:val="0"/>
          <w:sz w:val="21"/>
        </w:rPr>
        <w:t xml:space="preserve">表5-9 两地区2022—2035年新增方案费用比较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keepNext/>
        <w:spacing w:line="280" w:lineRule="exact" w:before="120" w:after="80"/>
        <w:ind w:firstLine="0"/>
        <w:jc w:val="center"/>
      </w:pPr>
      <w:r>
        <w:rPr>
          <w:rFonts w:ascii="Times New Roman" w:hAnsi="Times New Roman" w:eastAsia="宋体"/>
          <w:b w:val="0"/>
          <w:sz w:val="21"/>
        </w:rPr>
        <w:t xml:space="preserve">表5-10 2035年在役措施及累计建设规模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568.25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545.67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208"/>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20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图5-5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以2021年实际容量为共同起点。2022—2035年的必要补强按当年实际采购和投运批次计入建设投资，既有转供受逐站资料上限约束，新增联络按地区电缆长度占比计价。在相同年度源荷和安全计算条件下比较具体可行方案费用。</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14938.49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38108.23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5322.97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23290.49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32491.48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1739.39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13399.40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5389.71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20847.73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22928.25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8657.65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邳州弹性方案相对刚性的费用变化为主变增加8352.01万元、储能减少5616.74万元、联络减少3583.59万元，合计减少848.32万元。费用差由各年度实际采购及投运批次形成，具体替代关系结合逐站设备与通道配置分析。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市区弹性方案相对刚性的费用变化为主变增加9528.85万元、储能增加610.89万元、联络减少12190.08万元，合计减少2050.35万元。费用差由各年度实际采购及投运批次形成，具体替代关系结合逐站设备与通道配置分析。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费用差图按</w:t>
      </w:r>
      <w:r>
        <w:rPr>
          <w:rFonts w:ascii="Times New Roman" w:hAnsi="Times New Roman" w:eastAsia="方正仿宋_GBK"/>
          <w:b w:val="0"/>
          <w:sz w:val="24"/>
        </w:rPr>
        <w:t xml:space="preserve">“</w:t>
      </w:r>
      <w:r>
        <w:rPr>
          <w:rFonts w:ascii="Times New Roman" w:hAnsi="Times New Roman" w:eastAsia="方正仿宋_GBK"/>
          <w:b w:val="0"/>
          <w:sz w:val="24"/>
        </w:rPr>
        <w:t xml:space="preserve">刚性费用减弹性费用</w:t>
      </w:r>
      <w:r>
        <w:rPr>
          <w:rFonts w:ascii="Times New Roman" w:hAnsi="Times New Roman" w:eastAsia="方正仿宋_GBK"/>
          <w:b w:val="0"/>
          <w:sz w:val="24"/>
        </w:rPr>
        <w:t xml:space="preserve">”</w:t>
      </w:r>
      <w:r>
        <w:rPr>
          <w:rFonts w:ascii="Times New Roman" w:hAnsi="Times New Roman" w:eastAsia="方正仿宋_GBK"/>
          <w:b w:val="0"/>
          <w:sz w:val="24"/>
        </w:rPr>
        <w:t xml:space="preserve">绘制，正值表示弹性方案该项支出较少，负值表示较多。两地区弹性方案的主变费用均增加，联络费用均减少，储能费用差异则由年度配储时点和数量共同决定。各措施费用逐项相加后形成合计差，配套工程减少与费用下降分别由具体数值支持。</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plan_cost_difference.png" id="0" name="Picture"/>
                    <pic:cNvPicPr>
                      <a:picLocks noChangeArrowheads="1" noChangeAspect="1"/>
                    </pic:cNvPicPr>
                  </pic:nvPicPr>
                  <pic:blipFill>
                    <a:blip r:embed="rId210"/>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图5-6 两地区刚性与弹性方案费用差的措施构成</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注：列示历史回算年度及2030、2035年相对上一年的比值变化。</w:t>
      </w:r>
    </w:p>
    <w:p>
      <w:pPr>
        <w:pStyle w:val="2"/>
        <w:widowControl/>
        <w:spacing w:line="348" w:lineRule="exact" w:before="0" w:after="0"/>
        <w:ind w:firstLine="480"/>
        <w:jc w:val="both"/>
      </w:pPr>
      <w:r>
        <w:rPr>
          <w:rFonts w:ascii="Times New Roman" w:hAnsi="Times New Roman" w:eastAsia="方正仿宋_GBK"/>
          <w:b w:val="0"/>
          <w:sz w:val="24"/>
        </w:rPr>
        <w:t xml:space="preserve">邳州储能需求在后期源荷增长中逐步增加，2035年两方案的配储地点与规模存在差异。站内主变组合改变故障剩余能力，既有和新增通道改变可用支援，三者共同决定局部支撑规模。下图保留各配储站点的实际数值，结合后续逐站结果分析其空间分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072384"/>
            <wp:effectExtent b="0" l="0" r="0" t="0"/>
            <wp:docPr descr="" title="" id="1"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211"/>
                    <a:stretch>
                      <a:fillRect/>
                    </a:stretch>
                  </pic:blipFill>
                  <pic:spPr bwMode="auto">
                    <a:xfrm>
                      <a:off x="0" y="0"/>
                      <a:ext cx="5120640" cy="3072384"/>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邳州2035年储能额定能量的站点分布</w:t>
      </w:r>
    </w:p>
    <w:p>
      <w:pPr>
        <w:pStyle w:val="5"/>
        <w:keepNext/>
        <w:numPr>
          <w:numId w:val="0"/>
        </w:numPr>
        <w:spacing w:line="390" w:lineRule="exact" w:before="160" w:after="120"/>
        <w:ind w:firstLine="0"/>
      </w:pPr>
      <w:bookmarkStart w:id="212" w:name="邳州逐站规划方案"/>
      <w:r>
        <w:rPr>
          <w:rFonts w:ascii="Times New Roman" w:hAnsi="Times New Roman" w:eastAsia="方正仿宋_GBK"/>
          <w:b/>
          <w:sz w:val="26"/>
        </w:rPr>
        <w:t xml:space="preserve">5.4.5 邳州逐站规划方案</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逐站表格列示2021年基期及2025、2030、2035年代表年度设备配置，转接量对应同小时区域正向峰值的正常固定预案。全年校核保留所有8760小时，主变N-1按本站最大单台扣除，事故追加只切换故障站原属区段。</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邳州20座站分别说明全期主变更换、扩建和储能增加的时点，结合2035年本站故障下全年最小余量工况分析支撑需求。表中储能为在役额定功率，正向有效支撑按邳州2 h及可用电量折算，反向采用本站规定时长。</w:t>
      </w:r>
    </w:p>
    <w:p>
      <w:pPr>
        <w:pStyle w:val="7"/>
        <w:keepNext/>
        <w:numPr>
          <w:numId w:val="0"/>
        </w:numPr>
        <w:spacing w:line="360" w:lineRule="exact" w:before="160" w:after="120"/>
        <w:ind w:firstLine="0"/>
      </w:pPr>
      <w:bookmarkStart w:id="213" w:name="八义集变规划分析"/>
      <w:r>
        <w:rPr>
          <w:rFonts w:ascii="Times New Roman" w:hAnsi="Times New Roman" w:eastAsia="方正仿宋_GBK"/>
          <w:b/>
          <w:sz w:val="24"/>
        </w:rPr>
        <w:t xml:space="preserve">八义集变规划分析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MVA。弹性方案2033年31.50 MVA更换为50.00 MVA。储能按本地支撑需求分批增加，新增额定功率为2032年0.30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2025年最大正向、反向净负荷分别为37.23 MW、19.12 MW，2035年分别为54.86 MW、58.51 MW。2035年刚性方案主变容量113.00 MVA、储能额定功率3.10 MW，弹性方案分别为113.00 MVA和0.30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表5-13 八义集变代表年度配置与正向峰值正常转接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44.64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MW。储能正向有效支撑功率为0.25 MW、反向有效吸收功率为0.30 MW。全年本站故障工况中最小余量为2.29 MW。该小时按采用的固定区段预案，本站转出-13.00 MW、承接0.00 MW，转接后净负荷为-45.51 MW。其中与土山变之间的主要通道承担4.88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两方案本站储能额定功率相差2.80 MW，差额与所列主变组合及年度固定转接任务共同形成局部供电安排。</w:t>
      </w:r>
    </w:p>
    <w:p>
      <w:pPr>
        <w:pStyle w:val="7"/>
        <w:keepNext/>
        <w:numPr>
          <w:numId w:val="0"/>
        </w:numPr>
        <w:spacing w:line="360" w:lineRule="exact" w:before="160" w:after="120"/>
        <w:ind w:firstLine="0"/>
      </w:pPr>
      <w:bookmarkStart w:id="214" w:name="大宋变规划分析"/>
      <w:r>
        <w:rPr>
          <w:rFonts w:ascii="Times New Roman" w:hAnsi="Times New Roman" w:eastAsia="方正仿宋_GBK"/>
          <w:b/>
          <w:sz w:val="24"/>
        </w:rPr>
        <w:t xml:space="preserve">大宋变规划分析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2025年最大正向、反向净负荷分别为69.44 MW、31.77 MW，2035年分别为102.33 MW、106.88 MW。2035年刚性方案主变容量193.00 MVA、储能额定功率0.00 MW，弹性方案分别为193.00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表5-14 大宋变代表年度配置与正向峰值正常转接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102.33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MW。全年本站故障工况中最小余量为6.57 MW。该小时按采用的固定区段预案，本站转出-6.11 MW、承接0.00 MW，转接后净负荷为-100.78 MW。其中与富山变之间的主要通道承担3.05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15" w:name="戴圩变规划分析"/>
      <w:r>
        <w:rPr>
          <w:rFonts w:ascii="Times New Roman" w:hAnsi="Times New Roman" w:eastAsia="方正仿宋_GBK"/>
          <w:b/>
          <w:sz w:val="24"/>
        </w:rPr>
        <w:t xml:space="preserve">戴圩变规划分析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MVA。弹性方案2032年31.50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2025年最大正向、反向净负荷分别为30.30 MW、24.46 MW，2035年分别为44.65 MW、81.15 MW。2035年刚性方案主变容量113.00 MVA、储能额定功率2.00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表5-15 戴圩变代表年度配置与正向峰值正常转接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MW。全年本站故障工况中最小余量为13.85 MW。该小时本站未转接负荷，净负荷为-81.15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16" w:name="戴庄变规划分析"/>
      <w:r>
        <w:rPr>
          <w:rFonts w:ascii="Times New Roman" w:hAnsi="Times New Roman" w:eastAsia="方正仿宋_GBK"/>
          <w:b/>
          <w:sz w:val="24"/>
        </w:rPr>
        <w:t xml:space="preserve">戴庄变规划分析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该站2021年主变组合为31.50+50.00 MVA。弹性方案2026年31.50 MVA更换为50.00 MVA。储能按本地支撑需求分批增加，新增额定功率为2030年2.10 MW、2031年7.20 MW、2032年11.30 MW、2033年16.70 MW、2034年3.90 MW、2035年15.10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2025年最大正向、反向净负荷分别为30.59 MW、47.47 MW，2035年分别为45.08 MW、132.85 MW。2035年刚性方案主变容量100.00 MVA、储能额定功率52.60 MW，弹性方案分别为100.00 MVA和56.30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表5-16 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MW。储能正向有效支撑功率为46.00 MW、反向有效吸收功率为56.30 MW。全年本站故障工况中最小余量为0.06 MW。该小时按采用的固定区段预案，本站转出-29.12 MW、承接0.00 MW，转接后净负荷为-103.74 MW。其中与邢楼变之间的主要通道承担7.28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两方案本站储能额定功率相差3.70 MW，差额与所列主变组合及年度固定转接任务共同形成局部供电安排。</w:t>
      </w:r>
    </w:p>
    <w:p>
      <w:pPr>
        <w:pStyle w:val="7"/>
        <w:keepNext/>
        <w:numPr>
          <w:numId w:val="0"/>
        </w:numPr>
        <w:spacing w:line="360" w:lineRule="exact" w:before="160" w:after="120"/>
        <w:ind w:firstLine="0"/>
      </w:pPr>
      <w:bookmarkStart w:id="217" w:name="杜村变规划分析"/>
      <w:r>
        <w:rPr>
          <w:rFonts w:ascii="Times New Roman" w:hAnsi="Times New Roman" w:eastAsia="方正仿宋_GBK"/>
          <w:b/>
          <w:sz w:val="24"/>
        </w:rPr>
        <w:t xml:space="preserve">杜村变规划分析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MVA。弹性方案2026年40.00 MVA更换为50.00 MVA；2028年扩建第三台50.00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2025年最大正向、反向净负荷分别为92.06 MW、18.13 MW，2035年分别为135.67 MW、72.08 MW。2035年刚性方案主变容量163.00 MVA、储能额定功率2.60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表5-17 杜村变代表年度配置与正向峰值正常转接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128.42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MW。全年本站故障工况中最小余量为6.00 MW。该小时按采用的固定区段预案，本站转出51.87 MW、承接5.21 MW，转接后净负荷为89.00 MW。其中与邳州变之间的主要通道承担7.98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两方案本站储能额定功率相差2.60 MW，差额与所列主变组合及年度固定转接任务共同形成局部供电安排。</w:t>
      </w:r>
    </w:p>
    <w:p>
      <w:pPr>
        <w:pStyle w:val="7"/>
        <w:keepNext/>
        <w:numPr>
          <w:numId w:val="0"/>
        </w:numPr>
        <w:spacing w:line="360" w:lineRule="exact" w:before="160" w:after="120"/>
        <w:ind w:firstLine="0"/>
      </w:pPr>
      <w:bookmarkStart w:id="218" w:name="墩集变规划分析"/>
      <w:r>
        <w:rPr>
          <w:rFonts w:ascii="Times New Roman" w:hAnsi="Times New Roman" w:eastAsia="方正仿宋_GBK"/>
          <w:b/>
          <w:sz w:val="24"/>
        </w:rPr>
        <w:t xml:space="preserve">墩集变规划分析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MVA。弹性方案2022年31.50 MVA更换为50.00 MVA；2028年扩建第三台50.00 MVA主变。储能按本地支撑需求分批增加，新增额定功率为2034年2.70 MW、2035年0.20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2025年最大正向、反向净负荷分别为59.52 MW、35.45 MW，2035年分别为87.71 MW、129.57 MW。2035年刚性方案主变容量163.00 MVA、储能额定功率16.60 MW，弹性方案分别为163.00 MVA和2.90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表5-18 墩集变代表年度配置与正向峰值正常转接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85.37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MW。储能正向有效支撑功率为2.37 MW、反向有效吸收功率为2.90 MW。全年本站故障工况中最小余量为0.39 MW。该小时按采用的固定区段预案，本站转出-30.23 MW、承接1.83 MW，转接后净负荷为-97.51 MW。其中与河湾变之间的主要通道承担8.64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两方案本站储能额定功率相差13.70 MW，差额与所列主变组合及年度固定转接任务共同形成局部供电安排。</w:t>
      </w:r>
    </w:p>
    <w:p>
      <w:pPr>
        <w:pStyle w:val="7"/>
        <w:keepNext/>
        <w:numPr>
          <w:numId w:val="0"/>
        </w:numPr>
        <w:spacing w:line="360" w:lineRule="exact" w:before="160" w:after="120"/>
        <w:ind w:firstLine="0"/>
      </w:pPr>
      <w:bookmarkStart w:id="219" w:name="二庙变规划分析"/>
      <w:r>
        <w:rPr>
          <w:rFonts w:ascii="Times New Roman" w:hAnsi="Times New Roman" w:eastAsia="方正仿宋_GBK"/>
          <w:b/>
          <w:sz w:val="24"/>
        </w:rPr>
        <w:t xml:space="preserve">二庙变规划分析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MVA。弹性方案2022—2035年保留初始主变组合。储能按本地支撑需求分批增加，新增额定功率为2029年0.30 MW、2032年0.40 MW、2034年0.10 MW、2035年3.30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2025年最大正向、反向净负荷分别为103.56 MW、0.00 MW，2035年分别为152.61 MW、28.13 MW。2035年刚性方案主变容量160.00 MVA、储能额定功率1.60 MW，弹性方案分别为160.00 MVA和4.10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表5-19 二庙变代表年度配置与正向峰值正常转接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MW。储能正向有效支撑功率为3.35 MW、反向有效吸收功率为4.10 MW。全年本站故障工况中最小余量为0.07 MW。该小时按采用的固定区段预案，本站转出73.33 MW、承接0.00 MW，转接后净负荷为79.28 MW。其中与河湾变之间的主要通道承担7.93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两方案本站储能额定功率相差2.50 MW，差额与所列主变组合及年度固定转接任务共同形成局部供电安排。</w:t>
      </w:r>
    </w:p>
    <w:p>
      <w:pPr>
        <w:pStyle w:val="7"/>
        <w:keepNext/>
        <w:numPr>
          <w:numId w:val="0"/>
        </w:numPr>
        <w:spacing w:line="360" w:lineRule="exact" w:before="160" w:after="120"/>
        <w:ind w:firstLine="0"/>
      </w:pPr>
      <w:bookmarkStart w:id="220" w:name="坊上变规划分析"/>
      <w:r>
        <w:rPr>
          <w:rFonts w:ascii="Times New Roman" w:hAnsi="Times New Roman" w:eastAsia="方正仿宋_GBK"/>
          <w:b/>
          <w:sz w:val="24"/>
        </w:rPr>
        <w:t xml:space="preserve">坊上变规划分析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MVA。弹性方案2033年40.00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2025年最大正向、反向净负荷分别为39.89 MW、29.68 MW，2035年分别为58.78 MW、91.84 MW。2035年刚性方案主变容量113.00 MVA、储能额定功率0.10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表5-20 坊上变代表年度配置与正向峰值正常转接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55.81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MW。全年本站故障工况中最小余量为3.16 MW。该小时本站未转接负荷，净负荷为-91.84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1" w:name="富山变规划分析"/>
      <w:r>
        <w:rPr>
          <w:rFonts w:ascii="Times New Roman" w:hAnsi="Times New Roman" w:eastAsia="方正仿宋_GBK"/>
          <w:b/>
          <w:sz w:val="24"/>
        </w:rPr>
        <w:t xml:space="preserve">富山变规划分析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MVA。弹性方案2031年31.50 MVA更换为50.00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2025年最大正向、反向净负荷分别为27.54 MW、27.00 MW，2035年分别为40.58 MW、81.24 MW。2035年刚性方案主变容量163.00 MVA、储能额定功率0.00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表5-21 富山变代表年度配置与正向峰值正常转接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MW。全年本站故障工况中最小余量为25.61 MW。该小时按采用的固定区段预案，本站转出-11.85 MW、承接0.00 MW，转接后净负荷为-69.39 MW。其中与大宋变之间的主要通道承担8.46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2" w:name="河湾变规划分析"/>
      <w:r>
        <w:rPr>
          <w:rFonts w:ascii="Times New Roman" w:hAnsi="Times New Roman" w:eastAsia="方正仿宋_GBK"/>
          <w:b/>
          <w:sz w:val="24"/>
        </w:rPr>
        <w:t xml:space="preserve">河湾变规划分析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2025年最大正向、反向净负荷分别为73.11 MW、4.58 MW，2035年分别为107.73 MW、33.64 MW。2035年刚性方案主变容量143.00 MVA、储能额定功率0.10 MW，弹性方案分别为193.00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表5-22 河湾变代表年度配置与正向峰值正常转接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MW。全年本站故障工况中最小余量为17.57 MW。该小时按采用的固定区段预案，本站转出17.96 MW、承接0.00 MW，转接后净负荷为89.78 MW。其中与杜村变之间的主要通道承担5.99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3" w:name="邳城变规划分析"/>
      <w:r>
        <w:rPr>
          <w:rFonts w:ascii="Times New Roman" w:hAnsi="Times New Roman" w:eastAsia="方正仿宋_GBK"/>
          <w:b/>
          <w:sz w:val="24"/>
        </w:rPr>
        <w:t xml:space="preserve">邳城变规划分析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MVA。弹性方案2031年31.50 MVA更换为50.00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2025年最大正向、反向净负荷分别为22.90 MW、30.97 MW，2035年分别为33.75 MW、85.38 MW。2035年刚性方案主变容量144.50 MVA、储能额定功率0.00 MW，弹性方案分别为163.00 MVA和0.00 MW。弹性方案本站主变容量较刚性增加18.50 MVA。</w:t>
      </w:r>
    </w:p>
    <w:p>
      <w:pPr>
        <w:pStyle w:val="2"/>
        <w:keepNext/>
        <w:spacing w:line="280" w:lineRule="exact" w:before="120" w:after="80"/>
        <w:ind w:firstLine="0"/>
        <w:jc w:val="center"/>
      </w:pPr>
      <w:r>
        <w:rPr>
          <w:rFonts w:ascii="Times New Roman" w:hAnsi="Times New Roman" w:eastAsia="宋体"/>
          <w:b w:val="0"/>
          <w:sz w:val="21"/>
        </w:rPr>
        <w:t xml:space="preserve">表5-23 邳城变代表年度配置与正向峰值正常转接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MW。全年本站故障工况中最小余量为9.62 MW。该小时本站未转接负荷，净负荷为-85.38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24" w:name="邳州变规划分析"/>
      <w:r>
        <w:rPr>
          <w:rFonts w:ascii="Times New Roman" w:hAnsi="Times New Roman" w:eastAsia="方正仿宋_GBK"/>
          <w:b/>
          <w:sz w:val="24"/>
        </w:rPr>
        <w:t xml:space="preserve">邳州变规划分析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2025年最大正向、反向净负荷分别为69.39 MW、0.00 MW，2035年分别为102.25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表5-24 邳州变代表年度配置与正向峰值正常转接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101.88</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MW。全年本站故障工况中最小余量为1.51 MW。该小时按采用的固定区段预案，本站转出29.50 MW、承接1.74 MW，转接后净负荷为74.49 MW。其中与河湾变之间的主要通道承担7.87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5" w:name="宿羊山变规划分析"/>
      <w:r>
        <w:rPr>
          <w:rFonts w:ascii="Times New Roman" w:hAnsi="Times New Roman" w:eastAsia="方正仿宋_GBK"/>
          <w:b/>
          <w:sz w:val="24"/>
        </w:rPr>
        <w:t xml:space="preserve">宿羊山变规划分析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MVA。弹性方案2028年40.00 MVA更换为50.00 MVA。储能按本地支撑需求分批增加，新增额定功率为2027年0.60 MW、2031年1.60 MW、2032年4.20 MW、2033年4.40 MW、2034年2.50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2025年最大正向、反向净负荷分别为61.43 MW、30.80 MW，2035年分别为90.52 MW、91.45 MW。2035年刚性方案主变容量113.00 MVA、储能额定功率5.10 MW，弹性方案分别为113.00 MVA和13.30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表5-25 宿羊山变代表年度配置与正向峰值正常转接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85.49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MW。储能正向有效支撑功率为10.87 MW、反向有效吸收功率为10.87 MW。全年本站故障工况中最小余量为0.79 MW。该小时按采用的固定区段预案，本站转出-33.87 MW、承接0.00 MW，转接后净负荷为-57.58 MW。其中与大宋变之间的主要通道承担8.47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两方案本站储能额定功率相差8.20 MW，差额与所列主变组合及年度固定转接任务共同形成局部供电安排。</w:t>
      </w:r>
    </w:p>
    <w:p>
      <w:pPr>
        <w:pStyle w:val="7"/>
        <w:keepNext/>
        <w:numPr>
          <w:numId w:val="0"/>
        </w:numPr>
        <w:spacing w:line="360" w:lineRule="exact" w:before="160" w:after="120"/>
        <w:ind w:firstLine="0"/>
      </w:pPr>
      <w:bookmarkStart w:id="226" w:name="铁富变规划分析"/>
      <w:r>
        <w:rPr>
          <w:rFonts w:ascii="Times New Roman" w:hAnsi="Times New Roman" w:eastAsia="方正仿宋_GBK"/>
          <w:b/>
          <w:sz w:val="24"/>
        </w:rPr>
        <w:t xml:space="preserve">铁富变规划分析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MVA。弹性方案2022年40.00 MVA更换为63.00 MVA。储能按本地支撑需求分批增加，新增额定功率为2026年4.90 MW、2027年6.80 MW、2028年5.80 MW、2029年3.60 MW、2030年7.40 MW、2031年9.40 MW、2032年17.90 MW、2033年18.70 MW、2034年19.50 MW、2035年20.10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2025年最大正向、反向净负荷分别为84.82 MW、57.21 MW，2035年分别为125.00 MW、170.04 MW。2035年刚性方案主变容量113.00 MVA、储能额定功率129.20 MW，弹性方案分别为126.00 MVA和114.10 MW。弹性方案本站主变容量较刚性增加13.00 MVA。</w:t>
      </w:r>
    </w:p>
    <w:p>
      <w:pPr>
        <w:pStyle w:val="2"/>
        <w:keepNext/>
        <w:spacing w:line="280" w:lineRule="exact" w:before="120" w:after="80"/>
        <w:ind w:firstLine="0"/>
        <w:jc w:val="center"/>
      </w:pPr>
      <w:r>
        <w:rPr>
          <w:rFonts w:ascii="Times New Roman" w:hAnsi="Times New Roman" w:eastAsia="宋体"/>
          <w:b w:val="0"/>
          <w:sz w:val="21"/>
        </w:rPr>
        <w:t xml:space="preserve">表5-26 铁富变代表年度配置与正向峰值正常转接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121.09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121.09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MW。储能正向有效支撑功率为93.22 MW、反向有效吸收功率为93.22 MW。全年本站故障工况中最小余量为0.03 MW。该小时按采用的固定区段预案，本站转出-17.00 MW、承接0.00 MW，转接后净负荷为-153.04 MW。其中与汶河变之间的主要通道承担6.80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两方案本站储能额定功率相差15.10 MW，差额与所列主变组合及年度固定转接任务共同形成局部供电安排。</w:t>
      </w:r>
    </w:p>
    <w:p>
      <w:pPr>
        <w:pStyle w:val="7"/>
        <w:keepNext/>
        <w:numPr>
          <w:numId w:val="0"/>
        </w:numPr>
        <w:spacing w:line="360" w:lineRule="exact" w:before="160" w:after="120"/>
        <w:ind w:firstLine="0"/>
      </w:pPr>
      <w:bookmarkStart w:id="227" w:name="土山变规划分析"/>
      <w:r>
        <w:rPr>
          <w:rFonts w:ascii="Times New Roman" w:hAnsi="Times New Roman" w:eastAsia="方正仿宋_GBK"/>
          <w:b/>
          <w:sz w:val="24"/>
        </w:rPr>
        <w:t xml:space="preserve">土山变规划分析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MVA。弹性方案2028年31.50 MVA更换为50.00 MVA。储能按本地支撑需求分批增加，新增额定功率为2027年0.40 MW、2030年0.40 MW、2031年1.20 MW、2032年9.70 MW、2033年11.70 MW、2034年14.20 MW、2035年9.20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2025年最大正向、反向净负荷分别为39.87 MW、37.65 MW，2035年分别为58.75 MW、112.61 MW。2035年刚性方案主变容量113.00 MVA、储能额定功率44.80 MW，弹性方案分别为113.00 MVA和46.80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表5-27 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MW。储能正向有效支撑功率为38.24 MW、反向有效吸收功率为38.24 MW。全年本站故障工况中最小余量为0.02 MW。该小时按采用的固定区段预案，本站转出-26.89 MW、承接0.00 MW，转接后净负荷为-85.72 MW。其中与八义集变之间的主要通道承担6.72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两方案本站储能额定功率相差2.00 MW，差额与所列主变组合及年度固定转接任务共同形成局部供电安排。</w:t>
      </w:r>
    </w:p>
    <w:p>
      <w:pPr>
        <w:pStyle w:val="7"/>
        <w:keepNext/>
        <w:numPr>
          <w:numId w:val="0"/>
        </w:numPr>
        <w:spacing w:line="360" w:lineRule="exact" w:before="160" w:after="120"/>
        <w:ind w:firstLine="0"/>
      </w:pPr>
      <w:bookmarkStart w:id="228" w:name="汶河变规划分析"/>
      <w:r>
        <w:rPr>
          <w:rFonts w:ascii="Times New Roman" w:hAnsi="Times New Roman" w:eastAsia="方正仿宋_GBK"/>
          <w:b/>
          <w:sz w:val="24"/>
        </w:rPr>
        <w:t xml:space="preserve">汶河变规划分析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MVA。弹性方案2027年40.00 MVA更换为50.00 MVA；2029年31.50 MVA更换为50.00 MVA；2032年扩建第三台50.00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2025年最大正向、反向净负荷分别为25.93 MW、28.94 MW，2035年分别为38.21 MW、79.63 MW。2035年刚性方案主变容量150.00 MVA、储能额定功率1.50 MW，弹性方案分别为150.00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表5-28 汶河变代表年度配置与正向峰值正常转接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MW。全年本站故障工况中最小余量为15.33 MW。该小时按采用的固定区段预案，本站转出-16.67 MW、承接-16.71 MW，转接后净负荷为-79.67 MW。其中与铁富变之间的主要通道承担9.26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两方案本站储能额定功率相差1.50 MW，差额与所列主变组合及年度固定转接任务共同形成局部供电安排。</w:t>
      </w:r>
    </w:p>
    <w:p>
      <w:pPr>
        <w:pStyle w:val="7"/>
        <w:keepNext/>
        <w:numPr>
          <w:numId w:val="0"/>
        </w:numPr>
        <w:spacing w:line="360" w:lineRule="exact" w:before="160" w:after="120"/>
        <w:ind w:firstLine="0"/>
      </w:pPr>
      <w:bookmarkStart w:id="229" w:name="吴闸变规划分析"/>
      <w:r>
        <w:rPr>
          <w:rFonts w:ascii="Times New Roman" w:hAnsi="Times New Roman" w:eastAsia="方正仿宋_GBK"/>
          <w:b/>
          <w:sz w:val="24"/>
        </w:rPr>
        <w:t xml:space="preserve">吴闸变规划分析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MVA。弹性方案2022—2035年保留初始主变组合。储能按本地支撑需求分批增加，新增额定功率为2034年1.30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2025年最大正向、反向净负荷分别为50.21 MW、0.00 MW，2035年分别为73.99 MW、15.63 MW。2035年刚性方案主变容量94.50 MVA、储能额定功率0.00 MW，弹性方案分别为94.50 MVA和1.30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表5-29 吴闸变代表年度配置与正向峰值正常转接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2035年最大单台主变N-1后，弹性方案剩余主变容量为31.50 MVA，按0.95功率因数折算为29.93 MW。储能正向有效支撑功率为1.06 MW、反向有效吸收功率为1.30 MW。全年本站故障工况中最小余量为0.07 MW。该小时按采用的固定区段预案，本站转出44.00 MW、承接0.92 MW，转接后净负荷为30.92 MW。其中与杜村变之间的主要通道承担10.00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两方案本站储能额定功率相差1.30 MW，差额与所列主变组合及年度固定转接任务共同形成局部供电安排。</w:t>
      </w:r>
    </w:p>
    <w:p>
      <w:pPr>
        <w:pStyle w:val="7"/>
        <w:keepNext/>
        <w:numPr>
          <w:numId w:val="0"/>
        </w:numPr>
        <w:spacing w:line="360" w:lineRule="exact" w:before="160" w:after="120"/>
        <w:ind w:firstLine="0"/>
      </w:pPr>
      <w:bookmarkStart w:id="230" w:name="邢楼变规划分析"/>
      <w:r>
        <w:rPr>
          <w:rFonts w:ascii="Times New Roman" w:hAnsi="Times New Roman" w:eastAsia="方正仿宋_GBK"/>
          <w:b/>
          <w:sz w:val="24"/>
        </w:rPr>
        <w:t xml:space="preserve">邢楼变规划分析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该站2021年主变组合为20.00+20.00 MVA。弹性方案2025年20.00 MVA更换为31.50 MVA、20.00 MVA更换为31.50 MVA；2028年扩建第三台50.00 MVA主变。储能按本地支撑需求分批增加，新增额定功率为2027年0.10 MW、2032年0.30 MW、2034年0.60 MW、2035年13.70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2025年最大正向、反向净负荷分别为19.20 MW、35.38 MW，2035年分别为28.29 MW、95.87 MW。2035年刚性方案主变容量131.50 MVA、储能额定功率5.00 MW，弹性方案分别为113.00 MVA和14.70 MW。弹性方案本站主变容量较刚性减少18.50 MVA。</w:t>
      </w:r>
    </w:p>
    <w:p>
      <w:pPr>
        <w:pStyle w:val="2"/>
        <w:keepNext/>
        <w:spacing w:line="280" w:lineRule="exact" w:before="120" w:after="80"/>
        <w:ind w:firstLine="0"/>
        <w:jc w:val="center"/>
      </w:pPr>
      <w:r>
        <w:rPr>
          <w:rFonts w:ascii="Times New Roman" w:hAnsi="Times New Roman" w:eastAsia="宋体"/>
          <w:b w:val="0"/>
          <w:sz w:val="21"/>
        </w:rPr>
        <w:t xml:space="preserve">表5-30 邢楼变代表年度配置与正向峰值正常转接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MW。储能正向有效支撑功率为12.01 MW、反向有效吸收功率为8.01 MW。全年本站故障工况中最小余量为0.18 MW。该小时按采用的固定区段预案，本站转出-28.20 MW、承接0.00 MW，转接后净负荷为-67.67 MW。其中与汶河变之间的主要通道承担5.64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两方案本站储能额定功率相差9.70 MW，差额与所列主变组合及年度固定转接任务共同形成局部供电安排。</w:t>
      </w:r>
    </w:p>
    <w:p>
      <w:pPr>
        <w:pStyle w:val="7"/>
        <w:keepNext/>
        <w:numPr>
          <w:numId w:val="0"/>
        </w:numPr>
        <w:spacing w:line="360" w:lineRule="exact" w:before="160" w:after="120"/>
        <w:ind w:firstLine="0"/>
      </w:pPr>
      <w:bookmarkStart w:id="231" w:name="兴塘变规划分析"/>
      <w:r>
        <w:rPr>
          <w:rFonts w:ascii="Times New Roman" w:hAnsi="Times New Roman" w:eastAsia="方正仿宋_GBK"/>
          <w:b/>
          <w:sz w:val="24"/>
        </w:rPr>
        <w:t xml:space="preserve">兴塘变规划分析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该站2021年主变组合为20.00+40.00 MVA。弹性方案2028年20.00 MVA更换为31.50 MVA；2031年扩建第三台50.00 MVA主变；2035年40.00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2025年最大正向、反向净负荷分别为39.15 MW、30.66 MW，2035年分别为57.69 MW、92.41 MW。2035年刚性方案主变容量121.50 MVA、储能额定功率0.00 MW，弹性方案分别为131.50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表5-31 兴塘变代表年度配置与正向峰值正常转接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57.69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2035年最大单台主变N-1后，弹性方案剩余主变容量为81.50 MVA，按0.95功率因数折算为77.43 MW。储能正向有效支撑功率为0.00 MW、反向有效吸收功率为0.00 MW。全年本站故障工况中最小余量为0.14 MW。该小时按采用的固定区段预案，本站转出-15.12 MW、承接0.00 MW，转接后净负荷为-77.29 MW。其中与宿羊山变之间的主要通道承担6.72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32" w:name="议堂变规划分析"/>
      <w:r>
        <w:rPr>
          <w:rFonts w:ascii="Times New Roman" w:hAnsi="Times New Roman" w:eastAsia="方正仿宋_GBK"/>
          <w:b/>
          <w:sz w:val="24"/>
        </w:rPr>
        <w:t xml:space="preserve">议堂变规划分析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MVA。弹性方案2032年31.50 MVA更换为50.00 MVA；2034年扩建第三台50.00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2025年最大正向、反向净负荷分别为34.43 MW、22.89 MW，2035年分别为50.74 MW、74.04 MW。2035年刚性方案主变容量113.00 MVA、储能额定功率0.00 MW，弹性方案分别为163.00 MVA和0.00 MW。弹性方案本站主变容量较刚性增加50.00 MVA。</w:t>
      </w:r>
    </w:p>
    <w:p>
      <w:pPr>
        <w:pStyle w:val="2"/>
        <w:keepNext/>
        <w:spacing w:line="280" w:lineRule="exact" w:before="120" w:after="80"/>
        <w:ind w:firstLine="0"/>
        <w:jc w:val="center"/>
      </w:pPr>
      <w:r>
        <w:rPr>
          <w:rFonts w:ascii="Times New Roman" w:hAnsi="Times New Roman" w:eastAsia="宋体"/>
          <w:b w:val="0"/>
          <w:sz w:val="21"/>
        </w:rPr>
        <w:t xml:space="preserve">表5-32 议堂变代表年度配置与正向峰值正常转接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55.77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MW。全年本站故障工况中最小余量为16.90 MW。该小时按采用的固定区段预案，本站转出0.00 MW、承接-4.06 MW，转接后净负荷为-78.10 MW。其中与宿羊山变之间的主要通道承担4.06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2"/>
        <w:widowControl/>
        <w:spacing w:line="348" w:lineRule="exact" w:before="0" w:after="0"/>
        <w:ind w:firstLine="480"/>
        <w:jc w:val="both"/>
      </w:pPr>
      <w:r>
        <w:rPr>
          <w:rFonts w:ascii="Times New Roman" w:hAnsi="Times New Roman" w:eastAsia="方正仿宋_GBK"/>
          <w:b w:val="0"/>
          <w:sz w:val="24"/>
        </w:rPr>
        <w:t xml:space="preserve">将各站2021年初始与2035年两方案的最大单台N-1剩余有功能力并列，可观察长期补强的站间分布。部分站点由两台共同升档提高剩余能力，具备预留位置的站点还可增加第三台，容量接近时配储和网络使用仍可能不同。图中按主变组合及0.95功率因数折算，运行支撑还包括实际可用储能和网络。</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57600"/>
            <wp:effectExtent b="0" l="0" r="0" t="0"/>
            <wp:docPr descr="" title="" id="1"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233"/>
                    <a:stretch>
                      <a:fillRect/>
                    </a:stretch>
                  </pic:blipFill>
                  <pic:spPr bwMode="auto">
                    <a:xfrm>
                      <a:off x="0" y="0"/>
                      <a:ext cx="5120640" cy="36576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邳州逐站初始与2035年方案的N-1剩余主变能力</w:t>
      </w:r>
    </w:p>
    <w:p>
      <w:pPr>
        <w:pStyle w:val="5"/>
        <w:keepNext/>
        <w:numPr>
          <w:numId w:val="0"/>
        </w:numPr>
        <w:spacing w:line="390" w:lineRule="exact" w:before="160" w:after="120"/>
        <w:ind w:firstLine="0"/>
      </w:pPr>
      <w:bookmarkStart w:id="234" w:name="市区逐站规划方案"/>
      <w:r>
        <w:rPr>
          <w:rFonts w:ascii="Times New Roman" w:hAnsi="Times New Roman" w:eastAsia="方正仿宋_GBK"/>
          <w:b/>
          <w:sz w:val="26"/>
        </w:rPr>
        <w:t xml:space="preserve">5.4.6 市区逐站规划方案</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35" w:name="大黄山变规划分析"/>
      <w:r>
        <w:rPr>
          <w:rFonts w:ascii="Times New Roman" w:hAnsi="Times New Roman" w:eastAsia="方正仿宋_GBK"/>
          <w:b/>
          <w:sz w:val="24"/>
        </w:rPr>
        <w:t xml:space="preserve">大黄山变规划分析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MVA。弹性方案2030年50.00 MVA更换为63.00 MVA。储能按本地支撑需求分批增加，新增额定功率为2033年3.90 MW、2034年8.30 MW、2035年12.40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2025年最大正向、反向净负荷分别为32.29 MW、35.73 MW，2035年分别为47.02 MW、110.88 MW。2035年刚性方案主变容量126.00 MVA、储能额定功率18.40 MW，弹性方案分别为126.00 MVA和24.60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表5-33 大黄山变代表年度配置与正向峰值正常转接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2035年最大单台主变N-1后，弹性方案剩余主变容量为63.00 MVA，按0.95功率因数折算为59.85 MW。储能正向有效支撑功率为6.70 MW、反向有效吸收功率为20.10 MW。全年本站故障工况中最小余量为0.05 MW。该小时按采用的固定区段预案，本站转出-30.98 MW、承接0.00 MW，转接后净负荷为-79.90 MW。其中与奎山变之间的主要通道承担11.41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两方案本站储能额定功率相差6.20 MW，差额与所列主变组合及年度固定转接任务共同形成局部供电安排。</w:t>
      </w:r>
    </w:p>
    <w:p>
      <w:pPr>
        <w:pStyle w:val="7"/>
        <w:keepNext/>
        <w:numPr>
          <w:numId w:val="0"/>
        </w:numPr>
        <w:spacing w:line="360" w:lineRule="exact" w:before="160" w:after="120"/>
        <w:ind w:firstLine="0"/>
      </w:pPr>
      <w:bookmarkStart w:id="236" w:name="大庙变规划分析"/>
      <w:r>
        <w:rPr>
          <w:rFonts w:ascii="Times New Roman" w:hAnsi="Times New Roman" w:eastAsia="方正仿宋_GBK"/>
          <w:b/>
          <w:sz w:val="24"/>
        </w:rPr>
        <w:t xml:space="preserve">大庙变规划分析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MVA。弹性方案2027年40.00 MVA更换为50.00 MVA；2030年扩建第三台50.00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2025年最大正向、反向净负荷分别为70.32 MW、8.70 MW，2035年分别为102.39 MW、61.95 MW。2035年刚性方案主变容量163.00 MVA、储能额定功率0.00 MW，弹性方案分别为163.00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表5-34 大庙变代表年度配置与正向峰值正常转接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101.53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MW。全年本站故障工况中最小余量为1.59 MW。该小时按采用的固定区段预案，本站转出8.98 MW、承接0.00 MW，转接后净负荷为93.41 MW。其中与龙湖变之间的主要通道承担5.39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37" w:name="堤北变规划分析"/>
      <w:r>
        <w:rPr>
          <w:rFonts w:ascii="Times New Roman" w:hAnsi="Times New Roman" w:eastAsia="方正仿宋_GBK"/>
          <w:b/>
          <w:sz w:val="24"/>
        </w:rPr>
        <w:t xml:space="preserve">堤北变规划分析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MVA。弹性方案2031年63.00 MVA更换为80.00 MVA。储能按本地支撑需求分批增加，新增额定功率为2034年4.40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2025年最大正向、反向净负荷分别为102.93 MW、0.00 MW，2035年分别为149.87 MW、0.00 MW。2035年刚性方案主变容量160.00 MVA、储能额定功率0.00 MW，弹性方案分别为160.00 MVA和4.40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表5-35 堤北变代表年度配置与正向峰值正常转接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MW。储能正向有效支撑功率为1.20 MW、反向有效吸收功率为4.40 MW。全年本站故障工况中最小余量为1.26 MW。该小时按采用的固定区段预案，本站转出73.94 MW、承接0.00 MW，转接后净负荷为75.94 MW。其中与刘湾变之间的主要通道承担13.99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两方案本站储能额定功率相差4.40 MW，差额与所列主变组合及年度固定转接任务共同形成局部供电安排。</w:t>
      </w:r>
    </w:p>
    <w:p>
      <w:pPr>
        <w:pStyle w:val="7"/>
        <w:keepNext/>
        <w:numPr>
          <w:numId w:val="0"/>
        </w:numPr>
        <w:spacing w:line="360" w:lineRule="exact" w:before="160" w:after="120"/>
        <w:ind w:firstLine="0"/>
      </w:pPr>
      <w:bookmarkStart w:id="238" w:name="翟山变规划分析"/>
      <w:r>
        <w:rPr>
          <w:rFonts w:ascii="Times New Roman" w:hAnsi="Times New Roman" w:eastAsia="方正仿宋_GBK"/>
          <w:b/>
          <w:sz w:val="24"/>
        </w:rPr>
        <w:t xml:space="preserve">翟山变规划分析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MVA。弹性方案2028年63.00 MVA更换为80.00 MVA、63.00 MVA更换为80.00 MVA。储能按本地支撑需求分批增加，新增额定功率为2032年2.90 MW、2033年3.80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2025年最大正向、反向净负荷分别为95.63 MW、0.00 MW，2035年分别为139.24 MW、0.00 MW。2035年刚性方案主变容量160.00 MVA、储能额定功率13.00 MW，弹性方案分别为160.00 MVA和6.70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表5-36 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115.84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MW。储能正向有效支撑功率为1.82 MW、反向有效吸收功率为6.70 MW。全年本站故障工况中最小余量为0.25 MW。该小时按采用的固定区段预案，本站转出61.67 MW、承接0.00 MW，转接后净负荷为77.58 MW。其中与开元变之间的主要通道承担11.94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两方案本站储能额定功率相差6.30 MW，差额与所列主变组合及年度固定转接任务共同形成局部供电安排。</w:t>
      </w:r>
    </w:p>
    <w:p>
      <w:pPr>
        <w:pStyle w:val="7"/>
        <w:keepNext/>
        <w:numPr>
          <w:numId w:val="0"/>
        </w:numPr>
        <w:spacing w:line="360" w:lineRule="exact" w:before="160" w:after="120"/>
        <w:ind w:firstLine="0"/>
      </w:pPr>
      <w:bookmarkStart w:id="239" w:name="古彭变规划分析"/>
      <w:r>
        <w:rPr>
          <w:rFonts w:ascii="Times New Roman" w:hAnsi="Times New Roman" w:eastAsia="方正仿宋_GBK"/>
          <w:b/>
          <w:sz w:val="24"/>
        </w:rPr>
        <w:t xml:space="preserve">古彭变规划分析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MVA。弹性方案2031年63.00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2025年最大正向、反向净负荷分别为84.10 MW、0.00 MW，2035年分别为122.46 MW、0.00 MW。2035年刚性方案主变容量143.00 MVA、储能额定功率0.00 MW，弹性方案分别为160.00 MVA和0.00 MW。弹性方案本站主变容量较刚性增加17.00 MVA。</w:t>
      </w:r>
    </w:p>
    <w:p>
      <w:pPr>
        <w:pStyle w:val="2"/>
        <w:keepNext/>
        <w:spacing w:line="280" w:lineRule="exact" w:before="120" w:after="80"/>
        <w:ind w:firstLine="0"/>
        <w:jc w:val="center"/>
      </w:pPr>
      <w:r>
        <w:rPr>
          <w:rFonts w:ascii="Times New Roman" w:hAnsi="Times New Roman" w:eastAsia="宋体"/>
          <w:b w:val="0"/>
          <w:sz w:val="21"/>
        </w:rPr>
        <w:t xml:space="preserve">表5-37 古彭变代表年度配置与正向峰值正常转接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84.59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MW。全年本站故障工况中最小余量为0.94 MW。该小时按采用的固定区段预案，本站转出47.40 MW、承接0.00 MW，转接后净负荷为75.06 MW。其中与开元变之间的主要通道承担11.85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0" w:name="花园变规划分析"/>
      <w:r>
        <w:rPr>
          <w:rFonts w:ascii="Times New Roman" w:hAnsi="Times New Roman" w:eastAsia="方正仿宋_GBK"/>
          <w:b/>
          <w:sz w:val="24"/>
        </w:rPr>
        <w:t xml:space="preserve">花园变规划分析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MVA。储能按本地支撑需求分批增加，新增额定功率为2033年0.80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2025年最大正向、反向净负荷分别为63.57 MW、0.00 MW，2035年分别为92.57 MW、0.00 MW。2035年刚性方案主变容量90.00 MVA、储能额定功率2.00 MW，弹性方案分别为100.00 MVA和0.80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表5-38 花园变代表年度配置与正向峰值正常转接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MW。储能正向有效支撑功率为0.22 MW、反向有效吸收功率为0.80 MW。全年本站故障工况中最小余量为0.45 MW。该小时按采用的固定区段预案，本站转出45.30 MW、承接0.00 MW，转接后净负荷为47.27 MW。其中与彭场变之间的主要通道承担11.82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两方案本站储能额定功率相差1.20 MW，差额与所列主变组合及年度固定转接任务共同形成局部供电安排。</w:t>
      </w:r>
    </w:p>
    <w:p>
      <w:pPr>
        <w:pStyle w:val="7"/>
        <w:keepNext/>
        <w:numPr>
          <w:numId w:val="0"/>
        </w:numPr>
        <w:spacing w:line="360" w:lineRule="exact" w:before="160" w:after="120"/>
        <w:ind w:firstLine="0"/>
      </w:pPr>
      <w:bookmarkStart w:id="241" w:name="惠民变规划分析"/>
      <w:r>
        <w:rPr>
          <w:rFonts w:ascii="Times New Roman" w:hAnsi="Times New Roman" w:eastAsia="方正仿宋_GBK"/>
          <w:b/>
          <w:sz w:val="24"/>
        </w:rPr>
        <w:t xml:space="preserve">惠民变规划分析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MVA。弹性方案2032年50.00 MVA更换为63.00 MVA；2033年扩建第三台50.00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2025年最大正向、反向净负荷分别为85.29 MW、0.00 MW，2035年分别为124.19 MW、0.00 MW。2035年刚性方案主变容量113.00 MVA、储能额定功率0.90 MW，弹性方案分别为176.00 MVA和0.00 MW。弹性方案本站主变容量较刚性增加63.00 MVA。</w:t>
      </w:r>
    </w:p>
    <w:p>
      <w:pPr>
        <w:pStyle w:val="2"/>
        <w:keepNext/>
        <w:spacing w:line="280" w:lineRule="exact" w:before="120" w:after="80"/>
        <w:ind w:firstLine="0"/>
        <w:jc w:val="center"/>
      </w:pPr>
      <w:r>
        <w:rPr>
          <w:rFonts w:ascii="Times New Roman" w:hAnsi="Times New Roman" w:eastAsia="宋体"/>
          <w:b w:val="0"/>
          <w:sz w:val="21"/>
        </w:rPr>
        <w:t xml:space="preserve">表5-39 惠民变代表年度配置与正向峰值正常转接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112.23</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2035年最大单台主变N-1后，弹性方案剩余主变容量为113.00 MVA，按0.95功率因数折算为107.35 MW。储能正向有效支撑功率为0.00 MW、反向有效吸收功率为0.00 MW。全年本站故障工况中最小余量为1.10 MW。该小时按采用的固定区段预案，本站转出21.68 MW、承接3.75 MW，转接后净负荷为106.25 MW。其中与大庙变之间的主要通道承担9.86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42" w:name="夹河变规划分析"/>
      <w:r>
        <w:rPr>
          <w:rFonts w:ascii="Times New Roman" w:hAnsi="Times New Roman" w:eastAsia="方正仿宋_GBK"/>
          <w:b/>
          <w:sz w:val="24"/>
        </w:rPr>
        <w:t xml:space="preserve">夹河变规划分析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MVA。弹性方案2028年31.50 MVA更换为50.00 MVA、40.00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2025年最大正向、反向净负荷分别为46.06 MW、6.81 MW，2035年分别为67.07 MW、38.19 MW。2035年刚性方案主变容量160.00 MVA、储能额定功率0.70 MW，弹性方案分别为100.00 MVA和0.00 MW。弹性方案本站主变容量较刚性减少60.00 MVA。</w:t>
      </w:r>
    </w:p>
    <w:p>
      <w:pPr>
        <w:pStyle w:val="2"/>
        <w:keepNext/>
        <w:spacing w:line="280" w:lineRule="exact" w:before="120" w:after="80"/>
        <w:ind w:firstLine="0"/>
        <w:jc w:val="center"/>
      </w:pPr>
      <w:r>
        <w:rPr>
          <w:rFonts w:ascii="Times New Roman" w:hAnsi="Times New Roman" w:eastAsia="宋体"/>
          <w:b w:val="0"/>
          <w:sz w:val="21"/>
        </w:rPr>
        <w:t xml:space="preserve">表5-40 夹河变代表年度配置与正向峰值正常转接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67.07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MW。全年本站故障工况中最小余量为0.15 MW。该小时按采用的固定区段预案，本站转出19.73 MW、承接0.00 MW，转接后净负荷为47.35 MW。其中与翟山变之间的主要通道承担19.73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两方案本站储能额定功率相差0.70 MW，差额与所列主变组合及年度固定转接任务共同形成局部供电安排。</w:t>
      </w:r>
    </w:p>
    <w:p>
      <w:pPr>
        <w:pStyle w:val="7"/>
        <w:keepNext/>
        <w:numPr>
          <w:numId w:val="0"/>
        </w:numPr>
        <w:spacing w:line="360" w:lineRule="exact" w:before="160" w:after="120"/>
        <w:ind w:firstLine="0"/>
      </w:pPr>
      <w:bookmarkStart w:id="243" w:name="开元变规划分析"/>
      <w:r>
        <w:rPr>
          <w:rFonts w:ascii="Times New Roman" w:hAnsi="Times New Roman" w:eastAsia="方正仿宋_GBK"/>
          <w:b/>
          <w:sz w:val="24"/>
        </w:rPr>
        <w:t xml:space="preserve">开元变规划分析</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该站2021年主变组合为31.50+80.00 MVA。弹性方案2033年31.50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2025年最大正向、反向净负荷分别为56.24 MW、0.00 MW，2035年分别为81.89 MW、0.00 MW。2035年刚性方案主变容量111.50 MVA、储能额定功率0.00 MW，弹性方案分别为130.00 MVA和0.00 MW。弹性方案本站主变容量较刚性增加18.50 MVA。</w:t>
      </w:r>
    </w:p>
    <w:p>
      <w:pPr>
        <w:pStyle w:val="2"/>
        <w:keepNext/>
        <w:spacing w:line="280" w:lineRule="exact" w:before="120" w:after="80"/>
        <w:ind w:firstLine="0"/>
        <w:jc w:val="center"/>
      </w:pPr>
      <w:r>
        <w:rPr>
          <w:rFonts w:ascii="Times New Roman" w:hAnsi="Times New Roman" w:eastAsia="宋体"/>
          <w:b w:val="0"/>
          <w:sz w:val="21"/>
        </w:rPr>
        <w:t xml:space="preserve">表5-41 开元变代表年度配置与正向峰值正常转接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85.51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MW。全年本站故障工况中最小余量为1.93 MW。该小时按采用的固定区段预案，本站转出39.95 MW、承接3.62 MW，转接后净负荷为45.57 MW。其中与翟山变之间的主要通道承担11.98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4" w:name="奎山变规划分析"/>
      <w:r>
        <w:rPr>
          <w:rFonts w:ascii="Times New Roman" w:hAnsi="Times New Roman" w:eastAsia="方正仿宋_GBK"/>
          <w:b/>
          <w:sz w:val="24"/>
        </w:rPr>
        <w:t xml:space="preserve">奎山变规划分析</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MVA。弹性方案2033年63.00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2025年最大正向、反向净负荷分别为83.73 MW、0.00 MW，2035年分别为121.93 MW、0.00 MW。2035年刚性方案主变容量143.00 MVA、储能额定功率0.00 MW，弹性方案分别为160.00 MVA和0.00 MW。弹性方案本站主变容量较刚性增加17.00 MVA。</w:t>
      </w:r>
    </w:p>
    <w:p>
      <w:pPr>
        <w:pStyle w:val="2"/>
        <w:keepNext/>
        <w:spacing w:line="280" w:lineRule="exact" w:before="120" w:after="80"/>
        <w:ind w:firstLine="0"/>
        <w:jc w:val="center"/>
      </w:pPr>
      <w:r>
        <w:rPr>
          <w:rFonts w:ascii="Times New Roman" w:hAnsi="Times New Roman" w:eastAsia="宋体"/>
          <w:b w:val="0"/>
          <w:sz w:val="21"/>
        </w:rPr>
        <w:t xml:space="preserve">表5-42 奎山变代表年度配置与正向峰值正常转接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112.10</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MW。全年本站故障工况中最小余量为2.22 MW。该小时按采用的固定区段预案，本站转出49.90 MW、承接1.93 MW，转接后净负荷为73.78 MW。其中与翟山变之间的主要通道承担19.96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pPr>
        <w:pStyle w:val="7"/>
        <w:keepNext/>
        <w:numPr>
          <w:numId w:val="0"/>
        </w:numPr>
        <w:spacing w:line="360" w:lineRule="exact" w:before="160" w:after="120"/>
        <w:ind w:firstLine="0"/>
      </w:pPr>
      <w:bookmarkStart w:id="245" w:name="刘湾变规划分析"/>
      <w:r>
        <w:rPr>
          <w:rFonts w:ascii="Times New Roman" w:hAnsi="Times New Roman" w:eastAsia="方正仿宋_GBK"/>
          <w:b/>
          <w:sz w:val="24"/>
        </w:rPr>
        <w:t xml:space="preserve">刘湾变规划分析</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MVA。弹性方案2023年40.00 MVA更换为50.00 MVA；2029年扩建第三台50.00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2025年最大正向、反向净负荷分别为71.22 MW、13.31 MW，2035年分别为103.71 MW、68.33 MW。2035年刚性方案主变容量153.00 MVA、储能额定功率2.50 MW，弹性方案分别为163.00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表5-43 刘湾变代表年度配置与正向峰值正常转接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93.46</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MW。全年本站故障工况中最小余量为12.34 MW。该小时按采用的固定区段预案，本站转出25.93 MW、承接4.88 MW，转接后净负荷为82.66 MW。其中与玉潭变之间的主要通道承担9.26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两方案本站储能额定功率相差2.50 MW，差额与所列主变组合及年度固定转接任务共同形成局部供电安排。</w:t>
      </w:r>
    </w:p>
    <w:p>
      <w:pPr>
        <w:pStyle w:val="7"/>
        <w:keepNext/>
        <w:numPr>
          <w:numId w:val="0"/>
        </w:numPr>
        <w:spacing w:line="360" w:lineRule="exact" w:before="160" w:after="120"/>
        <w:ind w:firstLine="0"/>
      </w:pPr>
      <w:bookmarkStart w:id="246" w:name="龙湖变规划分析"/>
      <w:r>
        <w:rPr>
          <w:rFonts w:ascii="Times New Roman" w:hAnsi="Times New Roman" w:eastAsia="方正仿宋_GBK"/>
          <w:b/>
          <w:sz w:val="24"/>
        </w:rPr>
        <w:t xml:space="preserve">龙湖变规划分析</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2025年最大正向、反向净负荷分别为31.83 MW、0.00 MW，2035年分别为46.35 MW、0.00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表5-44 龙湖变代表年度配置与正向峰值正常转接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MW。全年本站故障工况中最小余量为2.69 MW。该小时按采用的固定区段预案，本站转出13.52 MW、承接2.48 MW，转接后净负荷为35.31 MW。其中与惠民变之间的主要通道承担11.59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7" w:name="庞庄变规划分析"/>
      <w:r>
        <w:rPr>
          <w:rFonts w:ascii="Times New Roman" w:hAnsi="Times New Roman" w:eastAsia="方正仿宋_GBK"/>
          <w:b/>
          <w:sz w:val="24"/>
        </w:rPr>
        <w:t xml:space="preserve">庞庄变规划分析</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2025年最大正向、反向净负荷分别为11.20 MW、7.08 MW，2035年分别为16.31 MW、24.51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表5-45 庞庄变代表年度配置与正向峰值正常转接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MW。全年本站故障工况中最小余量为4.09 MW。该小时按采用的固定区段预案，本站转出0.00 MW、承接19.65 MW，转接后净负荷为33.91 MW。其中与西郊变之间的主要通道承担3.93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8" w:name="彭场变规划分析"/>
      <w:r>
        <w:rPr>
          <w:rFonts w:ascii="Times New Roman" w:hAnsi="Times New Roman" w:eastAsia="方正仿宋_GBK"/>
          <w:b/>
          <w:sz w:val="24"/>
        </w:rPr>
        <w:t xml:space="preserve">彭场变规划分析</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MVA。弹性方案2035年扩建第三台50.00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2025年最大正向、反向净负荷分别为64.92 MW、0.00 MW，2035年分别为94.53 MW、0.00 MW。2035年刚性方案主变容量150.00 MVA、储能额定功率0.00 MW，弹性方案分别为150.00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表5-46 彭场变代表年度配置与正向峰值正常转接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81.05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2035年最大单台主变N-1后，弹性方案剩余主变容量为100.00 MVA，按0.95功率因数折算为95.00 MW。储能正向有效支撑功率为0.00 MW、反向有效吸收功率为0.00 MW。全年本站故障工况中最小余量为0.47 MW。该小时本站未转接负荷，净负荷为94.53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49" w:name="庆云桥变规划分析"/>
      <w:r>
        <w:rPr>
          <w:rFonts w:ascii="Times New Roman" w:hAnsi="Times New Roman" w:eastAsia="方正仿宋_GBK"/>
          <w:b/>
          <w:sz w:val="24"/>
        </w:rPr>
        <w:t xml:space="preserve">庆云桥变规划分析</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MVA。储能按本地支撑需求分批增加，新增额定功率为2035年1.40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2025年最大正向、反向净负荷分别为65.76 MW、0.00 MW，2035年分别为95.76 MW、0.00 MW。2035年刚性方案主变容量100.00 MVA、储能额定功率0.40 MW，弹性方案分别为100.00 MVA和1.40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表5-47 庆云桥变代表年度配置与正向峰值正常转接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81.56</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MW。储能正向有效支撑功率为0.38 MW、反向有效吸收功率为1.40 MW。全年本站故障工况中最小余量为0.00 MW。该小时按采用的固定区段预案，本站转出47.88 MW、承接0.00 MW，转接后净负荷为47.88 MW。其中与彭场变之间的主要通道承担11.97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两方案本站储能额定功率相差1.00 MW，差额与所列主变组合及年度固定转接任务共同形成局部供电安排。</w:t>
      </w:r>
    </w:p>
    <w:p>
      <w:pPr>
        <w:pStyle w:val="7"/>
        <w:keepNext/>
        <w:numPr>
          <w:numId w:val="0"/>
        </w:numPr>
        <w:spacing w:line="360" w:lineRule="exact" w:before="160" w:after="120"/>
        <w:ind w:firstLine="0"/>
      </w:pPr>
      <w:bookmarkStart w:id="250" w:name="山南变规划分析"/>
      <w:r>
        <w:rPr>
          <w:rFonts w:ascii="Times New Roman" w:hAnsi="Times New Roman" w:eastAsia="方正仿宋_GBK"/>
          <w:b/>
          <w:sz w:val="24"/>
        </w:rPr>
        <w:t xml:space="preserve">山南变规划分析</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2025年最大正向、反向净负荷分别为5.80 MW、0.00 MW，2035年分别为8.45 MW、0.35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表5-48 山南变代表年度配置与正向峰值正常转接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16.29</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MW。全年本站故障工况中最小余量为21.71 MW。该小时按采用的固定区段预案，本站转出0.00 MW、承接7.84 MW，转接后净负荷为16.29 MW。其中与统一变之间的主要通道承担3.92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1" w:name="升辉变规划分析"/>
      <w:r>
        <w:rPr>
          <w:rFonts w:ascii="Times New Roman" w:hAnsi="Times New Roman" w:eastAsia="方正仿宋_GBK"/>
          <w:b/>
          <w:sz w:val="24"/>
        </w:rPr>
        <w:t xml:space="preserve">升辉变规划分析</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2025年最大正向、反向净负荷分别为38.35 MW、0.00 MW，2035年分别为55.84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表5-49 升辉变代表年度配置与正向峰值正常转接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MW。全年本站故障工况中最小余量为1.62 MW。该小时按采用的固定区段预案，本站转出0.00 MW、承接19.23 MW，转接后净负荷为74.38 MW。其中与翟山变之间的主要通道承担3.98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2" w:name="石桥变规划分析"/>
      <w:r>
        <w:rPr>
          <w:rFonts w:ascii="Times New Roman" w:hAnsi="Times New Roman" w:eastAsia="方正仿宋_GBK"/>
          <w:b/>
          <w:sz w:val="24"/>
        </w:rPr>
        <w:t xml:space="preserve">石桥变规划分析</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MVA。弹性方案2022—2035年保留初始主变组合。储能按本地支撑需求分批增加，新增额定功率为2032年0.90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2025年最大正向、反向净负荷分别为110.02 MW、10.95 MW，2035年分别为160.20 MW、87.97 MW。2035年刚性方案主变容量160.00 MVA、储能额定功率0.00 MW，弹性方案分别为160.00 MVA和0.90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表5-50 石桥变代表年度配置与正向峰值正常转接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142.58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MW。储能正向有效支撑功率为0.25 MW、反向有效吸收功率为0.90 MW。全年本站故障工况中最小余量为0.23 MW。该小时按采用的固定区段预案，本站转出84.93 MW、承接0.74 MW，转接后净负荷为76.01 MW。其中与奎山变之间的主要通道承担15.44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两方案本站储能额定功率相差0.90 MW，差额与所列主变组合及年度固定转接任务共同形成局部供电安排。</w:t>
      </w:r>
    </w:p>
    <w:p>
      <w:pPr>
        <w:pStyle w:val="7"/>
        <w:keepNext/>
        <w:numPr>
          <w:numId w:val="0"/>
        </w:numPr>
        <w:spacing w:line="360" w:lineRule="exact" w:before="160" w:after="120"/>
        <w:ind w:firstLine="0"/>
      </w:pPr>
      <w:bookmarkStart w:id="253" w:name="拾屯变规划分析"/>
      <w:r>
        <w:rPr>
          <w:rFonts w:ascii="Times New Roman" w:hAnsi="Times New Roman" w:eastAsia="方正仿宋_GBK"/>
          <w:b/>
          <w:sz w:val="24"/>
        </w:rPr>
        <w:t xml:space="preserve">拾屯变规划分析</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MVA。弹性方案2029年40.00 MVA更换为50.00 MVA；2032年50.00 MVA更换为63.00 MVA。储能按本地支撑需求分批增加，新增额定功率为2035年0.20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2025年最大正向、反向净负荷分别为73.47 MW、0.00 MW，2035年分别为106.98 MW、20.31 MW。2035年刚性方案主变容量150.00 MVA、储能额定功率2.90 MW，弹性方案分别为113.00 MVA和0.20 MW。弹性方案本站主变容量较刚性减少37.00 MVA。</w:t>
      </w:r>
    </w:p>
    <w:p>
      <w:pPr>
        <w:pStyle w:val="2"/>
        <w:keepNext/>
        <w:spacing w:line="280" w:lineRule="exact" w:before="120" w:after="80"/>
        <w:ind w:firstLine="0"/>
        <w:jc w:val="center"/>
      </w:pPr>
      <w:r>
        <w:rPr>
          <w:rFonts w:ascii="Times New Roman" w:hAnsi="Times New Roman" w:eastAsia="宋体"/>
          <w:b w:val="0"/>
          <w:sz w:val="21"/>
        </w:rPr>
        <w:t xml:space="preserve">表5-51 拾屯变代表年度配置与正向峰值正常转接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105.22</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MW。储能正向有效支撑功率为0.05 MW、反向有效吸收功率为0.20 MW。全年本站故障工况中最小余量为0.01 MW。该小时按采用的固定区段预案，本站转出59.43 MW、承接0.00 MW，转接后净负荷为47.55 MW。其中与刘湾变之间的主要通道承担13.87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刚性方案在本站采用第三台主变，弹性方案保留两台结构，容量与配储差异需结合可用通道及邻站支援判断。</w:t>
      </w:r>
    </w:p>
    <w:p>
      <w:pPr>
        <w:pStyle w:val="7"/>
        <w:keepNext/>
        <w:numPr>
          <w:numId w:val="0"/>
        </w:numPr>
        <w:spacing w:line="360" w:lineRule="exact" w:before="160" w:after="120"/>
        <w:ind w:firstLine="0"/>
      </w:pPr>
      <w:bookmarkStart w:id="254" w:name="统一变规划分析"/>
      <w:r>
        <w:rPr>
          <w:rFonts w:ascii="Times New Roman" w:hAnsi="Times New Roman" w:eastAsia="方正仿宋_GBK"/>
          <w:b/>
          <w:sz w:val="24"/>
        </w:rPr>
        <w:t xml:space="preserve">统一变规划分析</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MVA。弹性方案2023年40.00 MVA更换为50.00 MVA；2027年50.00 MVA更换为63.00 MVA。储能按本地支撑需求分批增加，新增额定功率为2031年3.10 MW、2032年2.90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2025年最大正向、反向净负荷分别为92.94 MW、0.00 MW，2035年分别为135.34 MW、0.00 MW。2035年刚性方案主变容量130.00 MVA、储能额定功率0.00 MW，弹性方案分别为113.00 MVA和6.00 MW。弹性方案本站主变容量较刚性减少17.00 MVA。</w:t>
      </w:r>
    </w:p>
    <w:p>
      <w:pPr>
        <w:pStyle w:val="2"/>
        <w:keepNext/>
        <w:spacing w:line="280" w:lineRule="exact" w:before="120" w:after="80"/>
        <w:ind w:firstLine="0"/>
        <w:jc w:val="center"/>
      </w:pPr>
      <w:r>
        <w:rPr>
          <w:rFonts w:ascii="Times New Roman" w:hAnsi="Times New Roman" w:eastAsia="宋体"/>
          <w:b w:val="0"/>
          <w:sz w:val="21"/>
        </w:rPr>
        <w:t xml:space="preserve">表5-52 统一变代表年度配置与正向峰值正常转接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105.87</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MW。储能正向有效支撑功率为1.63 MW、反向有效吸收功率为6.00 MW。全年本站故障工况中最小余量为1.37 MW。该小时按采用的固定区段预案，本站转出87.57 MW、承接0.00 MW，转接后净负荷为47.77 MW。其中与翟山变之间的主要通道承担15.92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两方案本站储能额定功率相差6.00 MW，差额与所列主变组合及年度固定转接任务共同形成局部供电安排。</w:t>
      </w:r>
    </w:p>
    <w:p>
      <w:pPr>
        <w:pStyle w:val="7"/>
        <w:keepNext/>
        <w:numPr>
          <w:numId w:val="0"/>
        </w:numPr>
        <w:spacing w:line="360" w:lineRule="exact" w:before="160" w:after="120"/>
        <w:ind w:firstLine="0"/>
      </w:pPr>
      <w:bookmarkStart w:id="255" w:name="吴庄变规划分析"/>
      <w:r>
        <w:rPr>
          <w:rFonts w:ascii="Times New Roman" w:hAnsi="Times New Roman" w:eastAsia="方正仿宋_GBK"/>
          <w:b/>
          <w:sz w:val="24"/>
        </w:rPr>
        <w:t xml:space="preserve">吴庄变规划分析</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MVA。弹性方案2030年63.00 MVA更换为80.00 MVA。储能按本地支撑需求分批增加，新增额定功率为2034年0.90 MW、2035年2.70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2025年最大正向、反向净负荷分别为103.02 MW、0.00 MW，2035年分别为150.01 MW、0.00 MW。2035年刚性方案主变容量160.00 MVA、储能额定功率0.00 MW，弹性方案分别为160.00 MVA和3.60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表5-53 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136.78</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MW。储能正向有效支撑功率为0.98 MW、反向有效吸收功率为3.60 MW。全年本站故障工况中最小余量为0.00 MW。该小时按采用的固定区段预案，本站转出73.03 MW、承接0.00 MW，转接后净负荷为76.98 MW。其中与古彭变之间的主要通道承担13.82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两方案本站储能额定功率相差3.60 MW，差额与所列主变组合及年度固定转接任务共同形成局部供电安排。</w:t>
      </w:r>
    </w:p>
    <w:p>
      <w:pPr>
        <w:pStyle w:val="7"/>
        <w:keepNext/>
        <w:numPr>
          <w:numId w:val="0"/>
        </w:numPr>
        <w:spacing w:line="360" w:lineRule="exact" w:before="160" w:after="120"/>
        <w:ind w:firstLine="0"/>
      </w:pPr>
      <w:bookmarkStart w:id="256" w:name="西郊变规划分析"/>
      <w:r>
        <w:rPr>
          <w:rFonts w:ascii="Times New Roman" w:hAnsi="Times New Roman" w:eastAsia="方正仿宋_GBK"/>
          <w:b/>
          <w:sz w:val="24"/>
        </w:rPr>
        <w:t xml:space="preserve">西郊变规划分析</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MVA。弹性方案2023年63.00 MVA更换为80.00 MVA；2027年63.00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2025年最大正向、反向净负荷分别为128.27 MW、0.00 MW，2035年分别为186.78 MW、0.00 MW。2035年刚性方案主变容量160.00 MVA、储能额定功率0.00 MW，弹性方案分别为160.00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表5-54 西郊变代表年度配置与正向峰值正常转接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151.53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151.01</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2035年最大单台主变N-1后，弹性方案剩余主变容量为80.00 MVA，按0.95功率因数折算为76.00 MW。储能正向有效支撑功率为0.00 MW、反向有效吸收功率为0.00 MW。全年本站故障工况中最小余量为0.49 MW。该小时按采用的固定区段预案，本站转出111.27 MW、承接0.00 MW，转接后净负荷为75.51 MW。其中与古彭变之间的主要通道承担13.91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7" w:name="祥和变规划分析"/>
      <w:r>
        <w:rPr>
          <w:rFonts w:ascii="Times New Roman" w:hAnsi="Times New Roman" w:eastAsia="方正仿宋_GBK"/>
          <w:b/>
          <w:sz w:val="24"/>
        </w:rPr>
        <w:t xml:space="preserve">祥和变规划分析</w:t>
      </w:r>
      <w:bookmarkEnd w:id="257"/>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2025年最大正向、反向净负荷分别为19.37 MW、0.00 MW，2035年分别为28.21 MW、0.00 MW。2035年刚性方案主变容量100.00 MVA、储能额定功率0.00 MW，弹性方案分别为100.00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表5-55 祥和变代表年度配置与正向峰值正常转接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MW。全年本站故障工况中最小余量为1.10 MW。该小时按采用的固定区段预案，本站转出3.76 MW、承接21.98 MW，转接后净负荷为46.40 MW。其中与西郊变之间的主要通道承担3.97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8" w:name="响山变规划分析"/>
      <w:r>
        <w:rPr>
          <w:rFonts w:ascii="Times New Roman" w:hAnsi="Times New Roman" w:eastAsia="方正仿宋_GBK"/>
          <w:b/>
          <w:sz w:val="24"/>
        </w:rPr>
        <w:t xml:space="preserve">响山变规划分析</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2025年最大正向、反向净负荷分别为53.11 MW、0.00 MW，2035年分别为77.34 MW、0.00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表5-56 响山变代表年度配置与正向峰值正常转接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MW。全年本站故障工况中最小余量为0.32 MW。该小时按采用的固定区段预案，本站转出39.66 MW、承接0.00 MW，转接后净负荷为37.68 MW。其中与奎山变之间的主要通道承担15.86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59" w:name="玉潭变规划分析"/>
      <w:r>
        <w:rPr>
          <w:rFonts w:ascii="Times New Roman" w:hAnsi="Times New Roman" w:eastAsia="方正仿宋_GBK"/>
          <w:b/>
          <w:sz w:val="24"/>
        </w:rPr>
        <w:t xml:space="preserve">玉潭变规划分析</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该站2021年主变组合为50.00+80.00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2025年最大正向、反向净负荷分别为45.03 MW、0.00 MW，2035年分别为65.56 MW、0.00 MW。2035年刚性方案主变容量130.00 MVA、储能额定功率0.00 MW，弹性方案分别为130.00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表5-57 玉潭变代表年度配置与正向峰值正常转接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69.54</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2035年最大单台主变N-1后，弹性方案剩余主变容量为50.00 MVA，按0.95功率因数折算为47.50 MW。储能正向有效支撑功率为0.00 MW、反向有效吸收功率为0.00 MW。全年本站故障工况中最小余量为1.80 MW。该小时按采用的固定区段预案，本站转出23.84 MW、承接3.97 MW，转接后净负荷为45.70 MW。其中与刘湾变之间的主要通道承担13.91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60" w:name="茱萸变规划分析"/>
      <w:r>
        <w:rPr>
          <w:rFonts w:ascii="Times New Roman" w:hAnsi="Times New Roman" w:eastAsia="方正仿宋_GBK"/>
          <w:b/>
          <w:sz w:val="24"/>
        </w:rPr>
        <w:t xml:space="preserve">茱萸变规划分析</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MVA。弹性方案2022—2035年保留初始主变组合。本站弹性方案各年未新增储能。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2025年最大正向、反向净负荷分别为16.47 MW、5.61 MW，2035年分别为23.98 MW、18.55 MW。2035年刚性方案主变容量90.00 MVA、储能额定功率0.00 MW，弹性方案分别为90.00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表5-58 茱萸变代表年度配置与正向峰值正常转接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16.75</w:t>
            </w:r>
          </w:p>
        </w:tc>
      </w:tr>
    </w:tbl>
    <w:p>
      <w:pPr>
        <w:pStyle w:val="2"/>
        <w:widowControl/>
        <w:spacing w:line="348" w:lineRule="exact" w:before="0" w:after="0"/>
        <w:ind w:firstLine="480"/>
        <w:jc w:val="both"/>
      </w:pPr>
      <w:r>
        <w:rPr>
          <w:rFonts w:ascii="Times New Roman" w:hAnsi="Times New Roman" w:eastAsia="方正仿宋_GBK"/>
          <w:b w:val="0"/>
          <w:sz w:val="24"/>
        </w:rPr>
        <w:t xml:space="preserve">2035年最大单台主变N-1后，弹性方案剩余主变容量为40.00 MVA，按0.95功率因数折算为38.00 MW。储能正向有效支撑功率为0.00 MW、反向有效吸收功率为0.00 MW。全年本站故障工况中最小余量为22.02 MW。该小时按采用的固定区段预案，本站转出7.99 MW、承接0.00 MW，转接后净负荷为15.98 MW。其中与大庙变之间的主要通道承担7.99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2"/>
        <w:widowControl/>
        <w:spacing w:line="348" w:lineRule="exact" w:before="0" w:after="0"/>
        <w:ind w:firstLine="480"/>
        <w:jc w:val="both"/>
      </w:pPr>
      <w:r>
        <w:rPr>
          <w:rFonts w:ascii="Times New Roman" w:hAnsi="Times New Roman" w:eastAsia="方正仿宋_GBK"/>
          <w:b w:val="0"/>
          <w:sz w:val="24"/>
        </w:rPr>
        <w:t xml:space="preserve">市区各站补强分散在不同年度。部分站通过更换主变承担本地增长，部分站新增第三台提高故障后剩余容量，其余站结合既有及新增联络承担邻站支援。2035年两类方案的剩余能力与配储规模分别列示，具体建设时点和任务由逐站表及原始采用预案回代分析。</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261"/>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图5-9 市区逐站初始与2035年方案的N-1剩余主变能力</w:t>
      </w:r>
    </w:p>
    <w:p>
      <w:pPr>
        <w:pStyle w:val="5"/>
        <w:keepNext/>
        <w:numPr>
          <w:numId w:val="0"/>
        </w:numPr>
        <w:spacing w:line="390" w:lineRule="exact" w:before="160" w:after="120"/>
        <w:ind w:firstLine="0"/>
      </w:pPr>
      <w:bookmarkStart w:id="262" w:name="年度设备配置与站间差异"/>
      <w:r>
        <w:rPr>
          <w:rFonts w:ascii="Times New Roman" w:hAnsi="Times New Roman" w:eastAsia="方正仿宋_GBK"/>
          <w:b/>
          <w:sz w:val="26"/>
        </w:rPr>
        <w:t xml:space="preserve">5.4.7 年度设备配置与站间差异</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2035年站级展示范围内主变台数与配储站数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48.60</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表中两台、三台主变站数按2035年实际采用组合统计。相同台数的站点仍可能采用不同额定容量，故障后剩余能力还需结合最大单台容量判断。配储站数与储能规模分别反映补充支撑的空间范围和总量。</w:t>
      </w:r>
    </w:p>
    <w:p>
      <w:pPr>
        <w:pStyle w:val="2"/>
        <w:widowControl/>
        <w:spacing w:line="348" w:lineRule="exact" w:before="0" w:after="0"/>
        <w:ind w:firstLine="480"/>
        <w:jc w:val="both"/>
      </w:pPr>
      <w:r>
        <w:rPr>
          <w:rFonts w:ascii="Times New Roman" w:hAnsi="Times New Roman" w:eastAsia="方正仿宋_GBK"/>
          <w:b w:val="0"/>
          <w:sz w:val="24"/>
        </w:rPr>
        <w:t xml:space="preserve">同一容载比可以由不同站内设备结构形成，因此区域推荐区间需与主变台数、规格及站间任务对应。逐站比较需求和建设选择后，再归纳区域指标，才能说明新增容量用于哪些站点，以及费用变化来自哪些措施。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5"/>
        <w:keepNext/>
        <w:numPr>
          <w:numId w:val="0"/>
        </w:numPr>
        <w:spacing w:line="390" w:lineRule="exact" w:before="160" w:after="120"/>
        <w:ind w:firstLine="0"/>
      </w:pPr>
      <w:bookmarkStart w:id="263" w:name="保留2021实际容量的方案对照"/>
      <w:r>
        <w:rPr>
          <w:rFonts w:ascii="Times New Roman" w:hAnsi="Times New Roman" w:eastAsia="方正仿宋_GBK"/>
          <w:b/>
          <w:sz w:val="26"/>
        </w:rPr>
        <w:t xml:space="preserve">5.4.8 保留2021实际容量的方案对照</w:t>
      </w:r>
      <w:bookmarkEnd w:id="263"/>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两地区均保留2021年实际主变容量作为刚性、弹性的共同起点。以下汇总2021、2025、2030、2035年，完整逐年配置见第5.4.1、5.4.2节。基期新增措施均为零，2022年起各年工程继承上年在役设备。</w:t>
      </w:r>
    </w:p>
    <w:p>
      <w:pPr>
        <w:pStyle w:val="2"/>
        <w:keepNext/>
        <w:spacing w:line="280" w:lineRule="exact" w:before="120" w:after="80"/>
        <w:ind w:firstLine="0"/>
        <w:jc w:val="center"/>
      </w:pPr>
      <w:commentRangeStart w:id="9"/>
      <w:r>
        <w:rPr>
          <w:rFonts w:ascii="Times New Roman" w:hAnsi="Times New Roman" w:eastAsia="宋体"/>
          <w:b w:val="0"/>
          <w:sz w:val="21"/>
        </w:rPr>
        <w:t xml:space="preserve">表5-60 保留2021实际容量的代表年度汇总</w:t>
      </w:r>
      <w:commentRangeEnd w:id="9"/>
      <w:r>
        <w:commentReference w:id="9"/>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年末储能/MWh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累计新联络/条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2678.00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568.25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545.67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3587.00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w:t>
            </w:r>
          </w:p>
        </w:tc>
      </w:tr>
    </w:tbl>
    <w:p>
      <w:pPr>
        <w:pStyle w:val="2"/>
        <w:widowControl/>
        <w:spacing w:line="348" w:lineRule="exact" w:before="0" w:after="0"/>
        <w:ind w:firstLine="480"/>
        <w:jc w:val="both"/>
      </w:pPr>
      <w:r>
        <w:rPr>
          <w:rFonts w:ascii="Times New Roman" w:hAnsi="Times New Roman" w:eastAsia="方正仿宋_GBK"/>
          <w:b w:val="0"/>
          <w:sz w:val="24"/>
        </w:rPr>
        <w:t xml:space="preserve">未来输入来自区域负荷与光伏预测。2030年市区、邳州区域总负荷预测分别为3440.00 MW、1906.00 MW，相对2025年2850.00 MW、1556.00 MW的比例用于缩放同范围规划峰值，得到1845.31 MW、1171.59 MW。2035年区域预测分别为4150.00 MW、2293.00 MW，对应规划峰值2226.18 MW、1409.47 MW。上述为区域预测，站点空间分配沿用基准模板。</w:t>
      </w:r>
    </w:p>
    <w:p>
      <w:pPr>
        <w:pStyle w:val="2"/>
        <w:widowControl/>
        <w:spacing w:line="348" w:lineRule="exact" w:before="0" w:after="0"/>
        <w:ind w:firstLine="480"/>
        <w:jc w:val="both"/>
      </w:pPr>
      <w:r>
        <w:rPr>
          <w:rFonts w:ascii="Times New Roman" w:hAnsi="Times New Roman" w:eastAsia="方正仿宋_GBK"/>
          <w:b w:val="0"/>
          <w:sz w:val="24"/>
        </w:rPr>
        <w:t xml:space="preserve">光伏预测资料中全市2025、2030、2035年装机数值分别为709、1107、1840，原截图未标单位，本研究仅使用其相对2025年的增长倍数1.56和2.60。以第三章2025年地区装机为参照，市区2030、2035年情景规模分别为766.91 MW、1274.71 MW，邳州分别为2435.15 MW、4047.58 MW。两地区采用同一全市发展比例，作为光伏增长情景。</w:t>
      </w:r>
    </w:p>
    <w:p>
      <w:pPr>
        <w:pStyle w:val="2"/>
        <w:keepNext/>
        <w:spacing w:line="280" w:lineRule="exact" w:before="120" w:after="80"/>
        <w:ind w:firstLine="0"/>
        <w:jc w:val="center"/>
      </w:pPr>
      <w:r>
        <w:rPr>
          <w:rFonts w:ascii="Times New Roman" w:hAnsi="Times New Roman" w:eastAsia="宋体"/>
          <w:b w:val="0"/>
          <w:sz w:val="21"/>
        </w:rPr>
        <w:t xml:space="preserve">表5-61 保留2021实际容量的方案费用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58369.68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57521.36</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39636.85</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37586.50</w:t>
            </w:r>
          </w:p>
        </w:tc>
      </w:tr>
    </w:tbl>
    <w:p>
      <w:pPr>
        <w:pStyle w:val="2"/>
        <w:widowControl/>
        <w:spacing w:line="348" w:lineRule="exact" w:before="0" w:after="0"/>
        <w:ind w:firstLine="480"/>
        <w:jc w:val="both"/>
      </w:pPr>
      <w:r>
        <w:rPr>
          <w:rFonts w:ascii="Times New Roman" w:hAnsi="Times New Roman" w:eastAsia="方正仿宋_GBK"/>
          <w:b w:val="0"/>
          <w:sz w:val="24"/>
        </w:rPr>
        <w:t xml:space="preserve">两方案在各年采用相同源荷和容载比下限，差异来自新增容量控制和工程选择。市区2022年两方案新增费用均为零，其后逐年新增工程；邳州2021年事故支撑缺口在基线检验中单列，2022年起通过主变、储能及通道补强。2022—2035年累计费用由每年实际投运批次形成。</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389120"/>
            <wp:effectExtent b="0" l="0" r="0" t="0"/>
            <wp:docPr descr="" title="" id="1" name="Picture"/>
            <a:graphic>
              <a:graphicData uri="http://schemas.openxmlformats.org/drawingml/2006/picture">
                <pic:pic>
                  <pic:nvPicPr>
                    <pic:cNvPr descr="研究报告/02图表/当前版/initial_capacity_cost_comparison.png" id="0" name="Picture"/>
                    <pic:cNvPicPr>
                      <a:picLocks noChangeArrowheads="1" noChangeAspect="1"/>
                    </pic:cNvPicPr>
                  </pic:nvPicPr>
                  <pic:blipFill>
                    <a:blip r:embed="rId264"/>
                    <a:stretch>
                      <a:fillRect/>
                    </a:stretch>
                  </pic:blipFill>
                  <pic:spPr bwMode="auto">
                    <a:xfrm>
                      <a:off x="0" y="0"/>
                      <a:ext cx="5120640" cy="43891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图5-10 2021实际容量起点下两地区方案累计新增费用</w:t>
      </w:r>
    </w:p>
    <w:p>
      <w:pPr>
        <w:pStyle w:val="4"/>
        <w:keepNext/>
        <w:numPr>
          <w:numId w:val="0"/>
        </w:numPr>
        <w:spacing w:line="480" w:lineRule="exact" w:before="160" w:after="120"/>
        <w:ind w:firstLine="0"/>
      </w:pPr>
      <w:bookmarkStart w:id="2033" w:name="h1033"/>
      <w:bookmarkStart w:id="265" w:name="措施作用与工程衔接"/>
      <w:r>
        <w:rPr>
          <w:rFonts w:ascii="Times New Roman" w:hAnsi="Times New Roman" w:eastAsia="方正仿宋_GBK"/>
          <w:b/>
          <w:sz w:val="32"/>
        </w:rPr>
        <w:t xml:space="preserve">5.5 措施作用与工程衔接</w:t>
      </w:r>
      <w:bookmarkEnd w:id="265"/>
      <w:bookmarkEnd w:id="2033"/>
    </w:p>
    <w:p>
      <w:pPr>
        <w:pStyle w:val="5"/>
        <w:keepNext/>
        <w:numPr>
          <w:numId w:val="0"/>
        </w:numPr>
        <w:spacing w:line="390" w:lineRule="exact" w:before="160" w:after="120"/>
        <w:ind w:firstLine="0"/>
      </w:pPr>
      <w:bookmarkStart w:id="266" w:name="逐年负荷转接与站间任务"/>
      <w:r>
        <w:rPr>
          <w:rFonts w:ascii="Times New Roman" w:hAnsi="Times New Roman" w:eastAsia="方正仿宋_GBK"/>
          <w:b/>
          <w:sz w:val="26"/>
        </w:rPr>
        <w:t xml:space="preserve">5.5.1 逐年负荷转接与站间任务</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新增线路按建设数量计投资，可转能力受线路及两端设备限制，实际转接功率则由具体运行工况确定，因此三者需分别统计。以下按区域正向峰值与最低净负荷两种正常工况列示网络利用情况。</w:t>
      </w:r>
    </w:p>
    <w:p>
      <w:pPr>
        <w:pStyle w:val="2"/>
        <w:keepNext/>
        <w:spacing w:line="280" w:lineRule="exact" w:before="120" w:after="80"/>
        <w:ind w:firstLine="0"/>
        <w:jc w:val="center"/>
      </w:pPr>
      <w:r>
        <w:rPr>
          <w:rFonts w:ascii="Times New Roman" w:hAnsi="Times New Roman" w:eastAsia="宋体"/>
          <w:b w:val="0"/>
          <w:sz w:val="21"/>
        </w:rPr>
        <w:t xml:space="preserve">表5-62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16.61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注：列示代表年度，转接合计为沿已采用区段预案转接的净功率幅值之和。</w:t>
      </w:r>
    </w:p>
    <w:p>
      <w:pPr>
        <w:pStyle w:val="2"/>
        <w:keepNext/>
        <w:spacing w:line="280" w:lineRule="exact" w:before="120" w:after="80"/>
        <w:ind w:firstLine="0"/>
        <w:jc w:val="center"/>
      </w:pPr>
      <w:r>
        <w:rPr>
          <w:rFonts w:ascii="Times New Roman" w:hAnsi="Times New Roman" w:eastAsia="宋体"/>
          <w:b w:val="0"/>
          <w:sz w:val="21"/>
        </w:rPr>
        <w:t xml:space="preserve">表5-63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136.63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98.98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91.09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9.12</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注：列示代表年度，转接合计为沿已采用区段预案转接的净功率幅值之和。</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67" w:name="主变储能与联络的共同作用"/>
      <w:r>
        <w:rPr>
          <w:rFonts w:ascii="Times New Roman" w:hAnsi="Times New Roman" w:eastAsia="方正仿宋_GBK"/>
          <w:b/>
          <w:sz w:val="26"/>
        </w:rPr>
        <w:t xml:space="preserve">5.5.2 主变、储能与联络的共同作用</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主变规格、台数与站间任务相互衔接。同一站的容量补强既可能用于承担本地正反向需求，也可能提高邻站故障时的接收能力。既有转供MW上限、区段切换数量和受端余量共同限制其作用，新增联络与配储规模由对应局部缺口确定。</w:t>
      </w:r>
    </w:p>
    <w:p>
      <w:pPr>
        <w:pStyle w:val="2"/>
        <w:widowControl/>
        <w:spacing w:line="348" w:lineRule="exact" w:before="0" w:after="0"/>
        <w:ind w:firstLine="480"/>
        <w:jc w:val="both"/>
      </w:pPr>
      <w:r>
        <w:rPr>
          <w:rFonts w:ascii="Times New Roman" w:hAnsi="Times New Roman" w:eastAsia="方正仿宋_GBK"/>
          <w:b w:val="0"/>
          <w:sz w:val="24"/>
        </w:rPr>
        <w:t xml:space="preserve">兴塘变2035年刚性方案主变组合为31.50+40.00+50.00 MVA，弹性为31.50+50.00+50.00 MVA。最大单台停运后分别剩余71.50 MVA和81.50 MVA，按0.95功率因数折算为67.93 MW和77.43 MW，均未新增储能。该站两类方案的差异表现为故障后剩余主变能力，具体正反向转接任务由年度区段预案确定。</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633472"/>
            <wp:effectExtent b="0" l="0" r="0" t="0"/>
            <wp:docPr descr="" title="" id="1"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268"/>
                    <a:stretch>
                      <a:fillRect/>
                    </a:stretch>
                  </pic:blipFill>
                  <pic:spPr bwMode="auto">
                    <a:xfrm>
                      <a:off x="0" y="0"/>
                      <a:ext cx="5120640" cy="263347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图5-11 兴塘变2035年两方案的N-1剩余主变能力</w:t>
      </w:r>
    </w:p>
    <w:p>
      <w:pPr>
        <w:pStyle w:val="5"/>
        <w:keepNext/>
        <w:numPr>
          <w:numId w:val="0"/>
        </w:numPr>
        <w:spacing w:line="390" w:lineRule="exact" w:before="160" w:after="120"/>
        <w:ind w:firstLine="0"/>
      </w:pPr>
      <w:bookmarkStart w:id="269" w:name="储能支撑与必要转供量"/>
      <w:r>
        <w:rPr>
          <w:rFonts w:ascii="Times New Roman" w:hAnsi="Times New Roman" w:eastAsia="方正仿宋_GBK"/>
          <w:b/>
          <w:sz w:val="26"/>
        </w:rPr>
        <w:t xml:space="preserve">5.5.3 储能支撑与必要转供量</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邳州和市区的正向储能支撑持续时间分别为2.00 h和6.00 h。额定功率1.00 MW、额定能量2.15 MWh的同一配置，有效支撑功率分别为0.82 MW和0.27 MW。2035年邳州弹性储能额定功率253.80 MW、额定能量545.67 MWh，刚性分别为264.30 MW和568.25 MWh；市区弹性分别为51.00 MW和109.65 MWh，刚性为43.20 MW和92.88 MWh。储能规模与本地剩余主变、联络路径及方向持续时间共同对应。</w:t>
      </w:r>
    </w:p>
    <w:p>
      <w:pPr>
        <w:pStyle w:val="2"/>
        <w:keepNext/>
        <w:spacing w:line="280" w:lineRule="exact" w:before="120" w:after="80"/>
        <w:ind w:firstLine="0"/>
        <w:jc w:val="center"/>
      </w:pPr>
      <w:r>
        <w:rPr>
          <w:rFonts w:ascii="Times New Roman" w:hAnsi="Times New Roman" w:eastAsia="宋体"/>
          <w:b w:val="0"/>
          <w:sz w:val="21"/>
        </w:rPr>
        <w:t xml:space="preserve">表5-64 代表年度固定区段预案的最大转接功率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正常既有边/MW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N-1既有边/MW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49.88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51.87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224.01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87.37</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174.49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81.41</w:t>
            </w:r>
          </w:p>
        </w:tc>
      </w:tr>
    </w:tbl>
    <w:p>
      <w:pPr>
        <w:pStyle w:val="2"/>
        <w:widowControl/>
        <w:spacing w:line="348" w:lineRule="exact" w:before="0" w:after="0"/>
        <w:ind w:firstLine="480"/>
        <w:jc w:val="both"/>
      </w:pPr>
      <w:r>
        <w:rPr>
          <w:rFonts w:ascii="Times New Roman" w:hAnsi="Times New Roman" w:eastAsia="方正仿宋_GBK"/>
          <w:b w:val="0"/>
          <w:sz w:val="24"/>
        </w:rPr>
        <w:t xml:space="preserve">注：沿采用的正常固定及事故追加预案回代8760小时，分别列出各列最大值。</w:t>
      </w:r>
    </w:p>
    <w:p>
      <w:pPr>
        <w:pStyle w:val="2"/>
        <w:widowControl/>
        <w:spacing w:line="348" w:lineRule="exact" w:before="0" w:after="0"/>
        <w:ind w:firstLine="480"/>
        <w:jc w:val="both"/>
      </w:pPr>
      <w:r>
        <w:rPr>
          <w:rFonts w:ascii="Times New Roman" w:hAnsi="Times New Roman" w:eastAsia="方正仿宋_GBK"/>
          <w:b w:val="0"/>
          <w:sz w:val="24"/>
        </w:rPr>
        <w:t xml:space="preserve">表中沿已采用的年度正常及事故追加区段预案，回代各年8760小时源荷，分别汇总正常和N-1工况中的转接峰值。总量与既有边两列分别取对应工况最大值，既有网络参与支援，新增联络按实际建设项目计费。</w:t>
      </w:r>
    </w:p>
    <w:p>
      <w:pPr>
        <w:pStyle w:val="2"/>
        <w:widowControl/>
        <w:spacing w:line="348" w:lineRule="exact" w:before="0" w:after="0"/>
        <w:ind w:firstLine="480"/>
        <w:jc w:val="both"/>
      </w:pPr>
      <w:r>
        <w:rPr>
          <w:rFonts w:ascii="Times New Roman" w:hAnsi="Times New Roman" w:eastAsia="方正仿宋_GBK"/>
          <w:b w:val="0"/>
          <w:sz w:val="24"/>
        </w:rPr>
        <w:t xml:space="preserve">固定预案的转接峰值说明已采用网络的实际任务。市区弹性方案2030年尚未新建联络，仍需在既有逐站额度与路径内安排供区；后期新增通道与储能逐步增加。邳州两方案均分年建设联络，站内主变及储能配置不同，各年转接任务随源荷及投运状态变化。</w:t>
      </w:r>
    </w:p>
    <w:p>
      <w:pPr>
        <w:pStyle w:val="4"/>
        <w:keepNext/>
        <w:numPr>
          <w:numId w:val="0"/>
        </w:numPr>
        <w:spacing w:line="480" w:lineRule="exact" w:before="160" w:after="120"/>
        <w:ind w:firstLine="0"/>
      </w:pPr>
      <w:bookmarkStart w:id="2055" w:name="h1055"/>
      <w:bookmarkStart w:id="270" w:name="五参数推广矩阵"/>
      <w:r>
        <w:rPr>
          <w:rFonts w:ascii="Times New Roman" w:hAnsi="Times New Roman" w:eastAsia="方正仿宋_GBK"/>
          <w:b/>
          <w:sz w:val="32"/>
        </w:rPr>
        <w:t xml:space="preserve">5.6 五参数推广矩阵</w:t>
      </w:r>
      <w:bookmarkEnd w:id="270"/>
      <w:bookmarkEnd w:id="2055"/>
    </w:p>
    <w:p>
      <w:pPr>
        <w:pStyle w:val="5"/>
        <w:keepNext/>
        <w:numPr>
          <w:numId w:val="0"/>
        </w:numPr>
        <w:spacing w:line="390" w:lineRule="exact" w:before="160" w:after="120"/>
        <w:ind w:firstLine="0"/>
      </w:pPr>
      <w:bookmarkStart w:id="271" w:name="参数组织与推广模型"/>
      <w:r>
        <w:rPr>
          <w:rFonts w:ascii="Times New Roman" w:hAnsi="Times New Roman" w:eastAsia="方正仿宋_GBK"/>
          <w:b/>
          <w:sz w:val="26"/>
        </w:rPr>
        <w:t xml:space="preserve">5.6.1 参数组织与推广模型</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pPr>
        <w:pStyle w:val="2"/>
        <w:widowControl/>
        <w:spacing w:line="348" w:lineRule="exact" w:before="0" w:after="0"/>
        <w:ind w:firstLine="480"/>
        <w:jc w:val="both"/>
      </w:pPr>
      <w:r>
        <w:rPr>
          <w:rFonts w:ascii="Times New Roman" w:hAnsi="Times New Roman" w:eastAsia="方正仿宋_GBK"/>
          <w:b w:val="0"/>
          <w:sz w:val="24"/>
        </w:rPr>
        <w:t xml:space="preserve">区间矩阵采用五站存量设备模板，每站初始为两台50 MVA主变，总容量500.00 MVA。既有主变可保留或更换为63、80 MVA，各站允许扩建一台50 MVA主变。基期网供峰值250 MW，比选时点为基期后第4年。主变允许规格、扩建位置、馈线和间隔条件进入承载约束，主变、储能和新增联络按共同评价期费用比选。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表5-65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区间矩阵设备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5站，每站保留2×50 MVA，允许更换63、80 MVA，并可扩建第三台50 MVA主变，初始总容量500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典型转供对照设备</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5站，每站两台在31.50、50、63、80 MVA中重新选配，基础最小总容量315 MVA</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72" w:name="矩阵结果与查表方法"/>
      <w:r>
        <w:rPr>
          <w:rFonts w:ascii="Times New Roman" w:hAnsi="Times New Roman" w:eastAsia="方正仿宋_GBK"/>
          <w:b/>
          <w:sz w:val="26"/>
        </w:rPr>
        <w:t xml:space="preserve">5.6.2 矩阵结果与查表方法</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矩阵按电缆长度占比≤10%、(10%,30%]、&gt;30%划分三档，每档分别列示负荷分散系数1.00、1.10、1.15的结果，共九张表。每张表以年最大净负荷平均增长率四档和装机渗透率三档选行，以初始转供率四档选列，形成48个区间单元，合计432个单元。</w:t>
      </w:r>
    </w:p>
    <w:p>
      <w:pPr>
        <w:pStyle w:val="2"/>
        <w:widowControl/>
        <w:spacing w:line="348" w:lineRule="exact" w:before="0" w:after="0"/>
        <w:ind w:firstLine="480"/>
        <w:jc w:val="both"/>
      </w:pPr>
      <w:r>
        <w:rPr>
          <w:rFonts w:ascii="Times New Roman" w:hAnsi="Times New Roman" w:eastAsia="方正仿宋_GBK"/>
          <w:b w:val="0"/>
          <w:sz w:val="24"/>
        </w:rPr>
        <w:t xml:space="preserve">矩阵采用统一工程价格、日间负荷系数0.30和光伏出力系数0.75。查表先按电缆长度占比确定分区，再确定负荷分散系数，以年最大净负荷平均增长率和装机渗透率定位行，以初始转供率定位列。同一行以各转供档可行配置的容载比下界作为分档界值，首档上界取该档最大值，后续各档上界与前一档下界相接，形成连续的规划推荐带；下界相同的档位保留相同定值。推荐带用于初步容量比选，具体设备仍需按源荷与网络条件校核。电缆长度占比节点为10%、30%、50%、80%、90%，分别归入≤10%、(10%,30%]、&gt;30%三档。电缆造价变化对应的设备替代在第5.6.7节结合完整节点分析。</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pPr>
        <w:pStyle w:val="2"/>
        <w:keepNext/>
        <w:spacing w:line="280" w:lineRule="exact" w:before="120" w:after="80"/>
        <w:ind w:firstLine="0"/>
        <w:jc w:val="center"/>
      </w:pPr>
      <w:commentRangeStart w:id="10"/>
      <w:r>
        <w:rPr>
          <w:rFonts w:ascii="Times New Roman" w:hAnsi="Times New Roman" w:eastAsia="宋体"/>
          <w:b w:val="0"/>
          <w:sz w:val="21"/>
        </w:rPr>
        <w:t xml:space="preserve">表5-66 电缆长度占比≤10%、负荷分散系数1.00的容载比分档建议矩阵</w:t>
      </w:r>
      <w:commentRangeEnd w:id="10"/>
      <w:r>
        <w:commentReference w:id="10"/>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1.36～1.36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电缆长度占比≤10%、负荷分散系数1.10的容载比分档建议矩阵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电缆长度占比≤10%、负荷分散系数1.15的容载比分档建议矩阵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表5-69 电缆长度占比(10%,30%]、负荷分散系数1.00的容载比分档建议矩阵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2.13～2.16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表5-70 电缆长度占比(10%,30%]、负荷分散系数1.10的容载比分档建议矩阵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表5-71 电缆长度占比(10%,30%]、负荷分散系数1.15的容载比分档建议矩阵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表5-72 电缆长度占比&gt;30%、负荷分散系数1.00的容载比分档建议矩阵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1.52～1.52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1.61～1.61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2.13～2.16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表5-73 电缆长度占比&gt;30%、负荷分散系数1.10的容载比分档建议矩阵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keepNext/>
        <w:spacing w:line="280" w:lineRule="exact" w:before="120" w:after="80"/>
        <w:ind w:firstLine="0"/>
        <w:jc w:val="center"/>
      </w:pPr>
      <w:r>
        <w:rPr>
          <w:rFonts w:ascii="Times New Roman" w:hAnsi="Times New Roman" w:eastAsia="宋体"/>
          <w:b w:val="0"/>
          <w:sz w:val="21"/>
        </w:rPr>
        <w:t xml:space="preserve">表5-74 电缆长度占比&gt;30%、负荷分散系数1.15的容载比分档建议矩阵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1.84～1.84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2.25～2.42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2.25～2.25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1.67～1.77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2.01～2.16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1.94～2.06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1.80～1.93</w:t>
            </w:r>
          </w:p>
        </w:tc>
      </w:tr>
    </w:tbl>
    <w:p>
      <w:pPr>
        <w:pStyle w:val="2"/>
        <w:widowControl/>
        <w:spacing w:line="348" w:lineRule="exact" w:before="0" w:after="0"/>
        <w:ind w:firstLine="480"/>
        <w:jc w:val="both"/>
      </w:pPr>
      <w:r>
        <w:rPr>
          <w:rFonts w:ascii="Times New Roman" w:hAnsi="Times New Roman" w:eastAsia="方正仿宋_GBK"/>
          <w:b w:val="0"/>
          <w:sz w:val="24"/>
        </w:rPr>
        <w:t xml:space="preserve">以电缆长度占比≤10%、负荷分散系数1.10、年最大净负荷平均增长率&gt;7%、装机渗透率(1,2]这一行为例，初始转供率四档的推荐带依次为1.91～2.09、1.76～1.91、1.50～1.76、1.36～1.50，相邻档共用1.91、1.76、1.50三个分界值。较强转供条件对应较低的本地容量推荐范围。第5.6.4节固定其余条件，以完整节点说明具体主变组合及费用。</w:t>
      </w:r>
    </w:p>
    <w:p>
      <w:pPr>
        <w:pStyle w:val="2"/>
        <w:widowControl/>
        <w:spacing w:line="348" w:lineRule="exact" w:before="0" w:after="0"/>
        <w:ind w:firstLine="480"/>
        <w:jc w:val="both"/>
      </w:pPr>
      <w:r>
        <w:rPr>
          <w:rFonts w:ascii="Times New Roman" w:hAnsi="Times New Roman" w:eastAsia="方正仿宋_GBK"/>
          <w:b w:val="0"/>
          <w:sz w:val="24"/>
        </w:rPr>
        <w:t xml:space="preserve">推荐带端点图以电缆长度占比&gt;30%、负荷分散系数1.10为例，按与矩阵相同的行列次序展示下界和上界，两图采用相同色阶。装机渗透率较高的行具有较大的反向容量任务，年最大净负荷平均增长率改变负荷规模及既有容量储备，转供条件则影响局部支援。图中端点采用上述分档界值，读取推荐带后，按实际参数和设备条件确定对应方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271247"/>
            <wp:effectExtent b="0" l="0" r="0" t="0"/>
            <wp:docPr descr="" title="" id="1" name="Picture"/>
            <a:graphic>
              <a:graphicData uri="http://schemas.openxmlformats.org/drawingml/2006/picture">
                <pic:pic>
                  <pic:nvPicPr>
                    <pic:cNvPr descr="研究报告/02图表/当前版/lookup_matrix_bounds.png" id="0" name="Picture"/>
                    <pic:cNvPicPr>
                      <a:picLocks noChangeArrowheads="1" noChangeAspect="1"/>
                    </pic:cNvPicPr>
                  </pic:nvPicPr>
                  <pic:blipFill>
                    <a:blip r:embed="rId273"/>
                    <a:stretch>
                      <a:fillRect/>
                    </a:stretch>
                  </pic:blipFill>
                  <pic:spPr bwMode="auto">
                    <a:xfrm>
                      <a:off x="0" y="0"/>
                      <a:ext cx="5120640" cy="527124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图5-12 电缆长度占比&gt;30%、负荷分散系数1.10下的矩阵端点</w:t>
      </w:r>
    </w:p>
    <w:p>
      <w:pPr>
        <w:pStyle w:val="5"/>
        <w:keepNext/>
        <w:numPr>
          <w:numId w:val="0"/>
        </w:numPr>
        <w:spacing w:line="390" w:lineRule="exact" w:before="160" w:after="120"/>
        <w:ind w:firstLine="0"/>
      </w:pPr>
      <w:bookmarkStart w:id="274" w:name="参数关联对应的设备变化"/>
      <w:r>
        <w:rPr>
          <w:rFonts w:ascii="Times New Roman" w:hAnsi="Times New Roman" w:eastAsia="方正仿宋_GBK"/>
          <w:b/>
          <w:sz w:val="26"/>
        </w:rPr>
        <w:t xml:space="preserve">5.6.3 参数关联对应的设备变化</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75"/>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图5-13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图中固定电缆长度占比10%、初始转供率40%和负荷分散系数1.10，显示同一组背景下源荷条件的作用。</w:t>
      </w:r>
    </w:p>
    <w:p>
      <w:pPr>
        <w:pStyle w:val="5"/>
        <w:keepNext/>
        <w:numPr>
          <w:numId w:val="0"/>
        </w:numPr>
        <w:spacing w:line="390" w:lineRule="exact" w:before="160" w:after="120"/>
        <w:ind w:firstLine="0"/>
      </w:pPr>
      <w:bookmarkStart w:id="276" w:name="固定源荷条件下的转供序列"/>
      <w:r>
        <w:rPr>
          <w:rFonts w:ascii="Times New Roman" w:hAnsi="Times New Roman" w:eastAsia="方正仿宋_GBK"/>
          <w:b/>
          <w:sz w:val="26"/>
        </w:rPr>
        <w:t xml:space="preserve">5.6.4 固定源荷条件下的转供序列</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pPr>
        <w:pStyle w:val="2"/>
        <w:widowControl/>
        <w:spacing w:line="348" w:lineRule="exact" w:before="0" w:after="0"/>
        <w:ind w:firstLine="480"/>
        <w:jc w:val="both"/>
      </w:pPr>
      <w:r>
        <w:rPr>
          <w:rFonts w:ascii="Times New Roman" w:hAnsi="Times New Roman" w:eastAsia="方正仿宋_GBK"/>
          <w:b w:val="0"/>
          <w:sz w:val="24"/>
        </w:rPr>
        <w:t xml:space="preserve">在电缆长度占比50%的共同条件下，选取装机渗透率50%的两组典型源荷场景。每组包含10%～90%的九个初始转供率节点，按各档容量下界划定首尾相接的四档容载比推荐带，共形成8个区间单元。具体节点的设备配置与费用分别列示。</w:t>
      </w:r>
    </w:p>
    <w:p>
      <w:pPr>
        <w:pStyle w:val="2"/>
        <w:keepNext/>
        <w:spacing w:line="280" w:lineRule="exact" w:before="120" w:after="80"/>
        <w:ind w:firstLine="0"/>
        <w:jc w:val="center"/>
      </w:pPr>
      <w:r>
        <w:rPr>
          <w:rFonts w:ascii="Times New Roman" w:hAnsi="Times New Roman" w:eastAsia="宋体"/>
          <w:b w:val="0"/>
          <w:sz w:val="21"/>
        </w:rPr>
        <w:t xml:space="preserve">表5-75 典型源荷条件下随初始转供率变化的容载比推荐范围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1.86～1.96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1.43～1.86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1.26～1.31</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1.35～1.53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1.33～1.35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1.25～1.33</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注：两组均采用电缆长度占比50%和五站设备重新选配条件；按第5.6.2节的相邻档共用界值方法划定推荐带。</w:t>
      </w:r>
    </w:p>
    <w:p>
      <w:pPr>
        <w:pStyle w:val="2"/>
        <w:keepNext/>
        <w:spacing w:line="280" w:lineRule="exact" w:before="120" w:after="80"/>
        <w:ind w:firstLine="0"/>
        <w:jc w:val="center"/>
      </w:pPr>
      <w:r>
        <w:rPr>
          <w:rFonts w:ascii="Times New Roman" w:hAnsi="Times New Roman" w:eastAsia="宋体"/>
          <w:b w:val="0"/>
          <w:sz w:val="21"/>
        </w:rPr>
        <w:t xml:space="preserve">表5-76 场景1的完整转供率节点及设备方案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11675.95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11105.20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9559.88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9064.34</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8522.47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7414.40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6928.21</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pPr>
        <w:pStyle w:val="2"/>
        <w:keepNext/>
        <w:spacing w:line="280" w:lineRule="exact" w:before="120" w:after="80"/>
        <w:ind w:firstLine="0"/>
        <w:jc w:val="center"/>
      </w:pPr>
      <w:r>
        <w:rPr>
          <w:rFonts w:ascii="Times New Roman" w:hAnsi="Times New Roman" w:eastAsia="宋体"/>
          <w:b w:val="0"/>
          <w:sz w:val="21"/>
        </w:rPr>
        <w:t xml:space="preserve">表5-77 场景2的完整转供率节点及设备方案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储能/MWh</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14578.77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14092.58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11460.49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10392.43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8912.27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8062.42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7576.23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7274.15</w:t>
            </w:r>
          </w:p>
        </w:tc>
      </w:tr>
    </w:tbl>
    <w:p>
      <w:pPr>
        <w:pStyle w:val="2"/>
        <w:widowControl/>
        <w:spacing w:line="348" w:lineRule="exact" w:before="0" w:after="0"/>
        <w:ind w:firstLine="480"/>
        <w:jc w:val="both"/>
      </w:pPr>
      <w:r>
        <w:rPr>
          <w:rFonts w:ascii="Times New Roman" w:hAnsi="Times New Roman" w:eastAsia="方正仿宋_GBK"/>
          <w:b w:val="0"/>
          <w:sz w:val="24"/>
        </w:rPr>
        <w:t xml:space="preserve">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006737"/>
            <wp:effectExtent b="0" l="0" r="0" t="0"/>
            <wp:docPr descr="" title="" id="1" name="Picture"/>
            <a:graphic>
              <a:graphicData uri="http://schemas.openxmlformats.org/drawingml/2006/picture">
                <pic:pic>
                  <pic:nvPicPr>
                    <pic:cNvPr descr="研究报告/02图表/当前版/typical_transfer_response.png" id="0" name="Picture"/>
                    <pic:cNvPicPr>
                      <a:picLocks noChangeArrowheads="1" noChangeAspect="1"/>
                    </pic:cNvPicPr>
                  </pic:nvPicPr>
                  <pic:blipFill>
                    <a:blip r:embed="rId277"/>
                    <a:stretch>
                      <a:fillRect/>
                    </a:stretch>
                  </pic:blipFill>
                  <pic:spPr bwMode="auto">
                    <a:xfrm>
                      <a:off x="0" y="0"/>
                      <a:ext cx="5120640" cy="200673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图5-14 典型场景中初始转供率与容载比、费用的关系</w:t>
      </w:r>
    </w:p>
    <w:p>
      <w:pPr>
        <w:pStyle w:val="2"/>
        <w:widowControl/>
        <w:spacing w:line="348" w:lineRule="exact" w:before="0" w:after="0"/>
        <w:ind w:firstLine="480"/>
        <w:jc w:val="both"/>
      </w:pPr>
      <w:r>
        <w:rPr>
          <w:rFonts w:ascii="Times New Roman" w:hAnsi="Times New Roman" w:eastAsia="方正仿宋_GBK"/>
          <w:b w:val="0"/>
          <w:sz w:val="24"/>
        </w:rPr>
        <w:t xml:space="preserve">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pPr>
        <w:pStyle w:val="5"/>
        <w:keepNext/>
        <w:numPr>
          <w:numId w:val="0"/>
        </w:numPr>
        <w:spacing w:line="390" w:lineRule="exact" w:before="160" w:after="120"/>
        <w:ind w:firstLine="0"/>
      </w:pPr>
      <w:bookmarkStart w:id="278" w:name="装机渗透率与双向容量需求"/>
      <w:r>
        <w:rPr>
          <w:rFonts w:ascii="Times New Roman" w:hAnsi="Times New Roman" w:eastAsia="方正仿宋_GBK"/>
          <w:b/>
          <w:sz w:val="26"/>
        </w:rPr>
        <w:t xml:space="preserve">5.6.5 装机渗透率与双向容量需求</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固定年最大净负荷平均增长率4%、电缆长度占比10%、初始转供率40%和负荷分散系数1.10，读取装机渗透率0～3.00、步长0.25的完整序列。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表5-78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pPr>
        <w:pStyle w:val="2"/>
        <w:widowControl/>
        <w:spacing w:line="348" w:lineRule="exact" w:before="0" w:after="0"/>
        <w:ind w:firstLine="480"/>
        <w:jc w:val="both"/>
      </w:pPr>
      <w:r>
        <w:rPr>
          <w:rFonts w:ascii="Times New Roman" w:hAnsi="Times New Roman" w:eastAsia="方正仿宋_GBK"/>
          <w:b w:val="0"/>
          <w:sz w:val="24"/>
        </w:rPr>
        <w:t xml:space="preserve">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eta_device_response.png" id="0" name="Picture"/>
                    <pic:cNvPicPr>
                      <a:picLocks noChangeArrowheads="1" noChangeAspect="1"/>
                    </pic:cNvPicPr>
                  </pic:nvPicPr>
                  <pic:blipFill>
                    <a:blip r:embed="rId279"/>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图5-15 完整装机渗透率序列对应的主变与储能配置</w:t>
      </w:r>
    </w:p>
    <w:p>
      <w:pPr>
        <w:pStyle w:val="5"/>
        <w:keepNext/>
        <w:numPr>
          <w:numId w:val="0"/>
        </w:numPr>
        <w:spacing w:line="390" w:lineRule="exact" w:before="160" w:after="120"/>
        <w:ind w:firstLine="0"/>
      </w:pPr>
      <w:bookmarkStart w:id="280" w:name="年最大净负荷平均增长率与容量储备消耗"/>
      <w:r>
        <w:rPr>
          <w:rFonts w:ascii="Times New Roman" w:hAnsi="Times New Roman" w:eastAsia="方正仿宋_GBK"/>
          <w:b/>
          <w:sz w:val="26"/>
        </w:rPr>
        <w:t xml:space="preserve">5.6.6 年最大净负荷平均增长率与容量储备消耗</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表5-79 年最大净负荷平均增长率对应的容量及工程变化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2"/>
        <w:widowControl/>
        <w:spacing w:line="348" w:lineRule="exact" w:before="0" w:after="0"/>
        <w:ind w:firstLine="480"/>
        <w:jc w:val="both"/>
      </w:pPr>
      <w:r>
        <w:rPr>
          <w:rFonts w:ascii="Times New Roman" w:hAnsi="Times New Roman" w:eastAsia="方正仿宋_GBK"/>
          <w:b w:val="0"/>
          <w:sz w:val="24"/>
        </w:rPr>
        <w:t xml:space="preserve">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44122"/>
            <wp:effectExtent b="0" l="0" r="0" t="0"/>
            <wp:docPr descr="" title="" id="1" name="Picture"/>
            <a:graphic>
              <a:graphicData uri="http://schemas.openxmlformats.org/drawingml/2006/picture">
                <pic:pic>
                  <pic:nvPicPr>
                    <pic:cNvPr descr="研究报告/02图表/当前版/growth_capacity_reserve.png" id="0" name="Picture"/>
                    <pic:cNvPicPr>
                      <a:picLocks noChangeArrowheads="1" noChangeAspect="1"/>
                    </pic:cNvPicPr>
                  </pic:nvPicPr>
                  <pic:blipFill>
                    <a:blip r:embed="rId281"/>
                    <a:stretch>
                      <a:fillRect/>
                    </a:stretch>
                  </pic:blipFill>
                  <pic:spPr bwMode="auto">
                    <a:xfrm>
                      <a:off x="0" y="0"/>
                      <a:ext cx="5120640" cy="47441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图5-16 年最大净负荷平均增长率与规划负荷、容量及容载比</w:t>
      </w:r>
    </w:p>
    <w:p>
      <w:pPr>
        <w:pStyle w:val="5"/>
        <w:keepNext/>
        <w:numPr>
          <w:numId w:val="0"/>
        </w:numPr>
        <w:spacing w:line="390" w:lineRule="exact" w:before="160" w:after="120"/>
        <w:ind w:firstLine="0"/>
      </w:pPr>
      <w:bookmarkStart w:id="282" w:name="电缆长度占比与联络主变替代"/>
      <w:r>
        <w:rPr>
          <w:rFonts w:ascii="Times New Roman" w:hAnsi="Times New Roman" w:eastAsia="方正仿宋_GBK"/>
          <w:b/>
          <w:sz w:val="26"/>
        </w:rPr>
        <w:t xml:space="preserve">5.6.7 电缆长度占比与联络、主变替代</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表5-80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21635.12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22494.68～22947.79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23549.25～23685.18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注：同列多个电缆占比表示配置相同，费用范围对应所列采样节点。</w:t>
      </w:r>
    </w:p>
    <w:p>
      <w:pPr>
        <w:pStyle w:val="2"/>
        <w:widowControl/>
        <w:spacing w:line="348" w:lineRule="exact" w:before="0" w:after="0"/>
        <w:ind w:firstLine="480"/>
        <w:jc w:val="both"/>
      </w:pPr>
      <w:r>
        <w:rPr>
          <w:rFonts w:ascii="Times New Roman" w:hAnsi="Times New Roman" w:eastAsia="方正仿宋_GBK"/>
          <w:b w:val="0"/>
          <w:sz w:val="24"/>
        </w:rPr>
        <w:t xml:space="preserve">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346550"/>
            <wp:effectExtent b="0" l="0" r="0" t="0"/>
            <wp:docPr descr="" title="" id="1" name="Picture"/>
            <a:graphic>
              <a:graphicData uri="http://schemas.openxmlformats.org/drawingml/2006/picture">
                <pic:pic>
                  <pic:nvPicPr>
                    <pic:cNvPr descr="研究报告/02图表/当前版/cable_device_response.png" id="0" name="Picture"/>
                    <pic:cNvPicPr>
                      <a:picLocks noChangeArrowheads="1" noChangeAspect="1"/>
                    </pic:cNvPicPr>
                  </pic:nvPicPr>
                  <pic:blipFill>
                    <a:blip r:embed="rId283"/>
                    <a:stretch>
                      <a:fillRect/>
                    </a:stretch>
                  </pic:blipFill>
                  <pic:spPr bwMode="auto">
                    <a:xfrm>
                      <a:off x="0" y="0"/>
                      <a:ext cx="5120640" cy="53465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图5-17 电缆长度占比对应的容载比与设备替代</w:t>
      </w:r>
    </w:p>
    <w:p>
      <w:pPr>
        <w:pStyle w:val="2"/>
        <w:widowControl/>
        <w:spacing w:line="348" w:lineRule="exact" w:before="0" w:after="0"/>
        <w:ind w:firstLine="480"/>
        <w:jc w:val="both"/>
      </w:pPr>
      <w:r>
        <w:rPr>
          <w:rFonts w:ascii="Times New Roman" w:hAnsi="Times New Roman" w:eastAsia="方正仿宋_GBK"/>
          <w:b w:val="0"/>
          <w:sz w:val="24"/>
        </w:rPr>
        <w:t xml:space="preserve">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pPr>
        <w:pStyle w:val="5"/>
        <w:keepNext/>
        <w:numPr>
          <w:numId w:val="0"/>
        </w:numPr>
        <w:spacing w:line="390" w:lineRule="exact" w:before="160" w:after="120"/>
        <w:ind w:firstLine="0"/>
      </w:pPr>
      <w:bookmarkStart w:id="284" w:name="负荷分散系数与局部高峰承载"/>
      <w:r>
        <w:rPr>
          <w:rFonts w:ascii="Times New Roman" w:hAnsi="Times New Roman" w:eastAsia="方正仿宋_GBK"/>
          <w:b/>
          <w:sz w:val="26"/>
        </w:rPr>
        <w:t xml:space="preserve">5.6.8 负荷分散系数与局部高峰承载</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年最大净负荷平均增长率7%、电缆长度占比10%和初始转供率50%，比较负荷分散系数1.00、1.10、1.15的完整序列。三组容载比均高于2.00，且在两个相邻节点间均有响应。各工况区域负荷合计相同，分散系数改变局部高峰在各站之间的分布，反映相同区域供电任务下站级容量配置的差异。</w:t>
      </w:r>
    </w:p>
    <w:p>
      <w:pPr>
        <w:pStyle w:val="2"/>
        <w:keepNext/>
        <w:spacing w:line="280" w:lineRule="exact" w:before="120" w:after="80"/>
        <w:ind w:firstLine="0"/>
        <w:jc w:val="center"/>
      </w:pPr>
      <w:r>
        <w:rPr>
          <w:rFonts w:ascii="Times New Roman" w:hAnsi="Times New Roman" w:eastAsia="宋体"/>
          <w:b w:val="0"/>
          <w:sz w:val="21"/>
        </w:rPr>
        <w:t xml:space="preserve">表5-81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24142.90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31153.91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34046.30</w:t>
            </w:r>
          </w:p>
        </w:tc>
      </w:tr>
    </w:tbl>
    <w:p>
      <w:pPr>
        <w:pStyle w:val="2"/>
        <w:widowControl/>
        <w:spacing w:line="348" w:lineRule="exact" w:before="0" w:after="0"/>
        <w:ind w:firstLine="480"/>
        <w:jc w:val="both"/>
      </w:pPr>
      <w:r>
        <w:rPr>
          <w:rFonts w:ascii="Times New Roman" w:hAnsi="Times New Roman" w:eastAsia="方正仿宋_GBK"/>
          <w:b w:val="0"/>
          <w:sz w:val="24"/>
        </w:rPr>
        <w:t xml:space="preserve">分散系数1.00时，710.00 MVA主变与9项新增联络共同支撑局部高峰，容载比为2.17。分散系数提高至1.10，主变增加76.00 MVA，并减少4项联络，容载比升至2.40。继续提高至1.15，主变再增加34.00 MVA，联络减少至3项，容载比达到2.50。两个变化节点均增加站内容量，说明局部高峰分布改变后，原有主变和网络组合需要调整。</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346550"/>
            <wp:effectExtent b="0" l="0" r="0" t="0"/>
            <wp:docPr descr="" title="" id="1" name="Picture"/>
            <a:graphic>
              <a:graphicData uri="http://schemas.openxmlformats.org/drawingml/2006/picture">
                <pic:pic>
                  <pic:nvPicPr>
                    <pic:cNvPr descr="研究报告/02图表/当前版/diversity_device_response.png" id="0" name="Picture"/>
                    <pic:cNvPicPr>
                      <a:picLocks noChangeArrowheads="1" noChangeAspect="1"/>
                    </pic:cNvPicPr>
                  </pic:nvPicPr>
                  <pic:blipFill>
                    <a:blip r:embed="rId285"/>
                    <a:stretch>
                      <a:fillRect/>
                    </a:stretch>
                  </pic:blipFill>
                  <pic:spPr bwMode="auto">
                    <a:xfrm>
                      <a:off x="0" y="0"/>
                      <a:ext cx="5120640" cy="53465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图5-18 负荷分散系数对应的容载比与局部支撑配置</w:t>
      </w:r>
    </w:p>
    <w:p>
      <w:pPr>
        <w:pStyle w:val="2"/>
        <w:widowControl/>
        <w:spacing w:line="348" w:lineRule="exact" w:before="0" w:after="0"/>
        <w:ind w:firstLine="480"/>
        <w:jc w:val="both"/>
      </w:pPr>
      <w:r>
        <w:rPr>
          <w:rFonts w:ascii="Times New Roman" w:hAnsi="Times New Roman" w:eastAsia="方正仿宋_GBK"/>
          <w:b w:val="0"/>
          <w:sz w:val="24"/>
        </w:rPr>
        <w:t xml:space="preserve">本组储能额定功率由73.30 MW增至90.60 MW、102.10 MW，与主变补强共同承担局部功率任务。联络数量减少反映部分支援转由站内设备承担，但新增主变和储能的费用仍使方案费用提高。由分散系数1.00至1.15，主变、储能费用现值分别增加4371.85万元、6256.54万元，线路费用减少724.99万元，合计费用增加9903.40万元。较大的主变总容量与较少的新增联络在同一方案中出现，其原因可以由设备组合和费用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矩阵分别列示三个分散系数定值，将局部高峰条件保留到查表结果。片区应用以同范围站级峰值及区域同时峰值核定该参数，再结合站间支援条件选择容量和配套措施。</w:t>
      </w:r>
    </w:p>
    <w:p>
      <w:pPr>
        <w:pStyle w:val="4"/>
        <w:keepNext/>
        <w:numPr>
          <w:numId w:val="0"/>
        </w:numPr>
        <w:spacing w:line="480" w:lineRule="exact" w:before="160" w:after="120"/>
        <w:ind w:firstLine="0"/>
      </w:pPr>
      <w:bookmarkStart w:id="2130" w:name="h1130"/>
      <w:bookmarkStart w:id="286" w:name="规划建议"/>
      <w:r>
        <w:rPr>
          <w:rFonts w:ascii="Times New Roman" w:hAnsi="Times New Roman" w:eastAsia="方正仿宋_GBK"/>
          <w:b/>
          <w:sz w:val="32"/>
        </w:rPr>
        <w:t xml:space="preserve">5.7 规划建议</w:t>
      </w:r>
      <w:bookmarkEnd w:id="286"/>
      <w:bookmarkEnd w:id="2130"/>
    </w:p>
    <w:p>
      <w:pPr>
        <w:pStyle w:val="5"/>
        <w:keepNext/>
        <w:numPr>
          <w:numId w:val="0"/>
        </w:numPr>
        <w:spacing w:line="390" w:lineRule="exact" w:before="160" w:after="120"/>
        <w:ind w:firstLine="0"/>
      </w:pPr>
      <w:bookmarkStart w:id="287" w:name="按源荷条件和网络能力选取容量"/>
      <w:r>
        <w:rPr>
          <w:rFonts w:ascii="Times New Roman" w:hAnsi="Times New Roman" w:eastAsia="方正仿宋_GBK"/>
          <w:b/>
          <w:sz w:val="26"/>
        </w:rPr>
        <w:t xml:space="preserve">5.7.1 按源荷条件和网络能力选取容量</w:t>
      </w:r>
      <w:bookmarkEnd w:id="287"/>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pPr>
        <w:pStyle w:val="5"/>
        <w:keepNext/>
        <w:numPr>
          <w:numId w:val="0"/>
        </w:numPr>
        <w:spacing w:line="390" w:lineRule="exact" w:before="160" w:after="120"/>
        <w:ind w:firstLine="0"/>
      </w:pPr>
      <w:bookmarkStart w:id="288" w:name="统筹主变储能及联络建设"/>
      <w:r>
        <w:rPr>
          <w:rFonts w:ascii="Times New Roman" w:hAnsi="Times New Roman" w:eastAsia="方正仿宋_GBK"/>
          <w:b/>
          <w:sz w:val="26"/>
        </w:rPr>
        <w:t xml:space="preserve">5.7.2 统筹主变、储能及联络建设</w:t>
      </w:r>
      <w:bookmarkEnd w:id="288"/>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89" w:name="保留参数区间滚动更新计算依据"/>
      <w:r>
        <w:rPr>
          <w:rFonts w:ascii="Times New Roman" w:hAnsi="Times New Roman" w:eastAsia="方正仿宋_GBK"/>
          <w:b/>
          <w:sz w:val="26"/>
        </w:rPr>
        <w:t xml:space="preserve">5.7.3 保留参数区间，滚动更新计算依据</w:t>
      </w:r>
      <w:bookmarkEnd w:id="289"/>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90" w:name="推荐区间与具体设备的衔接"/>
      <w:r>
        <w:rPr>
          <w:rFonts w:ascii="Times New Roman" w:hAnsi="Times New Roman" w:eastAsia="方正仿宋_GBK"/>
          <w:b/>
          <w:sz w:val="26"/>
        </w:rPr>
        <w:t xml:space="preserve">5.7.4 推荐区间与具体设备的衔接</w:t>
      </w:r>
      <w:bookmarkEnd w:id="290"/>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91" w:name="邳州与市区建设措施的综合比较"/>
      <w:r>
        <w:rPr>
          <w:rFonts w:ascii="Times New Roman" w:hAnsi="Times New Roman" w:eastAsia="方正仿宋_GBK"/>
          <w:b/>
          <w:sz w:val="26"/>
        </w:rPr>
        <w:t xml:space="preserve">5.7.5 邳州与市区建设措施的综合比较</w:t>
      </w:r>
      <w:bookmarkEnd w:id="291"/>
    </w:p>
    <w:p>
      <w:pPr>
        <w:pStyle w:val="FirstParagraph"/>
        <w:widowControl/>
        <w:spacing w:line="348" w:lineRule="exact" w:before="0" w:after="0"/>
        <w:ind w:firstLine="480"/>
        <w:jc w:val="both"/>
      </w:pPr>
      <w:r>
        <w:rPr>
          <w:rFonts w:ascii="Times New Roman" w:hAnsi="Times New Roman" w:eastAsia="方正仿宋_GBK"/>
          <w:b w:val="0"/>
          <w:sz w:val="24"/>
        </w:rPr>
        <w:t xml:space="preserve">两地区以2021年实际容量为共同起点，2022—2035年按上年在役设备和当年源荷逐年比选。既有转供按逐站MW固定封顶，年度正常供区与事故追加预案分别固定，新增联络、共享馈线余量及接收站主变共同约束站间支援。</w:t>
      </w:r>
    </w:p>
    <w:p>
      <w:pPr>
        <w:pStyle w:val="2"/>
        <w:widowControl/>
        <w:spacing w:line="348" w:lineRule="exact" w:before="0" w:after="0"/>
        <w:ind w:firstLine="480"/>
        <w:jc w:val="both"/>
      </w:pPr>
      <w:r>
        <w:rPr>
          <w:rFonts w:ascii="Times New Roman" w:hAnsi="Times New Roman" w:eastAsia="方正仿宋_GBK"/>
          <w:b w:val="0"/>
          <w:sz w:val="24"/>
        </w:rPr>
        <w:t xml:space="preserve">2035年邳州弹性方案主变容量2901.00 MVA、容载比2.06，刚性分别为2678.00 MVA、1.90；弹性储能545.67 MWh、累计新增联络21条，刚性为568.25 MWh、58条。市区弹性主变3608.50 MVA、容载比1.62，刚性为3587.00 MVA、1.61，弹性储能109.65 MWh高于刚性92.88 MWh，累计新增联络35条低于刚性66条。</w:t>
      </w:r>
    </w:p>
    <w:p>
      <w:pPr>
        <w:pStyle w:val="2"/>
        <w:widowControl/>
        <w:spacing w:line="348" w:lineRule="exact" w:before="0" w:after="0"/>
        <w:ind w:firstLine="480"/>
        <w:jc w:val="both"/>
      </w:pPr>
      <w:r>
        <w:rPr>
          <w:rFonts w:ascii="Times New Roman" w:hAnsi="Times New Roman" w:eastAsia="方正仿宋_GBK"/>
          <w:b w:val="0"/>
          <w:sz w:val="24"/>
        </w:rPr>
        <w:t xml:space="preserve">两地区刚性可行方案费用现值合计98006.53万元、弹性95107.86万元，减少2898.67万元，降幅2.96%。费用优势由主变、储能和联络各年度现金流共同形成，具体年份的费用及储能排序保留其实际差异。推广矩阵各单元为有效节点形成的有限范围，固定背景的完整序列用于分析转供变化及设备切换。</w:t>
      </w:r>
    </w:p>
    <w:p>
      <w:pPr>
        <w:pStyle w:val="3"/>
        <w:keepNext/>
        <w:pageBreakBefore/>
        <w:numPr>
          <w:numId w:val="0"/>
        </w:numPr>
        <w:spacing w:line="540" w:lineRule="exact" w:before="0" w:after="120"/>
        <w:ind w:firstLine="0"/>
      </w:pPr>
      <w:bookmarkStart w:id="2144" w:name="h1144"/>
      <w:bookmarkStart w:id="292" w:name="第六章-结论与建议"/>
      <w:r>
        <w:rPr>
          <w:rFonts w:ascii="Times New Roman" w:hAnsi="Times New Roman" w:eastAsia="方正仿宋_GBK"/>
          <w:b/>
          <w:sz w:val="36"/>
        </w:rPr>
        <w:t xml:space="preserve">第六章 结论与建议</w:t>
      </w:r>
      <w:bookmarkEnd w:id="292"/>
      <w:bookmarkEnd w:id="2144"/>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146" w:name="h1146"/>
      <w:bookmarkStart w:id="293" w:name="主要研究结论"/>
      <w:r>
        <w:rPr>
          <w:rFonts w:ascii="Times New Roman" w:hAnsi="Times New Roman" w:eastAsia="方正仿宋_GBK"/>
          <w:b/>
          <w:sz w:val="32"/>
        </w:rPr>
        <w:t xml:space="preserve">6.1 主要研究结论</w:t>
      </w:r>
      <w:bookmarkEnd w:id="293"/>
      <w:bookmarkEnd w:id="2146"/>
    </w:p>
    <w:p>
      <w:pPr>
        <w:pStyle w:val="5"/>
        <w:keepNext/>
        <w:numPr>
          <w:numId w:val="0"/>
        </w:numPr>
        <w:spacing w:line="390" w:lineRule="exact" w:before="160" w:after="120"/>
        <w:ind w:firstLine="0"/>
      </w:pPr>
      <w:bookmarkStart w:id="294" w:name="容载比与局部容量压力应结合分析"/>
      <w:r>
        <w:rPr>
          <w:rFonts w:ascii="Times New Roman" w:hAnsi="Times New Roman" w:eastAsia="方正仿宋_GBK"/>
          <w:b/>
          <w:sz w:val="26"/>
        </w:rPr>
        <w:t xml:space="preserve">6.1.1 容载比与局部容量压力应结合分析</w:t>
      </w:r>
      <w:bookmarkEnd w:id="294"/>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95" w:name="弹性容量配置降低了所设条件下的方案费用"/>
      <w:r>
        <w:rPr>
          <w:rFonts w:ascii="Times New Roman" w:hAnsi="Times New Roman" w:eastAsia="方正仿宋_GBK"/>
          <w:b/>
          <w:sz w:val="26"/>
        </w:rPr>
        <w:t xml:space="preserve">6.1.2 弹性容量配置降低了所设条件下的方案费用</w:t>
      </w:r>
      <w:bookmarkEnd w:id="295"/>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两地区均保留2021年实际地区容量，2022—2035年逐年承接已投运设备。2035年邳州刚性、弹性主变容量分别为2678.00 MVA、2901.00 MVA，容载比1.90、2.06；市区分别为3587.00 MVA、3608.50 MVA，容载比1.61、1.62。站内补强、配储与新增联络共同满足所采用的年度静态计算条件。</w:t>
      </w:r>
    </w:p>
    <w:p>
      <w:pPr>
        <w:pStyle w:val="2"/>
        <w:widowControl/>
        <w:spacing w:line="348" w:lineRule="exact" w:before="0" w:after="0"/>
        <w:ind w:firstLine="480"/>
        <w:jc w:val="both"/>
      </w:pPr>
      <w:r>
        <w:rPr>
          <w:rFonts w:ascii="Times New Roman" w:hAnsi="Times New Roman" w:eastAsia="方正仿宋_GBK"/>
          <w:b w:val="0"/>
          <w:sz w:val="24"/>
        </w:rPr>
        <w:t xml:space="preserve">邳州2035年弹性储能545.67 MWh、累计新增联络21条，刚性为568.25 MWh、58条；市区弹性储能109.65 MWh高于刚性92.88 MWh，累计新增联络35条低于刚性66条。市区2022年两方案相同，2030年弹性累计费用仍高于刚性，后续年份各措施现金流共同形成全期费用差。两地区刚性费用现值合计98006.53万元，弹性95107.86万元，减少2898.67万元，降幅2.96%。</w:t>
      </w:r>
    </w:p>
    <w:p>
      <w:pPr>
        <w:pStyle w:val="5"/>
        <w:keepNext/>
        <w:numPr>
          <w:numId w:val="0"/>
        </w:numPr>
        <w:spacing w:line="390" w:lineRule="exact" w:before="160" w:after="120"/>
        <w:ind w:firstLine="0"/>
      </w:pPr>
      <w:bookmarkStart w:id="296"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96"/>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源荷区段切换改善容量与需求的空间匹配。源荷区段内负荷与光伏共同切换，两端按调整后的带符号净负荷校核，区域内部转出与承接保持同小时平衡。既有逐站转供MW上限固定，正常与事故追加共同占用路径和共享馈线预算。</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97" w:name="两层相关分析确定五项推广参数"/>
      <w:r>
        <w:rPr>
          <w:rFonts w:ascii="Times New Roman" w:hAnsi="Times New Roman" w:eastAsia="方正仿宋_GBK"/>
          <w:b/>
          <w:sz w:val="26"/>
        </w:rPr>
        <w:t xml:space="preserve">6.1.4 两层相关分析确定五项推广参数</w:t>
      </w:r>
      <w:bookmarkEnd w:id="297"/>
    </w:p>
    <w:p>
      <w:pPr>
        <w:pStyle w:val="FirstParagraph"/>
        <w:widowControl/>
        <w:spacing w:line="348" w:lineRule="exact" w:before="0" w:after="0"/>
        <w:ind w:firstLine="480"/>
        <w:jc w:val="both"/>
      </w:pPr>
      <w:r>
        <w:rPr>
          <w:rFonts w:ascii="Times New Roman" w:hAnsi="Times New Roman" w:eastAsia="方正仿宋_GBK"/>
          <w:b w:val="0"/>
          <w:sz w:val="24"/>
        </w:rPr>
        <w:t xml:space="preserve">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pPr>
        <w:pStyle w:val="2"/>
        <w:widowControl/>
        <w:spacing w:line="348" w:lineRule="exact" w:before="0" w:after="0"/>
        <w:ind w:firstLine="480"/>
        <w:jc w:val="both"/>
      </w:pPr>
      <w:r>
        <w:rPr>
          <w:rFonts w:ascii="Times New Roman" w:hAnsi="Times New Roman" w:eastAsia="方正仿宋_GBK"/>
          <w:b w:val="0"/>
          <w:sz w:val="24"/>
        </w:rPr>
        <w:t xml:space="preserve">五项与容载比的组内相关依次为0.88、－0.80、0.45、－0.74、0.52，分别对应反向承载、负荷发展、联络造价、网络支援和局部峰值任务。区间矩阵按电缆长度占比≤10%、(10%,30%]、&gt;30%分区，每档分别列示负荷分散系数1.00、1.10、1.15，年最大净负荷平均增长率四档、装机渗透率三档与初始转供率四档组成九张表432个单元，同一行按各转供档容量下界划定首尾相接的规划推荐带。另以两组设备重新选配的典型源荷条件分析18个细节点及8个转供区间，四档推荐带逐档衔接，细节点保留实际设备组合的平台和局部回升。查表后按实际站级缺口及可实施措施确定设备方案。</w:t>
      </w:r>
    </w:p>
    <w:p>
      <w:pPr>
        <w:pStyle w:val="4"/>
        <w:keepNext/>
        <w:numPr>
          <w:numId w:val="0"/>
        </w:numPr>
        <w:spacing w:line="480" w:lineRule="exact" w:before="160" w:after="120"/>
        <w:ind w:firstLine="0"/>
      </w:pPr>
      <w:bookmarkStart w:id="2160" w:name="h1160"/>
      <w:bookmarkStart w:id="298" w:name="规划应用建议"/>
      <w:r>
        <w:rPr>
          <w:rFonts w:ascii="Times New Roman" w:hAnsi="Times New Roman" w:eastAsia="方正仿宋_GBK"/>
          <w:b/>
          <w:sz w:val="32"/>
        </w:rPr>
        <w:t xml:space="preserve">6.2 规划应用建议</w:t>
      </w:r>
      <w:bookmarkEnd w:id="298"/>
      <w:bookmarkEnd w:id="2160"/>
    </w:p>
    <w:p>
      <w:pPr>
        <w:pStyle w:val="5"/>
        <w:keepNext/>
        <w:numPr>
          <w:numId w:val="0"/>
        </w:numPr>
        <w:spacing w:line="390" w:lineRule="exact" w:before="160" w:after="120"/>
        <w:ind w:firstLine="0"/>
      </w:pPr>
      <w:bookmarkStart w:id="299" w:name="按输入区间查表再落实设备方案"/>
      <w:r>
        <w:rPr>
          <w:rFonts w:ascii="Times New Roman" w:hAnsi="Times New Roman" w:eastAsia="方正仿宋_GBK"/>
          <w:b/>
          <w:sz w:val="26"/>
        </w:rPr>
        <w:t xml:space="preserve">6.2.1 按输入区间查表，再落实设备方案</w:t>
      </w:r>
      <w:bookmarkEnd w:id="299"/>
    </w:p>
    <w:p>
      <w:pPr>
        <w:pStyle w:val="FirstParagraph"/>
        <w:widowControl/>
        <w:spacing w:line="348" w:lineRule="exact" w:before="0" w:after="0"/>
        <w:ind w:firstLine="480"/>
        <w:jc w:val="both"/>
      </w:pPr>
      <w:r>
        <w:rPr>
          <w:rFonts w:ascii="Times New Roman" w:hAnsi="Times New Roman" w:eastAsia="方正仿宋_GBK"/>
          <w:b w:val="0"/>
          <w:sz w:val="24"/>
        </w:rPr>
        <w:t xml:space="preserve">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300" w:name="核实分区转供能力与储能支撑条件"/>
      <w:r>
        <w:rPr>
          <w:rFonts w:ascii="Times New Roman" w:hAnsi="Times New Roman" w:eastAsia="方正仿宋_GBK"/>
          <w:b/>
          <w:sz w:val="26"/>
        </w:rPr>
        <w:t xml:space="preserve">6.2.2 核实分区转供能力与储能支撑条件</w:t>
      </w:r>
      <w:bookmarkEnd w:id="300"/>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地区案例储能正向支撑持续时间采用邳州2 h、市区6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301" w:name="随数据和工程条件更新结果"/>
      <w:r>
        <w:rPr>
          <w:rFonts w:ascii="Times New Roman" w:hAnsi="Times New Roman" w:eastAsia="方正仿宋_GBK"/>
          <w:b/>
          <w:sz w:val="26"/>
        </w:rPr>
        <w:t xml:space="preserve">6.2.3 随数据和工程条件更新结果</w:t>
      </w:r>
      <w:bookmarkEnd w:id="301"/>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172" w:name="h1172"/>
      <w:bookmarkStart w:id="302" w:name="后续研究方向"/>
      <w:r>
        <w:rPr>
          <w:rFonts w:ascii="Times New Roman" w:hAnsi="Times New Roman" w:eastAsia="方正仿宋_GBK"/>
          <w:b/>
          <w:sz w:val="32"/>
        </w:rPr>
        <w:t xml:space="preserve">6.3 后续研究方向</w:t>
      </w:r>
      <w:bookmarkEnd w:id="302"/>
      <w:bookmarkEnd w:id="2172"/>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以年度8760小时序列检验固定正常供区及各站最大单台N-1事故追加预案，既有等效通道、源荷区段及部分设备条件采用研究假设。历史年度为模板回算，未来采用区域预测同比缩放，站级空间分配继承基准模板。储能按可用电量和持续时长折算有效功率，连续荷电状态、电压及保护需进一步检验。费用包括共同评价期内建设和固定运维，期末残值、储能充电及损耗等需结合运行资料补充。</w:t>
      </w:r>
    </w:p>
    <w:p>
      <w:pPr>
        <w:pStyle w:val="5"/>
        <w:keepNext/>
        <w:numPr>
          <w:numId w:val="0"/>
        </w:numPr>
        <w:spacing w:line="390" w:lineRule="exact" w:before="160" w:after="120"/>
        <w:ind w:firstLine="0"/>
      </w:pPr>
      <w:bookmarkStart w:id="303" w:name="深化储能运行与实际网络校核"/>
      <w:r>
        <w:rPr>
          <w:rFonts w:ascii="Times New Roman" w:hAnsi="Times New Roman" w:eastAsia="方正仿宋_GBK"/>
          <w:b/>
          <w:sz w:val="26"/>
        </w:rPr>
        <w:t xml:space="preserve">6.3.1 深化储能运行与实际网络校核</w:t>
      </w:r>
      <w:bookmarkEnd w:id="303"/>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304" w:name="拓展片区结构和经济参数"/>
      <w:r>
        <w:rPr>
          <w:rFonts w:ascii="Times New Roman" w:hAnsi="Times New Roman" w:eastAsia="方正仿宋_GBK"/>
          <w:b/>
          <w:sz w:val="26"/>
        </w:rPr>
        <w:t xml:space="preserve">6.3.2 拓展片区结构和经济参数</w:t>
      </w:r>
      <w:bookmarkEnd w:id="304"/>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178" w:name="h1178"/>
      <w:bookmarkStart w:id="305" w:name="参考文献"/>
      <w:r>
        <w:rPr>
          <w:rFonts w:ascii="Times New Roman" w:hAnsi="Times New Roman" w:eastAsia="方正仿宋_GBK"/>
          <w:b/>
          <w:sz w:val="36"/>
        </w:rPr>
        <w:t xml:space="preserve">参考文献</w:t>
      </w:r>
      <w:bookmarkEnd w:id="305"/>
      <w:bookmarkEnd w:id="2178"/>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国家能源局举行新闻发布会 介绍2026年一季度可再生能源并网运行情况[EB/OL].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[8]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[9]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[12]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[13]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[14]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[15]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[16]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[17]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[18]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[19]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[20]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[21]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[22]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[23]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[24]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[25]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[26]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[27]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[28]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[29]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[30]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[31]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[32]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[33]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[34]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[35]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[36]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[37]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[38]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[39]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[40]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[41]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[42]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[43]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[44]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[45]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[46]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[47]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[48]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[49]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[50]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[51]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[52]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[53]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[54]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[55]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[56]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[57]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[58]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[59]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[60]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[61]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[62]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[63]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[64]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[65]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郭自文, 王子鉴, 黄纯, 等. 考虑源荷储功率协调和不确定性的配电网集群划分方法[J]. 电网技术, 2026, 50(3): 1082-1090.</w:t>
      </w:r>
    </w:p>
    <w:p>
      <w:pPr>
        <w:pStyle w:val="2"/>
        <w:widowControl/>
        <w:spacing w:line="320" w:lineRule="exact" w:before="0" w:after="80"/>
        <w:ind w:firstLine="0"/>
        <w:jc w:val="left"/>
      </w:pPr>
      <w:r>
        <w:rPr>
          <w:rFonts w:ascii="Times New Roman" w:hAnsi="Times New Roman" w:eastAsia="方正仿宋_GBK"/>
          <w:b w:val="0"/>
          <w:sz w:val="21"/>
        </w:rPr>
        <w:t xml:space="preserve">[87]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[88]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[91]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02:18Z" w:initials="">
    <w:p w14:paraId="1E10FD32">
      <w:pPr>
        <w:pStyle w:val="15"/>
        <w:rPr>
          <w:rFonts w:hint="default" w:eastAsia="方正仿宋_GBK"/>
          <w:lang w:eastAsia="zh"/>
        </w:rPr>
      </w:pPr>
      <w:bookmarkStart w:id="337" w:name="_T472772365_233911019"/>
      <w:r>
        <w:rPr>
          <w:rFonts w:hint="default"/>
          <w:lang w:eastAsia="zh"/>
        </w:rPr>
        <w:t>正常运行，主变不超过80%；N-1，剩余主变不超过130%</w:t>
      </w:r>
    </w:p>
    <w:bookmarkEnd w:id="337"/>
  </w:comment>
  <w:comment w:id="1" w:author="白日梦想家" w:date="2026-10-17T18:16:00Z" w:initials="">
    <w:p w14:paraId="045BA0AE">
      <w:pPr>
        <w:pStyle w:val="15"/>
        <w:rPr>
          <w:rFonts w:hint="eastAsia" w:eastAsia="方正仿宋_GBK"/>
          <w:lang w:eastAsia="zh"/>
        </w:rPr>
      </w:pPr>
      <w:bookmarkStart w:id="338" w:name="_T987764788_233911019"/>
      <w:r>
        <w:rPr>
          <w:rFonts w:hint="eastAsia"/>
          <w:lang w:eastAsia="zh"/>
        </w:rPr>
        <w:t>这是谁</w:t>
      </w:r>
    </w:p>
    <w:bookmarkEnd w:id="338"/>
  </w:comment>
  <w:comment w:id="2" w:author="白日梦想家" w:date="2026-10-17T18:19:15Z" w:initials="">
    <w:p w14:paraId="343737BF">
      <w:pPr>
        <w:pStyle w:val="15"/>
        <w:rPr>
          <w:rFonts w:hint="eastAsia" w:eastAsia="方正仿宋_GBK"/>
          <w:lang w:eastAsia="zh"/>
        </w:rPr>
      </w:pPr>
      <w:bookmarkStart w:id="339" w:name="_T814036390_233911019"/>
      <w:r>
        <w:rPr>
          <w:rFonts w:hint="eastAsia"/>
          <w:lang w:eastAsia="zh"/>
        </w:rPr>
        <w:t>是否都是110kV变电站，如果研究的只有110变电站，第一行，就写110kV变电站，表中不要再出现110kV的字样。</w:t>
      </w:r>
    </w:p>
    <w:bookmarkEnd w:id="339"/>
  </w:comment>
  <w:comment w:id="3" w:author="白日梦想家" w:date="2026-10-17T18:19:31Z" w:initials="">
    <w:p w14:paraId="2C0803F5">
      <w:pPr>
        <w:pStyle w:val="15"/>
        <w:rPr>
          <w:rFonts w:hint="eastAsia" w:eastAsia="方正仿宋_GBK"/>
          <w:lang w:eastAsia="zh"/>
        </w:rPr>
      </w:pPr>
      <w:bookmarkStart w:id="340" w:name="_T1655517830_233911019"/>
      <w:r>
        <w:rPr>
          <w:rFonts w:hint="eastAsia"/>
          <w:lang w:eastAsia="zh"/>
        </w:rPr>
        <w:t>有没有35kV的</w:t>
      </w:r>
    </w:p>
    <w:bookmarkEnd w:id="340"/>
  </w:comment>
  <w:comment w:id="4" w:author="白日梦想家" w:date="2026-10-17T18:21:55Z" w:initials="">
    <w:p w14:paraId="29616F1F">
      <w:pPr>
        <w:pStyle w:val="15"/>
        <w:rPr>
          <w:rFonts w:hint="eastAsia" w:eastAsia="方正仿宋_GBK"/>
          <w:lang w:eastAsia="zh"/>
        </w:rPr>
      </w:pPr>
      <w:bookmarkStart w:id="341" w:name="_T449487791_233911019"/>
      <w:r>
        <w:rPr>
          <w:rFonts w:hint="eastAsia"/>
          <w:lang w:eastAsia="zh"/>
        </w:rPr>
        <w:t>这十三项候选是否囊括了参考文献中提到的影响容载比的指标</w:t>
      </w:r>
    </w:p>
    <w:bookmarkEnd w:id="341"/>
  </w:comment>
  <w:comment w:id="5" w:author="白日梦想家" w:date="2026-10-17T18:29:49Z" w:initials="">
    <w:p w14:paraId="3805279A">
      <w:pPr>
        <w:pStyle w:val="15"/>
        <w:rPr>
          <w:rFonts w:hint="eastAsia" w:eastAsia="方正仿宋_GBK"/>
          <w:lang w:eastAsia="zh"/>
        </w:rPr>
      </w:pPr>
      <w:bookmarkStart w:id="342" w:name="_T1948223348_233911019"/>
      <w:r>
        <w:rPr>
          <w:rFonts w:hint="eastAsia"/>
          <w:lang w:eastAsia="zh"/>
        </w:rPr>
        <w:t>负荷分散系数取1是否合理，显示是否存在可能取到1.15以上？</w:t>
      </w:r>
    </w:p>
    <w:bookmarkEnd w:id="342"/>
  </w:comment>
  <w:comment w:id="6" w:author="白日梦想家" w:date="2026-10-17T18:35:47Z" w:initials="">
    <w:p w14:paraId="4E658D44">
      <w:pPr>
        <w:pStyle w:val="15"/>
        <w:rPr>
          <w:rFonts w:hint="eastAsia" w:eastAsia="方正仿宋_GBK"/>
          <w:lang w:eastAsia="zh"/>
        </w:rPr>
      </w:pPr>
      <w:bookmarkStart w:id="343" w:name="_T51724931_233911019"/>
      <w:r>
        <w:rPr>
          <w:rFonts w:hint="eastAsia"/>
          <w:lang w:eastAsia="zh"/>
        </w:rPr>
        <w:t>新增1回10kV线路的供电能力是怎么得来的？</w:t>
      </w:r>
    </w:p>
    <w:bookmarkEnd w:id="343"/>
  </w:comment>
  <w:comment w:id="7" w:author="白日梦想家" w:date="2026-10-17T18:54:16Z" w:initials="">
    <w:p w14:paraId="589CAF3E">
      <w:pPr>
        <w:pStyle w:val="15"/>
        <w:rPr>
          <w:rFonts w:hint="eastAsia" w:eastAsia="方正仿宋_GBK"/>
          <w:lang w:eastAsia="zh"/>
        </w:rPr>
      </w:pPr>
      <w:bookmarkStart w:id="344" w:name="_T1821941005_233911019"/>
      <w:r>
        <w:rPr>
          <w:rFonts w:hint="eastAsia"/>
          <w:lang w:eastAsia="zh"/>
        </w:rPr>
        <w:t>标题改为：供电安全及供电能力约束</w:t>
      </w:r>
    </w:p>
    <w:bookmarkEnd w:id="344"/>
  </w:comment>
  <w:comment w:id="8" w:author="白日梦想家" w:date="2026-10-17T18:46:40Z" w:initials="">
    <w:p w14:paraId="641D9167">
      <w:pPr>
        <w:pStyle w:val="15"/>
        <w:rPr>
          <w:rFonts w:hint="eastAsia" w:eastAsia="方正仿宋_GBK"/>
          <w:lang w:eastAsia="zh"/>
        </w:rPr>
      </w:pPr>
      <w:bookmarkStart w:id="345" w:name="_T2098182985_233911019"/>
      <w:r>
        <w:rPr>
          <w:rFonts w:hint="eastAsia"/>
          <w:lang w:eastAsia="zh"/>
        </w:rPr>
        <w:t>为什么不把2021年的数据放出来，2021年不是基期年吗</w:t>
      </w:r>
    </w:p>
    <w:bookmarkEnd w:id="345"/>
  </w:comment>
  <w:comment w:id="9" w:author="白日梦想家" w:date="2026-10-17T18:50:28Z" w:initials="">
    <w:p w14:paraId="219532EC">
      <w:pPr>
        <w:pStyle w:val="15"/>
        <w:rPr>
          <w:rFonts w:hint="eastAsia" w:eastAsia="方正仿宋_GBK"/>
          <w:lang w:eastAsia="zh"/>
        </w:rPr>
      </w:pPr>
      <w:bookmarkStart w:id="346"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346"/>
  </w:comment>
  <w:comment w:id="10" w:author="白日梦想家" w:date="2026-10-17T19:08:06Z" w:initials="">
    <w:p w14:paraId="388AC0F3">
      <w:pPr>
        <w:pStyle w:val="15"/>
        <w:rPr>
          <w:rFonts w:hint="eastAsia" w:eastAsia="方正仿宋_GBK"/>
          <w:lang w:eastAsia="zh"/>
        </w:rPr>
      </w:pPr>
      <w:bookmarkStart w:id="347"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347"/>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E10FD32" w15:done="0"/>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589CAF3E" w15:done="0"/>
  <w15:commentEx w15:paraId="641D9167" w15:done="0"/>
  <w15:commentEx w15:paraId="219532EC" w15:done="0"/>
  <w15:commentEx w15:paraId="388AC0F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h">
    <w15:presenceInfo w15:providerId="None" w15:userId="xh"/>
  </w15:person>
  <w15:person w15:author="白日梦想家">
    <w15:presenceInfo w15:providerId="WPS Office" w15:userId="886633066"/>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204" Type="http://schemas.openxmlformats.org/officeDocument/2006/relationships/image" Target="media/rId204.png"/><Relationship Id="rId98" Type="http://schemas.openxmlformats.org/officeDocument/2006/relationships/image" Target="media/rId98.png"/><Relationship Id="rId114" Type="http://schemas.openxmlformats.org/officeDocument/2006/relationships/image" Target="media/rId114.png"/><Relationship Id="rId283" Type="http://schemas.openxmlformats.org/officeDocument/2006/relationships/image" Target="media/rId283.png"/><Relationship Id="rId205" Type="http://schemas.openxmlformats.org/officeDocument/2006/relationships/image" Target="media/rId205.png"/><Relationship Id="rId137" Type="http://schemas.openxmlformats.org/officeDocument/2006/relationships/image" Target="media/rId137.png"/><Relationship Id="rId117" Type="http://schemas.openxmlformats.org/officeDocument/2006/relationships/image" Target="media/rId117.png"/><Relationship Id="rId113" Type="http://schemas.openxmlformats.org/officeDocument/2006/relationships/image" Target="media/rId113.png"/><Relationship Id="rId261" Type="http://schemas.openxmlformats.org/officeDocument/2006/relationships/image" Target="media/rId261.png"/><Relationship Id="rId285" Type="http://schemas.openxmlformats.org/officeDocument/2006/relationships/image" Target="media/rId285.png"/><Relationship Id="rId279" Type="http://schemas.openxmlformats.org/officeDocument/2006/relationships/image" Target="media/rId279.png"/><Relationship Id="rId128" Type="http://schemas.openxmlformats.org/officeDocument/2006/relationships/image" Target="media/rId128.png"/><Relationship Id="rId281" Type="http://schemas.openxmlformats.org/officeDocument/2006/relationships/image" Target="media/rId281.png"/><Relationship Id="rId99" Type="http://schemas.openxmlformats.org/officeDocument/2006/relationships/image" Target="media/rId99.png"/><Relationship Id="rId143" Type="http://schemas.openxmlformats.org/officeDocument/2006/relationships/image" Target="media/rId143.png"/><Relationship Id="rId125" Type="http://schemas.openxmlformats.org/officeDocument/2006/relationships/image" Target="media/rId125.png"/><Relationship Id="rId264" Type="http://schemas.openxmlformats.org/officeDocument/2006/relationships/image" Target="media/rId264.png"/><Relationship Id="rId208" Type="http://schemas.openxmlformats.org/officeDocument/2006/relationships/image" Target="media/rId208.png"/><Relationship Id="rId179" Type="http://schemas.openxmlformats.org/officeDocument/2006/relationships/image" Target="media/rId179.png"/><Relationship Id="rId163" Type="http://schemas.openxmlformats.org/officeDocument/2006/relationships/image" Target="media/rId163.png"/><Relationship Id="rId110" Type="http://schemas.openxmlformats.org/officeDocument/2006/relationships/image" Target="media/rId110.png"/><Relationship Id="rId273" Type="http://schemas.openxmlformats.org/officeDocument/2006/relationships/image" Target="media/rId273.png"/><Relationship Id="rId209" Type="http://schemas.openxmlformats.org/officeDocument/2006/relationships/image" Target="media/rId209.png"/><Relationship Id="rId202" Type="http://schemas.openxmlformats.org/officeDocument/2006/relationships/image" Target="media/rId202.png"/><Relationship Id="rId135" Type="http://schemas.openxmlformats.org/officeDocument/2006/relationships/image" Target="media/rId135.png"/><Relationship Id="rId116" Type="http://schemas.openxmlformats.org/officeDocument/2006/relationships/image" Target="media/rId116.png"/><Relationship Id="rId112" Type="http://schemas.openxmlformats.org/officeDocument/2006/relationships/image" Target="media/rId112.png"/><Relationship Id="rId233" Type="http://schemas.openxmlformats.org/officeDocument/2006/relationships/image" Target="media/rId233.png"/><Relationship Id="rId211" Type="http://schemas.openxmlformats.org/officeDocument/2006/relationships/image" Target="media/rId211.png"/><Relationship Id="rId210" Type="http://schemas.openxmlformats.org/officeDocument/2006/relationships/image" Target="media/rId210.png"/><Relationship Id="rId275" Type="http://schemas.openxmlformats.org/officeDocument/2006/relationships/image" Target="media/rId275.png"/><Relationship Id="rId104" Type="http://schemas.openxmlformats.org/officeDocument/2006/relationships/image" Target="media/rId104.png"/><Relationship Id="rId145" Type="http://schemas.openxmlformats.org/officeDocument/2006/relationships/image" Target="media/rId145.png"/><Relationship Id="rId119" Type="http://schemas.openxmlformats.org/officeDocument/2006/relationships/image" Target="media/rId119.png"/><Relationship Id="rId169" Type="http://schemas.openxmlformats.org/officeDocument/2006/relationships/image" Target="media/rId169.png"/><Relationship Id="rId170" Type="http://schemas.openxmlformats.org/officeDocument/2006/relationships/image" Target="media/rId170.png"/><Relationship Id="rId42" Type="http://schemas.openxmlformats.org/officeDocument/2006/relationships/image" Target="media/rId42.png"/><Relationship Id="rId155" Type="http://schemas.openxmlformats.org/officeDocument/2006/relationships/image" Target="media/rId155.png"/><Relationship Id="rId157" Type="http://schemas.openxmlformats.org/officeDocument/2006/relationships/image" Target="media/rId157.png"/><Relationship Id="rId277" Type="http://schemas.openxmlformats.org/officeDocument/2006/relationships/image" Target="media/rId277.png"/><Relationship Id="rId268" Type="http://schemas.openxmlformats.org/officeDocument/2006/relationships/image" Target="media/rId268.png"/><Relationship Id="rId286" Type="http://schemas.microsoft.com/office/2011/relationships/people" Target="people.xml"/><Relationship Id="rId287"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182</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2026-10-18T15:05:06Z</dcterms:created>
  <dcterms:modified xsi:type="dcterms:W3CDTF">2026-10-18T15:05:06Z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