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93" w:lineRule="auto" w:after="100"/>
        <w:jc w:val="center"/>
      </w:pPr>
      <w:r>
        <w:rPr>
          <w:rFonts w:ascii="Times New Roman" w:hAnsi="Times New Roman" w:eastAsia="方正仿宋_GBK"/>
          <w:b/>
          <w:sz w:val="34"/>
        </w:rPr>
        <w:t>徐州地区110 kV电网弹性容载比研究</w:t>
      </w:r>
    </w:p>
    <w:p>
      <w:pPr>
        <w:keepNext/>
        <w:spacing w:line="293" w:lineRule="auto" w:after="240"/>
        <w:jc w:val="center"/>
      </w:pPr>
      <w:r>
        <w:rPr>
          <w:rFonts w:ascii="Times New Roman" w:hAnsi="Times New Roman" w:eastAsia="方正仿宋_GBK"/>
          <w:b w:val="0"/>
          <w:sz w:val="22"/>
        </w:rPr>
        <w:t>供电公司讨论材料</w:t>
      </w:r>
    </w:p>
    <w:p>
      <w:pPr>
        <w:keepNext/>
        <w:spacing w:line="293" w:lineRule="auto" w:after="100" w:before="120"/>
        <w:jc w:val="both"/>
      </w:pPr>
      <w:r>
        <w:rPr>
          <w:rFonts w:ascii="Times New Roman" w:hAnsi="Times New Roman" w:eastAsia="方正仿宋_GBK"/>
          <w:b/>
          <w:sz w:val="26"/>
        </w:rPr>
        <w:t>研究背景与拟解决的问题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分布式光伏接入后，日间网供负荷下降，部分站点出现反向输送；晚间用电高峰仍需电网支撑。区域主变总容量充足，也可能存在个别站点容量紧张、邻站余量难以利用的情况。单独用一个容载比数值控制建设，难以同时反映正反向功率、主变故障和站间转供需求。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本研究以邳州和徐州市区为案例，讨论在满足供电安全约束的前提下，如何组合主变增容、10 kV联络和储能，形成适合不同片区的容量配置。容载比按同一地区110 kV公用主变总容量（MVA）与年网供最大负荷（MW）之比计算。</w:t>
      </w:r>
    </w:p>
    <w:p>
      <w:pPr>
        <w:keepNext/>
        <w:spacing w:line="293" w:lineRule="auto" w:after="100" w:before="120"/>
        <w:jc w:val="both"/>
      </w:pPr>
      <w:r>
        <w:rPr>
          <w:rFonts w:ascii="Times New Roman" w:hAnsi="Times New Roman" w:eastAsia="方正仿宋_GBK"/>
          <w:b/>
          <w:sz w:val="26"/>
        </w:rPr>
        <w:t>比选方案与共同条件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采用2022—2025年实际年度负荷回算，两类方案共用各地区的初始设备和候选网络，分别校核正向峰值、日间最低净负荷及最大单台主变退出运行（N-1）工况。刚性方案以2.00控制新增主变后的容载比；弹性方案允许突破该控制值，由满足约束的设备组合确定容量。负荷回落造成的既有容量被动超限保留。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三类建设措施统一比较费用：主变增容增加本站容量，联络利用邻站可用容量，储能补充一定时间内的功率缺口。正向储能支撑统一取4 h，按额定功率和可用电量共同核定。费用按6%折现率计算至2041年，计入建设、固定运维和规定更新费用。</w:t>
      </w:r>
    </w:p>
    <w:p>
      <w:pPr>
        <w:keepNext/>
        <w:spacing w:line="293" w:lineRule="auto" w:after="100" w:before="120"/>
        <w:jc w:val="both"/>
      </w:pPr>
      <w:r>
        <w:rPr>
          <w:rFonts w:ascii="Times New Roman" w:hAnsi="Times New Roman" w:eastAsia="方正仿宋_GBK"/>
          <w:b/>
          <w:sz w:val="26"/>
        </w:rPr>
        <w:t>两地区比选结果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以下为模型回算方案的2025年配置，不代表实际投运安排。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地区／方案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主变容量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容载比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储能功率</w:t>
              <w:br/>
              <w:t>MW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累计新增联络</w:t>
              <w:br/>
              <w:t>条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费用现值</w:t>
              <w:br/>
              <w:t>万元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邳州刚性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1782.50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1.86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32.90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61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34468.84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邳州弹性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1955.50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2.04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26103.52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市区刚性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2937.00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1.92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4.80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138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85750.47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市区弹性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2.17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0.50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64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58346.09</w:t>
            </w:r>
          </w:p>
        </w:tc>
      </w:tr>
    </w:tbl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两地区费用现值合计由120219.30万元降至84449.61万元，减少35769.70万元，约30%。邳州和市区分别减少8365.32万元、27404.38万元。</w:t>
      </w:r>
    </w:p>
    <w:p>
      <w:r>
        <w:br w:type="page"/>
      </w:r>
    </w:p>
    <w:p>
      <w:pPr>
        <w:keepNext/>
        <w:spacing w:line="293" w:lineRule="auto" w:after="100" w:before="120"/>
        <w:jc w:val="both"/>
      </w:pPr>
      <w:r>
        <w:rPr>
          <w:rFonts w:ascii="Times New Roman" w:hAnsi="Times New Roman" w:eastAsia="方正仿宋_GBK"/>
          <w:b/>
          <w:sz w:val="26"/>
        </w:rPr>
        <w:t>两地区弹性方案的逐年建设措施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表中列示各年新购主变、新增联络和新增储能，以及年末容量与容载比。新购主变容量包括更换和扩建所购设备的容量。</w:t>
      </w:r>
    </w:p>
    <w:p>
      <w:pPr>
        <w:keepNext/>
        <w:spacing w:line="293" w:lineRule="auto" w:after="80" w:before="80"/>
        <w:jc w:val="both"/>
      </w:pPr>
      <w:r>
        <w:rPr>
          <w:rFonts w:ascii="Times New Roman" w:hAnsi="Times New Roman" w:eastAsia="方正仿宋_GBK"/>
          <w:b/>
          <w:sz w:val="23"/>
        </w:rPr>
        <w:t>邳州案例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年份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当年新购主变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当年新增联络</w:t>
              <w:br/>
              <w:t>条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当年新增储能</w:t>
              <w:br/>
              <w:t>MW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年末主变容量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年末容载比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2022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855.00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21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2.34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2023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2.54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2024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2.24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2025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63.00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1955.50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2.04</w:t>
            </w:r>
          </w:p>
        </w:tc>
      </w:tr>
    </w:tbl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邳州的主要容量调整集中在2022年，年末主变容量达到1932.50 MVA。2023年负荷回落、主变容量不变，容载比暂时升至2.54；随后随负荷回升降至2.24。2025年新购主变63 MVA用于设备更换，净增容量23 MVA，并新增6条联络，使年末容载比为2.04。四年累计建设联络30条，未配置储能。</w:t>
      </w:r>
    </w:p>
    <w:p>
      <w:pPr>
        <w:keepNext/>
        <w:spacing w:line="293" w:lineRule="auto" w:after="80" w:before="80"/>
        <w:jc w:val="both"/>
      </w:pPr>
      <w:r>
        <w:rPr>
          <w:rFonts w:ascii="Times New Roman" w:hAnsi="Times New Roman" w:eastAsia="方正仿宋_GBK"/>
          <w:b/>
          <w:sz w:val="23"/>
        </w:rPr>
        <w:t>市区案例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年份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当年新购主变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当年新增联络</w:t>
              <w:br/>
              <w:t>条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当年新增储能</w:t>
              <w:br/>
              <w:t>MW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年末主变容量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年末容载比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2022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823.00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53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2.32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2023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11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0.50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2.16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2024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2.29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2025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2.17</w:t>
            </w:r>
          </w:p>
        </w:tc>
      </w:tr>
    </w:tbl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市区在2022年完成主变调整，容量由初始2900.00 MVA增至3324.00 MVA；2023年新增11条联络和0.50 MW储能，满足当年较高负荷下的局部需求。2024—2025年沿用已有配置，容载比随年度负荷分别为2.29和2.17。四年累计建设联络64条。</w:t>
      </w:r>
    </w:p>
    <w:p>
      <w:pPr>
        <w:keepNext/>
        <w:spacing w:line="293" w:lineRule="auto" w:after="100" w:before="120"/>
        <w:jc w:val="both"/>
      </w:pPr>
      <w:r>
        <w:rPr>
          <w:rFonts w:ascii="Times New Roman" w:hAnsi="Times New Roman" w:eastAsia="方正仿宋_GBK"/>
          <w:b/>
          <w:sz w:val="26"/>
        </w:rPr>
        <w:t>结果反映的规划含义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与刚性方案相比，弹性方案通过增加部分主变容量，减少储能和新增联络需求。邳州储能功率由32.90 MW降至零，市区由4.80 MW降至0.50 MW；新增联络分别减少31条、74条。容量、网络和储能的组合调整降低了评价期费用。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转供作用取决于具体路径、馈线可转负荷和邻站余量。邳州需同时关注正向供电与日间反向输送，市区重点分析站间承接能力。补齐后的区域小时曲线显示，两地区95%峰值最长连续时段分别为2 h和6 h；储能支撑时间还需结合本站功率缺口与故障恢复时间确定。</w:t>
      </w:r>
    </w:p>
    <w:p>
      <w:r>
        <w:br w:type="page"/>
      </w:r>
    </w:p>
    <w:p>
      <w:pPr>
        <w:keepNext/>
        <w:spacing w:line="293" w:lineRule="auto" w:after="100" w:before="120"/>
        <w:jc w:val="both"/>
      </w:pPr>
      <w:r>
        <w:rPr>
          <w:rFonts w:ascii="Times New Roman" w:hAnsi="Times New Roman" w:eastAsia="方正仿宋_GBK"/>
          <w:b/>
          <w:sz w:val="26"/>
        </w:rPr>
        <w:t>容载比推荐区间及应用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推广计算覆盖分布式电源装机渗透率、年最大净负荷平均增长率、线路成本系数、初始转供率、储能支撑持续时间及负荷分散系数，12600组组合形成648个分类单元。以下摘录线路成本系数大于1.65且不大于6.85、储能支撑持续时间大于2 h且不大于4 h、负荷分散系数不大于1.10的推荐参考区间。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分布式电源</w:t>
              <w:br/>
              <w:t>装机渗透率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年最大净负荷</w:t>
              <w:br/>
              <w:t>平均增长率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初始转供率</w:t>
              <w:br/>
              <w:t>≤30%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初始转供率</w:t>
              <w:br/>
              <w:t>(30%, 50%]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初始转供率</w:t>
              <w:br/>
              <w:t>&gt;50%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2.05～2.23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2.05～2.14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2.05～2.14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2.09～2.22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2.02～2.22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2.02～2.10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2.07～2.24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2.02～2.24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2.02～2.08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2.06～2.46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2.01～2.46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2.01～2.46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2.07～2.32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2.03～2.32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2.03～2.32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  <w:tc>
          <w:tcPr>
            <w:tcW w:type="dxa" w:w="1928"/>
            <w:vAlign w:val="center"/>
          </w:tcPr>
          <w:p>
            <w:pPr>
              <w:spacing w:after="60" w:before="60" w:line="252" w:lineRule="auto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</w:tr>
    </w:tbl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较低装机渗透率下，提高初始转供率可降低部分区间的容量需求。例如，装机渗透率不大于1.00、增长率大于4%且不大于7%时，初始转供率不大于30%的容载比范围为2.09～2.22，超过50%时为2.02～2.10。较高装机渗透率下，反向功率需求较强，相应容量范围整体提高。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推荐区间用于相应模板条件下的初步比选，按片区实际主变规格、联络能力及扩建条件落实设备和投运时序。地区案例的2025年弹性方案容载比为邳州2.04、市区2.17。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线路成本系数反映联络工程中电缆与架空线的造价差异。当前参考基价下，电缆长度占比10%、90%分别对应系数1.65、6.85；市区电缆与架空线的比例会影响新增联络与主变、储能的费用比较。</w:t>
      </w:r>
    </w:p>
    <w:p>
      <w:pPr>
        <w:keepNext/>
        <w:spacing w:line="293" w:lineRule="auto" w:after="100" w:before="120"/>
        <w:jc w:val="both"/>
      </w:pPr>
      <w:r>
        <w:rPr>
          <w:rFonts w:ascii="Times New Roman" w:hAnsi="Times New Roman" w:eastAsia="方正仿宋_GBK"/>
          <w:b/>
          <w:sz w:val="26"/>
        </w:rPr>
        <w:t>待与电力公司讨论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1、市区、邳州的转供率如何考虑？</w:t>
      </w:r>
    </w:p>
    <w:p>
      <w:pPr>
        <w:spacing w:line="293" w:lineRule="auto" w:after="100"/>
        <w:ind w:firstLine="460"/>
        <w:jc w:val="both"/>
      </w:pPr>
      <w:r>
        <w:rPr>
          <w:rFonts w:ascii="Times New Roman" w:hAnsi="Times New Roman" w:eastAsia="方正仿宋_GBK"/>
          <w:b w:val="0"/>
          <w:sz w:val="23"/>
        </w:rPr>
        <w:t>2、市区的电缆化率如何考虑（电缆和架空线比例）？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/>
        <w:b w:val="0"/>
        <w:sz w:val="18"/>
      </w:rPr>
      <w:t xml:space="preserve">徐州地区110 kV电网弹性容载比研究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方正仿宋_GBK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