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line="300" w:lineRule="auto" w:before="2800" w:after="1000"/>
        <w:ind w:firstLine="0"/>
        <w:jc w:val="center"/>
      </w:pPr>
      <w:r>
        <w:rPr>
          <w:rFonts w:ascii="Times New Roman" w:hAnsi="Times New Roman" w:eastAsia="方正仿宋_GBK"/>
          <w:b/>
          <w:sz w:val="44"/>
        </w:rPr>
        <w:t>徐州地区分布式新能源高渗透率地区110 kV电网容载比弹性指标优化研究</w:t>
      </w:r>
    </w:p>
    <w:p>
      <w:pPr>
        <w:spacing w:line="300" w:lineRule="auto"/>
        <w:ind w:firstLine="0"/>
        <w:jc w:val="center"/>
      </w:pPr>
      <w:r>
        <w:rPr>
          <w:rFonts w:ascii="Times New Roman" w:hAnsi="Times New Roman" w:eastAsia="方正仿宋_GBK"/>
          <w:b/>
          <w:sz w:val="40"/>
        </w:rPr>
        <w:t>研究报告</w:t>
      </w:r>
    </w:p>
    <w:p>
      <w:pPr>
        <w:spacing w:line="300" w:lineRule="auto" w:before="2400"/>
        <w:ind w:firstLine="0"/>
        <w:jc w:val="center"/>
      </w:pPr>
      <w:r>
        <w:rPr>
          <w:rFonts w:ascii="Times New Roman" w:hAnsi="Times New Roman" w:eastAsia="方正仿宋_GBK"/>
          <w:b w:val="0"/>
          <w:sz w:val="28"/>
        </w:rPr>
        <w:t>2026年10月</w:t>
      </w:r>
    </w:p>
    <w:p>
      <w:pPr>
        <w:pageBreakBefore/>
        <w:spacing w:line="300" w:lineRule="auto" w:after="400"/>
        <w:ind w:firstLine="0"/>
        <w:jc w:val="center"/>
      </w:pPr>
      <w:r>
        <w:rPr>
          <w:rFonts w:ascii="Times New Roman" w:hAnsi="Times New Roman" w:eastAsia="方正仿宋_GBK"/>
          <w:b/>
          <w:sz w:val="36"/>
        </w:rPr>
        <w:t>内容提要</w:t>
      </w:r>
    </w:p>
    <w:p>
      <w:pPr>
        <w:spacing w:line="300" w:lineRule="auto" w:after="200"/>
        <w:ind w:firstLine="480"/>
        <w:jc w:val="both"/>
      </w:pPr>
      <w:r>
        <w:rPr>
          <w:rFonts w:ascii="Times New Roman" w:hAnsi="Times New Roman" w:eastAsia="方正仿宋_GBK"/>
          <w:b w:val="0"/>
          <w:sz w:val="24"/>
        </w:rPr>
        <w:t>分布式新能源接入后，110 kV主变同时承担正向供电和反向输送需求，增加容量又可能使区域容载比超过一般规划上限。本研究以徐州邳州和市区为案例，分析新能源渗透指标与传统容载比的关系。弹性容载比是本课题采用的研究概念，指满足相同技术约束、经全寿命费用比较确定、允许适度偏离一般容载比上限的取值。</w:t>
      </w:r>
    </w:p>
    <w:p>
      <w:pPr>
        <w:spacing w:line="300" w:lineRule="auto" w:after="200"/>
        <w:ind w:firstLine="480"/>
        <w:jc w:val="both"/>
      </w:pPr>
      <w:r>
        <w:rPr>
          <w:rFonts w:ascii="Times New Roman" w:hAnsi="Times New Roman" w:eastAsia="方正仿宋_GBK"/>
          <w:b w:val="0"/>
          <w:sz w:val="24"/>
        </w:rPr>
        <w:t>研究分析年度负荷、光伏规模和变电站净负荷，列出候选指标并开展同口径相关性分析，结合容量约束识别核心参数。费用采用实际主变工程及储能采购资料；主变、线路寿命均为40年，储能为25年，变电和线路维护费率分别为4.20%/年、2.20%/年。刚性、弹性方案共用本地区容载比2.00仿真起点，后续四年校核正常运行、主变N-1、反向容量和负荷转接条件。</w:t>
      </w:r>
    </w:p>
    <w:p>
      <w:pPr>
        <w:spacing w:line="300" w:lineRule="auto" w:after="200"/>
        <w:ind w:firstLine="480"/>
        <w:jc w:val="both"/>
      </w:pPr>
      <w:r>
        <w:rPr>
          <w:rFonts w:ascii="Times New Roman" w:hAnsi="Times New Roman" w:eastAsia="方正仿宋_GBK"/>
          <w:b w:val="0"/>
          <w:sz w:val="24"/>
        </w:rPr>
        <w:t>规划第4年，邳州刚性、弹性容载比分别为1.97、2.20，市区为1.95、2.20。两地区新增措施全寿命费用现值分别合计159191.34万元和47659.61万元，弹性方案降低70.06%。该费用比较对应本研究的负荷、技术条件和参考价格。</w:t>
      </w:r>
    </w:p>
    <w:p>
      <w:pPr>
        <w:spacing w:line="300" w:lineRule="auto" w:after="200"/>
        <w:ind w:firstLine="480"/>
        <w:jc w:val="both"/>
      </w:pPr>
      <w:r>
        <w:rPr>
          <w:rFonts w:ascii="Times New Roman" w:hAnsi="Times New Roman" w:eastAsia="方正仿宋_GBK"/>
          <w:b w:val="0"/>
          <w:sz w:val="24"/>
        </w:rPr>
        <w:t>通用外推按导则供电区域类别构造A类与B/C类五站模板，并将架空为主、电缆为主两类线路与源荷、增长率、峰段及价格条件交叉计算，完成25200组目标年静态比选。结果形成108行参考档位矩阵，按0.20间隔列示主选档位与同档占比，并以热力图展示。规划中按片区条件选择比选起点，保留2.00上限刚性方案作费用对照，再以实际设备、线路及价格确定建设方案。</w:t>
      </w:r>
    </w:p>
    <w:p>
      <w:pPr>
        <w:pageBreakBefore/>
        <w:spacing w:line="300" w:lineRule="auto" w:after="300"/>
        <w:ind w:firstLine="0"/>
        <w:jc w:val="center"/>
      </w:pPr>
      <w:r>
        <w:rPr>
          <w:rFonts w:ascii="Times New Roman" w:hAnsi="Times New Roman" w:eastAsia="方正仿宋_GBK"/>
          <w:b/>
          <w:sz w:val="36"/>
        </w:rPr>
        <w:t>目  录</w:t>
      </w:r>
    </w:p>
    <w:p>
      <w:pPr>
        <w:tabs>
          <w:tab w:pos="8220" w:val="right" w:leader="dot"/>
        </w:tabs>
        <w:spacing w:line="300" w:lineRule="auto" w:after="40"/>
        <w:ind w:firstLine="0" w:left="0"/>
        <w:jc w:val="left"/>
      </w:pPr>
      <w:r>
        <w:rPr>
          <w:rFonts w:ascii="Times New Roman" w:hAnsi="Times New Roman" w:eastAsia="方正仿宋_GBK"/>
          <w:b/>
          <w:sz w:val="24"/>
        </w:rPr>
        <w:t>第一章 绪论</w:t>
      </w:r>
      <w:r>
        <w:rPr>
          <w:rFonts w:ascii="Times New Roman" w:hAnsi="Times New Roman" w:eastAsia="方正仿宋_GBK"/>
          <w:b/>
          <w:sz w:val="24"/>
        </w:rPr>
        <w:tab/>
      </w:r>
      <w:fldSimple w:instr="PAGEREF h0 \h">
        <w:r>
          <w:t>5</w:t>
        </w:r>
      </w:fldSimple>
    </w:p>
    <w:p>
      <w:pPr>
        <w:tabs>
          <w:tab w:pos="8220" w:val="right" w:leader="dot"/>
        </w:tabs>
        <w:spacing w:line="300" w:lineRule="auto" w:after="40"/>
        <w:ind w:firstLine="0" w:left="240"/>
        <w:jc w:val="left"/>
      </w:pPr>
      <w:r>
        <w:rPr>
          <w:rFonts w:ascii="Times New Roman" w:hAnsi="Times New Roman" w:eastAsia="方正仿宋_GBK"/>
          <w:b w:val="0"/>
          <w:sz w:val="24"/>
        </w:rPr>
        <w:t>1.1 研究背景与意义</w:t>
      </w:r>
      <w:r>
        <w:rPr>
          <w:rFonts w:ascii="Times New Roman" w:hAnsi="Times New Roman" w:eastAsia="方正仿宋_GBK"/>
          <w:b w:val="0"/>
          <w:sz w:val="24"/>
        </w:rPr>
        <w:tab/>
      </w:r>
      <w:fldSimple w:instr="PAGEREF h1 \h">
        <w:r>
          <w:t>5</w:t>
        </w:r>
      </w:fldSimple>
    </w:p>
    <w:p>
      <w:pPr>
        <w:tabs>
          <w:tab w:pos="8220" w:val="right" w:leader="dot"/>
        </w:tabs>
        <w:spacing w:line="300" w:lineRule="auto" w:after="40"/>
        <w:ind w:firstLine="0" w:left="240"/>
        <w:jc w:val="left"/>
      </w:pPr>
      <w:r>
        <w:rPr>
          <w:rFonts w:ascii="Times New Roman" w:hAnsi="Times New Roman" w:eastAsia="方正仿宋_GBK"/>
          <w:b w:val="0"/>
          <w:sz w:val="24"/>
        </w:rPr>
        <w:t>1.2 主要概念与规范依据</w:t>
      </w:r>
      <w:r>
        <w:rPr>
          <w:rFonts w:ascii="Times New Roman" w:hAnsi="Times New Roman" w:eastAsia="方正仿宋_GBK"/>
          <w:b w:val="0"/>
          <w:sz w:val="24"/>
        </w:rPr>
        <w:tab/>
      </w:r>
      <w:fldSimple w:instr="PAGEREF h19 \h">
        <w:r>
          <w:t>7</w:t>
        </w:r>
      </w:fldSimple>
    </w:p>
    <w:p>
      <w:pPr>
        <w:tabs>
          <w:tab w:pos="8220" w:val="right" w:leader="dot"/>
        </w:tabs>
        <w:spacing w:line="300" w:lineRule="auto" w:after="40"/>
        <w:ind w:firstLine="0" w:left="240"/>
        <w:jc w:val="left"/>
      </w:pPr>
      <w:r>
        <w:rPr>
          <w:rFonts w:ascii="Times New Roman" w:hAnsi="Times New Roman" w:eastAsia="方正仿宋_GBK"/>
          <w:b w:val="0"/>
          <w:sz w:val="24"/>
        </w:rPr>
        <w:t>1.3 研究范围与对象</w:t>
      </w:r>
      <w:r>
        <w:rPr>
          <w:rFonts w:ascii="Times New Roman" w:hAnsi="Times New Roman" w:eastAsia="方正仿宋_GBK"/>
          <w:b w:val="0"/>
          <w:sz w:val="24"/>
        </w:rPr>
        <w:tab/>
      </w:r>
      <w:fldSimple w:instr="PAGEREF h33 \h">
        <w:r>
          <w:t>8</w:t>
        </w:r>
      </w:fldSimple>
    </w:p>
    <w:p>
      <w:pPr>
        <w:tabs>
          <w:tab w:pos="8220" w:val="right" w:leader="dot"/>
        </w:tabs>
        <w:spacing w:line="300" w:lineRule="auto" w:after="40"/>
        <w:ind w:firstLine="0" w:left="240"/>
        <w:jc w:val="left"/>
      </w:pPr>
      <w:r>
        <w:rPr>
          <w:rFonts w:ascii="Times New Roman" w:hAnsi="Times New Roman" w:eastAsia="方正仿宋_GBK"/>
          <w:b w:val="0"/>
          <w:sz w:val="24"/>
        </w:rPr>
        <w:t>1.4 研究目标与内容</w:t>
      </w:r>
      <w:r>
        <w:rPr>
          <w:rFonts w:ascii="Times New Roman" w:hAnsi="Times New Roman" w:eastAsia="方正仿宋_GBK"/>
          <w:b w:val="0"/>
          <w:sz w:val="24"/>
        </w:rPr>
        <w:tab/>
      </w:r>
      <w:fldSimple w:instr="PAGEREF h46 \h">
        <w:r>
          <w:t>9</w:t>
        </w:r>
      </w:fldSimple>
    </w:p>
    <w:p>
      <w:pPr>
        <w:tabs>
          <w:tab w:pos="8220" w:val="right" w:leader="dot"/>
        </w:tabs>
        <w:spacing w:line="300" w:lineRule="auto" w:after="40"/>
        <w:ind w:firstLine="0" w:left="240"/>
        <w:jc w:val="left"/>
      </w:pPr>
      <w:r>
        <w:rPr>
          <w:rFonts w:ascii="Times New Roman" w:hAnsi="Times New Roman" w:eastAsia="方正仿宋_GBK"/>
          <w:b w:val="0"/>
          <w:sz w:val="24"/>
        </w:rPr>
        <w:t>1.5 研究方法与技术路线</w:t>
      </w:r>
      <w:r>
        <w:rPr>
          <w:rFonts w:ascii="Times New Roman" w:hAnsi="Times New Roman" w:eastAsia="方正仿宋_GBK"/>
          <w:b w:val="0"/>
          <w:sz w:val="24"/>
        </w:rPr>
        <w:tab/>
      </w:r>
      <w:fldSimple w:instr="PAGEREF h58 \h">
        <w:r>
          <w:t>10</w:t>
        </w:r>
      </w:fldSimple>
    </w:p>
    <w:p>
      <w:pPr>
        <w:tabs>
          <w:tab w:pos="8220" w:val="right" w:leader="dot"/>
        </w:tabs>
        <w:spacing w:line="300" w:lineRule="auto" w:after="40"/>
        <w:ind w:firstLine="0" w:left="240"/>
        <w:jc w:val="left"/>
      </w:pPr>
      <w:r>
        <w:rPr>
          <w:rFonts w:ascii="Times New Roman" w:hAnsi="Times New Roman" w:eastAsia="方正仿宋_GBK"/>
          <w:b w:val="0"/>
          <w:sz w:val="24"/>
        </w:rPr>
        <w:t>1.6 研究成果及应用</w:t>
      </w:r>
      <w:r>
        <w:rPr>
          <w:rFonts w:ascii="Times New Roman" w:hAnsi="Times New Roman" w:eastAsia="方正仿宋_GBK"/>
          <w:b w:val="0"/>
          <w:sz w:val="24"/>
        </w:rPr>
        <w:tab/>
      </w:r>
      <w:fldSimple w:instr="PAGEREF h74 \h">
        <w:r>
          <w:t>12</w:t>
        </w:r>
      </w:fldSimple>
    </w:p>
    <w:p>
      <w:pPr>
        <w:tabs>
          <w:tab w:pos="8220" w:val="right" w:leader="dot"/>
        </w:tabs>
        <w:spacing w:line="300" w:lineRule="auto" w:after="40"/>
        <w:ind w:firstLine="0" w:left="0"/>
        <w:jc w:val="left"/>
      </w:pPr>
      <w:r>
        <w:rPr>
          <w:rFonts w:ascii="Times New Roman" w:hAnsi="Times New Roman" w:eastAsia="方正仿宋_GBK"/>
          <w:b/>
          <w:sz w:val="24"/>
        </w:rPr>
        <w:t>第二章 国内外研究现状</w:t>
      </w:r>
      <w:r>
        <w:rPr>
          <w:rFonts w:ascii="Times New Roman" w:hAnsi="Times New Roman" w:eastAsia="方正仿宋_GBK"/>
          <w:b/>
          <w:sz w:val="24"/>
        </w:rPr>
        <w:tab/>
      </w:r>
      <w:fldSimple w:instr="PAGEREF h77 \h">
        <w:r>
          <w:t>13</w:t>
        </w:r>
      </w:fldSimple>
    </w:p>
    <w:p>
      <w:pPr>
        <w:tabs>
          <w:tab w:pos="8220" w:val="right" w:leader="dot"/>
        </w:tabs>
        <w:spacing w:line="300" w:lineRule="auto" w:after="40"/>
        <w:ind w:firstLine="0" w:left="240"/>
        <w:jc w:val="left"/>
      </w:pPr>
      <w:r>
        <w:rPr>
          <w:rFonts w:ascii="Times New Roman" w:hAnsi="Times New Roman" w:eastAsia="方正仿宋_GBK"/>
          <w:b w:val="0"/>
          <w:sz w:val="24"/>
        </w:rPr>
        <w:t>2.1 国外研究现状</w:t>
      </w:r>
      <w:r>
        <w:rPr>
          <w:rFonts w:ascii="Times New Roman" w:hAnsi="Times New Roman" w:eastAsia="方正仿宋_GBK"/>
          <w:b w:val="0"/>
          <w:sz w:val="24"/>
        </w:rPr>
        <w:tab/>
      </w:r>
      <w:fldSimple w:instr="PAGEREF h80 \h">
        <w:r>
          <w:t>13</w:t>
        </w:r>
      </w:fldSimple>
    </w:p>
    <w:p>
      <w:pPr>
        <w:tabs>
          <w:tab w:pos="8220" w:val="right" w:leader="dot"/>
        </w:tabs>
        <w:spacing w:line="300" w:lineRule="auto" w:after="40"/>
        <w:ind w:firstLine="0" w:left="240"/>
        <w:jc w:val="left"/>
      </w:pPr>
      <w:r>
        <w:rPr>
          <w:rFonts w:ascii="Times New Roman" w:hAnsi="Times New Roman" w:eastAsia="方正仿宋_GBK"/>
          <w:b w:val="0"/>
          <w:sz w:val="24"/>
        </w:rPr>
        <w:t>2.2 国内研究现状</w:t>
      </w:r>
      <w:r>
        <w:rPr>
          <w:rFonts w:ascii="Times New Roman" w:hAnsi="Times New Roman" w:eastAsia="方正仿宋_GBK"/>
          <w:b w:val="0"/>
          <w:sz w:val="24"/>
        </w:rPr>
        <w:tab/>
      </w:r>
      <w:fldSimple w:instr="PAGEREF h102 \h">
        <w:r>
          <w:t>15</w:t>
        </w:r>
      </w:fldSimple>
    </w:p>
    <w:p>
      <w:pPr>
        <w:tabs>
          <w:tab w:pos="8220" w:val="right" w:leader="dot"/>
        </w:tabs>
        <w:spacing w:line="300" w:lineRule="auto" w:after="40"/>
        <w:ind w:firstLine="0" w:left="240"/>
        <w:jc w:val="left"/>
      </w:pPr>
      <w:r>
        <w:rPr>
          <w:rFonts w:ascii="Times New Roman" w:hAnsi="Times New Roman" w:eastAsia="方正仿宋_GBK"/>
          <w:b w:val="0"/>
          <w:sz w:val="24"/>
        </w:rPr>
        <w:t>2.3 国内外研究对比与述评</w:t>
      </w:r>
      <w:r>
        <w:rPr>
          <w:rFonts w:ascii="Times New Roman" w:hAnsi="Times New Roman" w:eastAsia="方正仿宋_GBK"/>
          <w:b w:val="0"/>
          <w:sz w:val="24"/>
        </w:rPr>
        <w:tab/>
      </w:r>
      <w:fldSimple w:instr="PAGEREF h140 \h">
        <w:r>
          <w:t>20</w:t>
        </w:r>
      </w:fldSimple>
    </w:p>
    <w:p>
      <w:pPr>
        <w:tabs>
          <w:tab w:pos="8220" w:val="right" w:leader="dot"/>
        </w:tabs>
        <w:spacing w:line="300" w:lineRule="auto" w:after="40"/>
        <w:ind w:firstLine="0" w:left="240"/>
        <w:jc w:val="left"/>
      </w:pPr>
      <w:r>
        <w:rPr>
          <w:rFonts w:ascii="Times New Roman" w:hAnsi="Times New Roman" w:eastAsia="方正仿宋_GBK"/>
          <w:b w:val="0"/>
          <w:sz w:val="24"/>
        </w:rPr>
        <w:t>2.4 容载比与供电能力的理论联系</w:t>
      </w:r>
      <w:r>
        <w:rPr>
          <w:rFonts w:ascii="Times New Roman" w:hAnsi="Times New Roman" w:eastAsia="方正仿宋_GBK"/>
          <w:b w:val="0"/>
          <w:sz w:val="24"/>
        </w:rPr>
        <w:tab/>
      </w:r>
      <w:fldSimple w:instr="PAGEREF h154 \h">
        <w:r>
          <w:t>21</w:t>
        </w:r>
      </w:fldSimple>
    </w:p>
    <w:p>
      <w:pPr>
        <w:tabs>
          <w:tab w:pos="8220" w:val="right" w:leader="dot"/>
        </w:tabs>
        <w:spacing w:line="300" w:lineRule="auto" w:after="40"/>
        <w:ind w:firstLine="0" w:left="240"/>
        <w:jc w:val="left"/>
      </w:pPr>
      <w:r>
        <w:rPr>
          <w:rFonts w:ascii="Times New Roman" w:hAnsi="Times New Roman" w:eastAsia="方正仿宋_GBK"/>
          <w:b w:val="0"/>
          <w:sz w:val="24"/>
        </w:rPr>
        <w:t>2.5 高渗透率下的源荷特征与容量压力</w:t>
      </w:r>
      <w:r>
        <w:rPr>
          <w:rFonts w:ascii="Times New Roman" w:hAnsi="Times New Roman" w:eastAsia="方正仿宋_GBK"/>
          <w:b w:val="0"/>
          <w:sz w:val="24"/>
        </w:rPr>
        <w:tab/>
      </w:r>
      <w:fldSimple w:instr="PAGEREF h168 \h">
        <w:r>
          <w:t>23</w:t>
        </w:r>
      </w:fldSimple>
    </w:p>
    <w:p>
      <w:pPr>
        <w:tabs>
          <w:tab w:pos="8220" w:val="right" w:leader="dot"/>
        </w:tabs>
        <w:spacing w:line="300" w:lineRule="auto" w:after="40"/>
        <w:ind w:firstLine="0" w:left="240"/>
        <w:jc w:val="left"/>
      </w:pPr>
      <w:r>
        <w:rPr>
          <w:rFonts w:ascii="Times New Roman" w:hAnsi="Times New Roman" w:eastAsia="方正仿宋_GBK"/>
          <w:b w:val="0"/>
          <w:sz w:val="24"/>
        </w:rPr>
        <w:t>2.6 主变、联络与储能的经济替代条件</w:t>
      </w:r>
      <w:r>
        <w:rPr>
          <w:rFonts w:ascii="Times New Roman" w:hAnsi="Times New Roman" w:eastAsia="方正仿宋_GBK"/>
          <w:b w:val="0"/>
          <w:sz w:val="24"/>
        </w:rPr>
        <w:tab/>
      </w:r>
      <w:fldSimple w:instr="PAGEREF h185 \h">
        <w:r>
          <w:t>24</w:t>
        </w:r>
      </w:fldSimple>
    </w:p>
    <w:p>
      <w:pPr>
        <w:tabs>
          <w:tab w:pos="8220" w:val="right" w:leader="dot"/>
        </w:tabs>
        <w:spacing w:line="300" w:lineRule="auto" w:after="40"/>
        <w:ind w:firstLine="0" w:left="240"/>
        <w:jc w:val="left"/>
      </w:pPr>
      <w:r>
        <w:rPr>
          <w:rFonts w:ascii="Times New Roman" w:hAnsi="Times New Roman" w:eastAsia="方正仿宋_GBK"/>
          <w:b w:val="0"/>
          <w:sz w:val="24"/>
        </w:rPr>
        <w:t>2.7 规划寻优方法与本项目选型</w:t>
      </w:r>
      <w:r>
        <w:rPr>
          <w:rFonts w:ascii="Times New Roman" w:hAnsi="Times New Roman" w:eastAsia="方正仿宋_GBK"/>
          <w:b w:val="0"/>
          <w:sz w:val="24"/>
        </w:rPr>
        <w:tab/>
      </w:r>
      <w:fldSimple w:instr="PAGEREF h199 \h">
        <w:r>
          <w:t>25</w:t>
        </w:r>
      </w:fldSimple>
    </w:p>
    <w:p>
      <w:pPr>
        <w:tabs>
          <w:tab w:pos="8220" w:val="right" w:leader="dot"/>
        </w:tabs>
        <w:spacing w:line="300" w:lineRule="auto" w:after="40"/>
        <w:ind w:firstLine="0" w:left="240"/>
        <w:jc w:val="left"/>
      </w:pPr>
      <w:r>
        <w:rPr>
          <w:rFonts w:ascii="Times New Roman" w:hAnsi="Times New Roman" w:eastAsia="方正仿宋_GBK"/>
          <w:b w:val="0"/>
          <w:sz w:val="24"/>
        </w:rPr>
        <w:t>2.8 本项目方法选择与工程衔接</w:t>
      </w:r>
      <w:r>
        <w:rPr>
          <w:rFonts w:ascii="Times New Roman" w:hAnsi="Times New Roman" w:eastAsia="方正仿宋_GBK"/>
          <w:b w:val="0"/>
          <w:sz w:val="24"/>
        </w:rPr>
        <w:tab/>
      </w:r>
      <w:fldSimple w:instr="PAGEREF h212 \h">
        <w:r>
          <w:t>26</w:t>
        </w:r>
      </w:fldSimple>
    </w:p>
    <w:p>
      <w:pPr>
        <w:tabs>
          <w:tab w:pos="8220" w:val="right" w:leader="dot"/>
        </w:tabs>
        <w:spacing w:line="300" w:lineRule="auto" w:after="40"/>
        <w:ind w:firstLine="0" w:left="240"/>
        <w:jc w:val="left"/>
      </w:pPr>
      <w:r>
        <w:rPr>
          <w:rFonts w:ascii="Times New Roman" w:hAnsi="Times New Roman" w:eastAsia="方正仿宋_GBK"/>
          <w:b w:val="0"/>
          <w:sz w:val="24"/>
        </w:rPr>
        <w:t>2.9 本章小结</w:t>
      </w:r>
      <w:r>
        <w:rPr>
          <w:rFonts w:ascii="Times New Roman" w:hAnsi="Times New Roman" w:eastAsia="方正仿宋_GBK"/>
          <w:b w:val="0"/>
          <w:sz w:val="24"/>
        </w:rPr>
        <w:tab/>
      </w:r>
      <w:fldSimple w:instr="PAGEREF h219 \h">
        <w:r>
          <w:t>27</w:t>
        </w:r>
      </w:fldSimple>
    </w:p>
    <w:p>
      <w:pPr>
        <w:tabs>
          <w:tab w:pos="8220" w:val="right" w:leader="dot"/>
        </w:tabs>
        <w:spacing w:line="300" w:lineRule="auto" w:after="40"/>
        <w:ind w:firstLine="0" w:left="0"/>
        <w:jc w:val="left"/>
      </w:pPr>
      <w:r>
        <w:rPr>
          <w:rFonts w:ascii="Times New Roman" w:hAnsi="Times New Roman" w:eastAsia="方正仿宋_GBK"/>
          <w:b/>
          <w:sz w:val="24"/>
        </w:rPr>
        <w:t>第三章 徐州典型地区运行特征分析</w:t>
      </w:r>
      <w:r>
        <w:rPr>
          <w:rFonts w:ascii="Times New Roman" w:hAnsi="Times New Roman" w:eastAsia="方正仿宋_GBK"/>
          <w:b/>
          <w:sz w:val="24"/>
        </w:rPr>
        <w:tab/>
      </w:r>
      <w:fldSimple w:instr="PAGEREF h221 \h">
        <w:r>
          <w:t>28</w:t>
        </w:r>
      </w:fldSimple>
    </w:p>
    <w:p>
      <w:pPr>
        <w:tabs>
          <w:tab w:pos="8220" w:val="right" w:leader="dot"/>
        </w:tabs>
        <w:spacing w:line="300" w:lineRule="auto" w:after="40"/>
        <w:ind w:firstLine="0" w:left="240"/>
        <w:jc w:val="left"/>
      </w:pPr>
      <w:r>
        <w:rPr>
          <w:rFonts w:ascii="Times New Roman" w:hAnsi="Times New Roman" w:eastAsia="方正仿宋_GBK"/>
          <w:b w:val="0"/>
          <w:sz w:val="24"/>
        </w:rPr>
        <w:t>3.1 研究地区与原始资料</w:t>
      </w:r>
      <w:r>
        <w:rPr>
          <w:rFonts w:ascii="Times New Roman" w:hAnsi="Times New Roman" w:eastAsia="方正仿宋_GBK"/>
          <w:b w:val="0"/>
          <w:sz w:val="24"/>
        </w:rPr>
        <w:tab/>
      </w:r>
      <w:fldSimple w:instr="PAGEREF h222 \h">
        <w:r>
          <w:t>28</w:t>
        </w:r>
      </w:fldSimple>
    </w:p>
    <w:p>
      <w:pPr>
        <w:tabs>
          <w:tab w:pos="8220" w:val="right" w:leader="dot"/>
        </w:tabs>
        <w:spacing w:line="300" w:lineRule="auto" w:after="40"/>
        <w:ind w:firstLine="0" w:left="240"/>
        <w:jc w:val="left"/>
      </w:pPr>
      <w:r>
        <w:rPr>
          <w:rFonts w:ascii="Times New Roman" w:hAnsi="Times New Roman" w:eastAsia="方正仿宋_GBK"/>
          <w:b w:val="0"/>
          <w:sz w:val="24"/>
        </w:rPr>
        <w:t>3.2 年度容量、负荷与增长特征</w:t>
      </w:r>
      <w:r>
        <w:rPr>
          <w:rFonts w:ascii="Times New Roman" w:hAnsi="Times New Roman" w:eastAsia="方正仿宋_GBK"/>
          <w:b w:val="0"/>
          <w:sz w:val="24"/>
        </w:rPr>
        <w:tab/>
      </w:r>
      <w:fldSimple w:instr="PAGEREF h232 \h">
        <w:r>
          <w:t>28</w:t>
        </w:r>
      </w:fldSimple>
    </w:p>
    <w:p>
      <w:pPr>
        <w:tabs>
          <w:tab w:pos="8220" w:val="right" w:leader="dot"/>
        </w:tabs>
        <w:spacing w:line="300" w:lineRule="auto" w:after="40"/>
        <w:ind w:firstLine="0" w:left="240"/>
        <w:jc w:val="left"/>
      </w:pPr>
      <w:r>
        <w:rPr>
          <w:rFonts w:ascii="Times New Roman" w:hAnsi="Times New Roman" w:eastAsia="方正仿宋_GBK"/>
          <w:b w:val="0"/>
          <w:sz w:val="24"/>
        </w:rPr>
        <w:t>3.3 分布式光伏装机与电量</w:t>
      </w:r>
      <w:r>
        <w:rPr>
          <w:rFonts w:ascii="Times New Roman" w:hAnsi="Times New Roman" w:eastAsia="方正仿宋_GBK"/>
          <w:b w:val="0"/>
          <w:sz w:val="24"/>
        </w:rPr>
        <w:tab/>
      </w:r>
      <w:fldSimple w:instr="PAGEREF h250 \h">
        <w:r>
          <w:t>31</w:t>
        </w:r>
      </w:fldSimple>
    </w:p>
    <w:p>
      <w:pPr>
        <w:tabs>
          <w:tab w:pos="8220" w:val="right" w:leader="dot"/>
        </w:tabs>
        <w:spacing w:line="300" w:lineRule="auto" w:after="40"/>
        <w:ind w:firstLine="0" w:left="240"/>
        <w:jc w:val="left"/>
      </w:pPr>
      <w:r>
        <w:rPr>
          <w:rFonts w:ascii="Times New Roman" w:hAnsi="Times New Roman" w:eastAsia="方正仿宋_GBK"/>
          <w:b w:val="0"/>
          <w:sz w:val="24"/>
        </w:rPr>
        <w:t>3.4 主变负载率与双向净负荷</w:t>
      </w:r>
      <w:r>
        <w:rPr>
          <w:rFonts w:ascii="Times New Roman" w:hAnsi="Times New Roman" w:eastAsia="方正仿宋_GBK"/>
          <w:b w:val="0"/>
          <w:sz w:val="24"/>
        </w:rPr>
        <w:tab/>
      </w:r>
      <w:fldSimple w:instr="PAGEREF h271 \h">
        <w:r>
          <w:t>33</w:t>
        </w:r>
      </w:fldSimple>
    </w:p>
    <w:p>
      <w:pPr>
        <w:tabs>
          <w:tab w:pos="8220" w:val="right" w:leader="dot"/>
        </w:tabs>
        <w:spacing w:line="300" w:lineRule="auto" w:after="40"/>
        <w:ind w:firstLine="0" w:left="240"/>
        <w:jc w:val="left"/>
      </w:pPr>
      <w:r>
        <w:rPr>
          <w:rFonts w:ascii="Times New Roman" w:hAnsi="Times New Roman" w:eastAsia="方正仿宋_GBK"/>
          <w:b w:val="0"/>
          <w:sz w:val="24"/>
        </w:rPr>
        <w:t>3.5 源荷与容量指标的关联分析</w:t>
      </w:r>
      <w:r>
        <w:rPr>
          <w:rFonts w:ascii="Times New Roman" w:hAnsi="Times New Roman" w:eastAsia="方正仿宋_GBK"/>
          <w:b w:val="0"/>
          <w:sz w:val="24"/>
        </w:rPr>
        <w:tab/>
      </w:r>
      <w:fldSimple w:instr="PAGEREF h296 \h">
        <w:r>
          <w:t>38</w:t>
        </w:r>
      </w:fldSimple>
    </w:p>
    <w:p>
      <w:pPr>
        <w:tabs>
          <w:tab w:pos="8220" w:val="right" w:leader="dot"/>
        </w:tabs>
        <w:spacing w:line="300" w:lineRule="auto" w:after="40"/>
        <w:ind w:firstLine="0" w:left="240"/>
        <w:jc w:val="left"/>
      </w:pPr>
      <w:r>
        <w:rPr>
          <w:rFonts w:ascii="Times New Roman" w:hAnsi="Times New Roman" w:eastAsia="方正仿宋_GBK"/>
          <w:b w:val="0"/>
          <w:sz w:val="24"/>
        </w:rPr>
        <w:t>3.6 10 kV负荷转接资料与仿真条件</w:t>
      </w:r>
      <w:r>
        <w:rPr>
          <w:rFonts w:ascii="Times New Roman" w:hAnsi="Times New Roman" w:eastAsia="方正仿宋_GBK"/>
          <w:b w:val="0"/>
          <w:sz w:val="24"/>
        </w:rPr>
        <w:tab/>
      </w:r>
      <w:fldSimple w:instr="PAGEREF h321 \h">
        <w:r>
          <w:t>41</w:t>
        </w:r>
      </w:fldSimple>
    </w:p>
    <w:p>
      <w:pPr>
        <w:tabs>
          <w:tab w:pos="8220" w:val="right" w:leader="dot"/>
        </w:tabs>
        <w:spacing w:line="300" w:lineRule="auto" w:after="40"/>
        <w:ind w:firstLine="0" w:left="240"/>
        <w:jc w:val="left"/>
      </w:pPr>
      <w:r>
        <w:rPr>
          <w:rFonts w:ascii="Times New Roman" w:hAnsi="Times New Roman" w:eastAsia="方正仿宋_GBK"/>
          <w:b w:val="0"/>
          <w:sz w:val="24"/>
        </w:rPr>
        <w:t>3.7 站级净负荷分布与配置需求</w:t>
      </w:r>
      <w:r>
        <w:rPr>
          <w:rFonts w:ascii="Times New Roman" w:hAnsi="Times New Roman" w:eastAsia="方正仿宋_GBK"/>
          <w:b w:val="0"/>
          <w:sz w:val="24"/>
        </w:rPr>
        <w:tab/>
      </w:r>
      <w:fldSimple w:instr="PAGEREF h331 \h">
        <w:r>
          <w:t>42</w:t>
        </w:r>
      </w:fldSimple>
    </w:p>
    <w:p>
      <w:pPr>
        <w:tabs>
          <w:tab w:pos="8220" w:val="right" w:leader="dot"/>
        </w:tabs>
        <w:spacing w:line="300" w:lineRule="auto" w:after="40"/>
        <w:ind w:firstLine="0" w:left="240"/>
        <w:jc w:val="left"/>
      </w:pPr>
      <w:r>
        <w:rPr>
          <w:rFonts w:ascii="Times New Roman" w:hAnsi="Times New Roman" w:eastAsia="方正仿宋_GBK"/>
          <w:b w:val="0"/>
          <w:sz w:val="24"/>
        </w:rPr>
        <w:t>3.8 数据基础的适用范围</w:t>
      </w:r>
      <w:r>
        <w:rPr>
          <w:rFonts w:ascii="Times New Roman" w:hAnsi="Times New Roman" w:eastAsia="方正仿宋_GBK"/>
          <w:b w:val="0"/>
          <w:sz w:val="24"/>
        </w:rPr>
        <w:tab/>
      </w:r>
      <w:fldSimple w:instr="PAGEREF h351 \h">
        <w:r>
          <w:t>45</w:t>
        </w:r>
      </w:fldSimple>
    </w:p>
    <w:p>
      <w:pPr>
        <w:tabs>
          <w:tab w:pos="8220" w:val="right" w:leader="dot"/>
        </w:tabs>
        <w:spacing w:line="300" w:lineRule="auto" w:after="40"/>
        <w:ind w:firstLine="0" w:left="0"/>
        <w:jc w:val="left"/>
      </w:pPr>
      <w:r>
        <w:rPr>
          <w:rFonts w:ascii="Times New Roman" w:hAnsi="Times New Roman" w:eastAsia="方正仿宋_GBK"/>
          <w:b/>
          <w:sz w:val="24"/>
        </w:rPr>
        <w:t>第四章 基于实际工程的建设成本模型</w:t>
      </w:r>
      <w:r>
        <w:rPr>
          <w:rFonts w:ascii="Times New Roman" w:hAnsi="Times New Roman" w:eastAsia="方正仿宋_GBK"/>
          <w:b/>
          <w:sz w:val="24"/>
        </w:rPr>
        <w:tab/>
      </w:r>
      <w:fldSimple w:instr="PAGEREF h354 \h">
        <w:r>
          <w:t>46</w:t>
        </w:r>
      </w:fldSimple>
    </w:p>
    <w:p>
      <w:pPr>
        <w:tabs>
          <w:tab w:pos="8220" w:val="right" w:leader="dot"/>
        </w:tabs>
        <w:spacing w:line="300" w:lineRule="auto" w:after="40"/>
        <w:ind w:firstLine="0" w:left="240"/>
        <w:jc w:val="left"/>
      </w:pPr>
      <w:r>
        <w:rPr>
          <w:rFonts w:ascii="Times New Roman" w:hAnsi="Times New Roman" w:eastAsia="方正仿宋_GBK"/>
          <w:b w:val="0"/>
          <w:sz w:val="24"/>
        </w:rPr>
        <w:t>4.1 成本模型的范围与建立原则</w:t>
      </w:r>
      <w:r>
        <w:rPr>
          <w:rFonts w:ascii="Times New Roman" w:hAnsi="Times New Roman" w:eastAsia="方正仿宋_GBK"/>
          <w:b w:val="0"/>
          <w:sz w:val="24"/>
        </w:rPr>
        <w:tab/>
      </w:r>
      <w:fldSimple w:instr="PAGEREF h355 \h">
        <w:r>
          <w:t>46</w:t>
        </w:r>
      </w:fldSimple>
    </w:p>
    <w:p>
      <w:pPr>
        <w:tabs>
          <w:tab w:pos="8220" w:val="right" w:leader="dot"/>
        </w:tabs>
        <w:spacing w:line="300" w:lineRule="auto" w:after="40"/>
        <w:ind w:firstLine="0" w:left="240"/>
        <w:jc w:val="left"/>
      </w:pPr>
      <w:r>
        <w:rPr>
          <w:rFonts w:ascii="Times New Roman" w:hAnsi="Times New Roman" w:eastAsia="方正仿宋_GBK"/>
          <w:b w:val="0"/>
          <w:sz w:val="24"/>
        </w:rPr>
        <w:t>4.2 主变工程成本系数</w:t>
      </w:r>
      <w:r>
        <w:rPr>
          <w:rFonts w:ascii="Times New Roman" w:hAnsi="Times New Roman" w:eastAsia="方正仿宋_GBK"/>
          <w:b w:val="0"/>
          <w:sz w:val="24"/>
        </w:rPr>
        <w:tab/>
      </w:r>
      <w:fldSimple w:instr="PAGEREF h366 \h">
        <w:r>
          <w:t>47</w:t>
        </w:r>
      </w:fldSimple>
    </w:p>
    <w:p>
      <w:pPr>
        <w:tabs>
          <w:tab w:pos="8220" w:val="right" w:leader="dot"/>
        </w:tabs>
        <w:spacing w:line="300" w:lineRule="auto" w:after="40"/>
        <w:ind w:firstLine="0" w:left="240"/>
        <w:jc w:val="left"/>
      </w:pPr>
      <w:r>
        <w:rPr>
          <w:rFonts w:ascii="Times New Roman" w:hAnsi="Times New Roman" w:eastAsia="方正仿宋_GBK"/>
          <w:b w:val="0"/>
          <w:sz w:val="24"/>
        </w:rPr>
        <w:t>4.3 10 kV联络工程费用</w:t>
      </w:r>
      <w:r>
        <w:rPr>
          <w:rFonts w:ascii="Times New Roman" w:hAnsi="Times New Roman" w:eastAsia="方正仿宋_GBK"/>
          <w:b w:val="0"/>
          <w:sz w:val="24"/>
        </w:rPr>
        <w:tab/>
      </w:r>
      <w:fldSimple w:instr="PAGEREF h385 \h">
        <w:r>
          <w:t>48</w:t>
        </w:r>
      </w:fldSimple>
    </w:p>
    <w:p>
      <w:pPr>
        <w:tabs>
          <w:tab w:pos="8220" w:val="right" w:leader="dot"/>
        </w:tabs>
        <w:spacing w:line="300" w:lineRule="auto" w:after="40"/>
        <w:ind w:firstLine="0" w:left="240"/>
        <w:jc w:val="left"/>
      </w:pPr>
      <w:r>
        <w:rPr>
          <w:rFonts w:ascii="Times New Roman" w:hAnsi="Times New Roman" w:eastAsia="方正仿宋_GBK"/>
          <w:b w:val="0"/>
          <w:sz w:val="24"/>
        </w:rPr>
        <w:t>4.4 储能投资模型</w:t>
      </w:r>
      <w:r>
        <w:rPr>
          <w:rFonts w:ascii="Times New Roman" w:hAnsi="Times New Roman" w:eastAsia="方正仿宋_GBK"/>
          <w:b w:val="0"/>
          <w:sz w:val="24"/>
        </w:rPr>
        <w:tab/>
      </w:r>
      <w:fldSimple w:instr="PAGEREF h396 \h">
        <w:r>
          <w:t>49</w:t>
        </w:r>
      </w:fldSimple>
    </w:p>
    <w:p>
      <w:pPr>
        <w:tabs>
          <w:tab w:pos="8220" w:val="right" w:leader="dot"/>
        </w:tabs>
        <w:spacing w:line="300" w:lineRule="auto" w:after="40"/>
        <w:ind w:firstLine="0" w:left="240"/>
        <w:jc w:val="left"/>
      </w:pPr>
      <w:r>
        <w:rPr>
          <w:rFonts w:ascii="Times New Roman" w:hAnsi="Times New Roman" w:eastAsia="方正仿宋_GBK"/>
          <w:b w:val="0"/>
          <w:sz w:val="24"/>
        </w:rPr>
        <w:t>4.5 两个成本比例及敏感性方法</w:t>
      </w:r>
      <w:r>
        <w:rPr>
          <w:rFonts w:ascii="Times New Roman" w:hAnsi="Times New Roman" w:eastAsia="方正仿宋_GBK"/>
          <w:b w:val="0"/>
          <w:sz w:val="24"/>
        </w:rPr>
        <w:tab/>
      </w:r>
      <w:fldSimple w:instr="PAGEREF h413 \h">
        <w:r>
          <w:t>51</w:t>
        </w:r>
      </w:fldSimple>
    </w:p>
    <w:p>
      <w:pPr>
        <w:tabs>
          <w:tab w:pos="8220" w:val="right" w:leader="dot"/>
        </w:tabs>
        <w:spacing w:line="300" w:lineRule="auto" w:after="40"/>
        <w:ind w:firstLine="0" w:left="240"/>
        <w:jc w:val="left"/>
      </w:pPr>
      <w:r>
        <w:rPr>
          <w:rFonts w:ascii="Times New Roman" w:hAnsi="Times New Roman" w:eastAsia="方正仿宋_GBK"/>
          <w:b w:val="0"/>
          <w:sz w:val="24"/>
        </w:rPr>
        <w:t>4.6 现金流现值计算</w:t>
      </w:r>
      <w:r>
        <w:rPr>
          <w:rFonts w:ascii="Times New Roman" w:hAnsi="Times New Roman" w:eastAsia="方正仿宋_GBK"/>
          <w:b w:val="0"/>
          <w:sz w:val="24"/>
        </w:rPr>
        <w:tab/>
      </w:r>
      <w:fldSimple w:instr="PAGEREF h431 \h">
        <w:r>
          <w:t>53</w:t>
        </w:r>
      </w:fldSimple>
    </w:p>
    <w:p>
      <w:pPr>
        <w:tabs>
          <w:tab w:pos="8220" w:val="right" w:leader="dot"/>
        </w:tabs>
        <w:spacing w:line="300" w:lineRule="auto" w:after="40"/>
        <w:ind w:firstLine="0" w:left="0"/>
        <w:jc w:val="left"/>
      </w:pPr>
      <w:r>
        <w:rPr>
          <w:rFonts w:ascii="Times New Roman" w:hAnsi="Times New Roman" w:eastAsia="方正仿宋_GBK"/>
          <w:b/>
          <w:sz w:val="24"/>
        </w:rPr>
        <w:t>第五章 “一片一策”弹性容载比规划建议</w:t>
      </w:r>
      <w:r>
        <w:rPr>
          <w:rFonts w:ascii="Times New Roman" w:hAnsi="Times New Roman" w:eastAsia="方正仿宋_GBK"/>
          <w:b/>
          <w:sz w:val="24"/>
        </w:rPr>
        <w:tab/>
      </w:r>
      <w:fldSimple w:instr="PAGEREF h447 \h">
        <w:r>
          <w:t>55</w:t>
        </w:r>
      </w:fldSimple>
    </w:p>
    <w:p>
      <w:pPr>
        <w:tabs>
          <w:tab w:pos="8220" w:val="right" w:leader="dot"/>
        </w:tabs>
        <w:spacing w:line="300" w:lineRule="auto" w:after="40"/>
        <w:ind w:firstLine="0" w:left="240"/>
        <w:jc w:val="left"/>
      </w:pPr>
      <w:r>
        <w:rPr>
          <w:rFonts w:ascii="Times New Roman" w:hAnsi="Times New Roman" w:eastAsia="方正仿宋_GBK"/>
          <w:b w:val="0"/>
          <w:sz w:val="24"/>
        </w:rPr>
        <w:t>5.1 寻优问题与共同起点</w:t>
      </w:r>
      <w:r>
        <w:rPr>
          <w:rFonts w:ascii="Times New Roman" w:hAnsi="Times New Roman" w:eastAsia="方正仿宋_GBK"/>
          <w:b w:val="0"/>
          <w:sz w:val="24"/>
        </w:rPr>
        <w:tab/>
      </w:r>
      <w:fldSimple w:instr="PAGEREF h449 \h">
        <w:r>
          <w:t>55</w:t>
        </w:r>
      </w:fldSimple>
    </w:p>
    <w:p>
      <w:pPr>
        <w:tabs>
          <w:tab w:pos="8220" w:val="right" w:leader="dot"/>
        </w:tabs>
        <w:spacing w:line="300" w:lineRule="auto" w:after="40"/>
        <w:ind w:firstLine="0" w:left="240"/>
        <w:jc w:val="left"/>
      </w:pPr>
      <w:r>
        <w:rPr>
          <w:rFonts w:ascii="Times New Roman" w:hAnsi="Times New Roman" w:eastAsia="方正仿宋_GBK"/>
          <w:b w:val="0"/>
          <w:sz w:val="24"/>
        </w:rPr>
        <w:t>5.2 三类方案的选取与寻优方法</w:t>
      </w:r>
      <w:r>
        <w:rPr>
          <w:rFonts w:ascii="Times New Roman" w:hAnsi="Times New Roman" w:eastAsia="方正仿宋_GBK"/>
          <w:b w:val="0"/>
          <w:sz w:val="24"/>
        </w:rPr>
        <w:tab/>
      </w:r>
      <w:fldSimple w:instr="PAGEREF h470 \h">
        <w:r>
          <w:t>58</w:t>
        </w:r>
      </w:fldSimple>
    </w:p>
    <w:p>
      <w:pPr>
        <w:tabs>
          <w:tab w:pos="8220" w:val="right" w:leader="dot"/>
        </w:tabs>
        <w:spacing w:line="300" w:lineRule="auto" w:after="40"/>
        <w:ind w:firstLine="0" w:left="240"/>
        <w:jc w:val="left"/>
      </w:pPr>
      <w:r>
        <w:rPr>
          <w:rFonts w:ascii="Times New Roman" w:hAnsi="Times New Roman" w:eastAsia="方正仿宋_GBK"/>
          <w:b w:val="0"/>
          <w:sz w:val="24"/>
        </w:rPr>
        <w:t>5.3 约束条件与求解流程</w:t>
      </w:r>
      <w:r>
        <w:rPr>
          <w:rFonts w:ascii="Times New Roman" w:hAnsi="Times New Roman" w:eastAsia="方正仿宋_GBK"/>
          <w:b w:val="0"/>
          <w:sz w:val="24"/>
        </w:rPr>
        <w:tab/>
      </w:r>
      <w:fldSimple w:instr="PAGEREF h495 \h">
        <w:r>
          <w:t>61</w:t>
        </w:r>
      </w:fldSimple>
    </w:p>
    <w:p>
      <w:pPr>
        <w:tabs>
          <w:tab w:pos="8220" w:val="right" w:leader="dot"/>
        </w:tabs>
        <w:spacing w:line="300" w:lineRule="auto" w:after="40"/>
        <w:ind w:firstLine="0" w:left="240"/>
        <w:jc w:val="left"/>
      </w:pPr>
      <w:r>
        <w:rPr>
          <w:rFonts w:ascii="Times New Roman" w:hAnsi="Times New Roman" w:eastAsia="方正仿宋_GBK"/>
          <w:b w:val="0"/>
          <w:sz w:val="24"/>
        </w:rPr>
        <w:t>5.4 寻优结果</w:t>
      </w:r>
      <w:r>
        <w:rPr>
          <w:rFonts w:ascii="Times New Roman" w:hAnsi="Times New Roman" w:eastAsia="方正仿宋_GBK"/>
          <w:b w:val="0"/>
          <w:sz w:val="24"/>
        </w:rPr>
        <w:tab/>
      </w:r>
      <w:fldSimple w:instr="PAGEREF h512 \h">
        <w:r>
          <w:t>63</w:t>
        </w:r>
      </w:fldSimple>
    </w:p>
    <w:p>
      <w:pPr>
        <w:tabs>
          <w:tab w:pos="8220" w:val="right" w:leader="dot"/>
        </w:tabs>
        <w:spacing w:line="300" w:lineRule="auto" w:after="40"/>
        <w:ind w:firstLine="0" w:left="240"/>
        <w:jc w:val="left"/>
      </w:pPr>
      <w:r>
        <w:rPr>
          <w:rFonts w:ascii="Times New Roman" w:hAnsi="Times New Roman" w:eastAsia="方正仿宋_GBK"/>
          <w:b w:val="0"/>
          <w:sz w:val="24"/>
        </w:rPr>
        <w:t>5.5 措施作用与工程衔接</w:t>
      </w:r>
      <w:r>
        <w:rPr>
          <w:rFonts w:ascii="Times New Roman" w:hAnsi="Times New Roman" w:eastAsia="方正仿宋_GBK"/>
          <w:b w:val="0"/>
          <w:sz w:val="24"/>
        </w:rPr>
        <w:tab/>
      </w:r>
      <w:fldSimple w:instr="PAGEREF h740 \h">
        <w:r>
          <w:t>87</w:t>
        </w:r>
      </w:fldSimple>
    </w:p>
    <w:p>
      <w:pPr>
        <w:tabs>
          <w:tab w:pos="8220" w:val="right" w:leader="dot"/>
        </w:tabs>
        <w:spacing w:line="300" w:lineRule="auto" w:after="40"/>
        <w:ind w:firstLine="0" w:left="240"/>
        <w:jc w:val="left"/>
      </w:pPr>
      <w:r>
        <w:rPr>
          <w:rFonts w:ascii="Times New Roman" w:hAnsi="Times New Roman" w:eastAsia="方正仿宋_GBK"/>
          <w:b w:val="0"/>
          <w:sz w:val="24"/>
        </w:rPr>
        <w:t>5.6 参数拓展与通用推荐矩阵</w:t>
      </w:r>
      <w:r>
        <w:rPr>
          <w:rFonts w:ascii="Times New Roman" w:hAnsi="Times New Roman" w:eastAsia="方正仿宋_GBK"/>
          <w:b w:val="0"/>
          <w:sz w:val="24"/>
        </w:rPr>
        <w:tab/>
      </w:r>
      <w:fldSimple w:instr="PAGEREF h748 \h">
        <w:r>
          <w:t>88</w:t>
        </w:r>
      </w:fldSimple>
    </w:p>
    <w:p>
      <w:pPr>
        <w:tabs>
          <w:tab w:pos="8220" w:val="right" w:leader="dot"/>
        </w:tabs>
        <w:spacing w:line="300" w:lineRule="auto" w:after="40"/>
        <w:ind w:firstLine="0" w:left="240"/>
        <w:jc w:val="left"/>
      </w:pPr>
      <w:r>
        <w:rPr>
          <w:rFonts w:ascii="Times New Roman" w:hAnsi="Times New Roman" w:eastAsia="方正仿宋_GBK"/>
          <w:b w:val="0"/>
          <w:sz w:val="24"/>
        </w:rPr>
        <w:t>5.7 规划建议</w:t>
      </w:r>
      <w:r>
        <w:rPr>
          <w:rFonts w:ascii="Times New Roman" w:hAnsi="Times New Roman" w:eastAsia="方正仿宋_GBK"/>
          <w:b w:val="0"/>
          <w:sz w:val="24"/>
        </w:rPr>
        <w:tab/>
      </w:r>
      <w:fldSimple w:instr="PAGEREF h779 \h">
        <w:r>
          <w:t>97</w:t>
        </w:r>
      </w:fldSimple>
    </w:p>
    <w:p>
      <w:pPr>
        <w:tabs>
          <w:tab w:pos="8220" w:val="right" w:leader="dot"/>
        </w:tabs>
        <w:spacing w:line="300" w:lineRule="auto" w:after="40"/>
        <w:ind w:firstLine="0" w:left="0"/>
        <w:jc w:val="left"/>
      </w:pPr>
      <w:r>
        <w:rPr>
          <w:rFonts w:ascii="Times New Roman" w:hAnsi="Times New Roman" w:eastAsia="方正仿宋_GBK"/>
          <w:b/>
          <w:sz w:val="24"/>
        </w:rPr>
        <w:t>第六章 结论与建议</w:t>
      </w:r>
      <w:r>
        <w:rPr>
          <w:rFonts w:ascii="Times New Roman" w:hAnsi="Times New Roman" w:eastAsia="方正仿宋_GBK"/>
          <w:b/>
          <w:sz w:val="24"/>
        </w:rPr>
        <w:tab/>
      </w:r>
      <w:fldSimple w:instr="PAGEREF h790 \h">
        <w:r>
          <w:t>98</w:t>
        </w:r>
      </w:fldSimple>
    </w:p>
    <w:p>
      <w:pPr>
        <w:tabs>
          <w:tab w:pos="8220" w:val="right" w:leader="dot"/>
        </w:tabs>
        <w:spacing w:line="300" w:lineRule="auto" w:after="40"/>
        <w:ind w:firstLine="0" w:left="240"/>
        <w:jc w:val="left"/>
      </w:pPr>
      <w:r>
        <w:rPr>
          <w:rFonts w:ascii="Times New Roman" w:hAnsi="Times New Roman" w:eastAsia="方正仿宋_GBK"/>
          <w:b w:val="0"/>
          <w:sz w:val="24"/>
        </w:rPr>
        <w:t>6.1 主要研究结论</w:t>
      </w:r>
      <w:r>
        <w:rPr>
          <w:rFonts w:ascii="Times New Roman" w:hAnsi="Times New Roman" w:eastAsia="方正仿宋_GBK"/>
          <w:b w:val="0"/>
          <w:sz w:val="24"/>
        </w:rPr>
        <w:tab/>
      </w:r>
      <w:fldSimple w:instr="PAGEREF h792 \h">
        <w:r>
          <w:t>98</w:t>
        </w:r>
      </w:fldSimple>
    </w:p>
    <w:p>
      <w:pPr>
        <w:tabs>
          <w:tab w:pos="8220" w:val="right" w:leader="dot"/>
        </w:tabs>
        <w:spacing w:line="300" w:lineRule="auto" w:after="40"/>
        <w:ind w:firstLine="0" w:left="240"/>
        <w:jc w:val="left"/>
      </w:pPr>
      <w:r>
        <w:rPr>
          <w:rFonts w:ascii="Times New Roman" w:hAnsi="Times New Roman" w:eastAsia="方正仿宋_GBK"/>
          <w:b w:val="0"/>
          <w:sz w:val="24"/>
        </w:rPr>
        <w:t>6.2 规划应用建议</w:t>
      </w:r>
      <w:r>
        <w:rPr>
          <w:rFonts w:ascii="Times New Roman" w:hAnsi="Times New Roman" w:eastAsia="方正仿宋_GBK"/>
          <w:b w:val="0"/>
          <w:sz w:val="24"/>
        </w:rPr>
        <w:tab/>
      </w:r>
      <w:fldSimple w:instr="PAGEREF h805 \h">
        <w:r>
          <w:t>99</w:t>
        </w:r>
      </w:fldSimple>
    </w:p>
    <w:p>
      <w:pPr>
        <w:tabs>
          <w:tab w:pos="8220" w:val="right" w:leader="dot"/>
        </w:tabs>
        <w:spacing w:line="300" w:lineRule="auto" w:after="40"/>
        <w:ind w:firstLine="0" w:left="240"/>
        <w:jc w:val="left"/>
      </w:pPr>
      <w:r>
        <w:rPr>
          <w:rFonts w:ascii="Times New Roman" w:hAnsi="Times New Roman" w:eastAsia="方正仿宋_GBK"/>
          <w:b w:val="0"/>
          <w:sz w:val="24"/>
        </w:rPr>
        <w:t>6.3 后续研究方向</w:t>
      </w:r>
      <w:r>
        <w:rPr>
          <w:rFonts w:ascii="Times New Roman" w:hAnsi="Times New Roman" w:eastAsia="方正仿宋_GBK"/>
          <w:b w:val="0"/>
          <w:sz w:val="24"/>
        </w:rPr>
        <w:tab/>
      </w:r>
      <w:fldSimple w:instr="PAGEREF h816 \h">
        <w:r>
          <w:t>100</w:t>
        </w:r>
      </w:fldSimple>
    </w:p>
    <w:p>
      <w:pPr>
        <w:tabs>
          <w:tab w:pos="8220" w:val="right" w:leader="dot"/>
        </w:tabs>
        <w:spacing w:line="300" w:lineRule="auto" w:after="40"/>
        <w:ind w:firstLine="0" w:left="0"/>
        <w:jc w:val="left"/>
      </w:pPr>
      <w:r>
        <w:rPr>
          <w:rFonts w:ascii="Times New Roman" w:hAnsi="Times New Roman" w:eastAsia="方正仿宋_GBK"/>
          <w:b/>
          <w:sz w:val="24"/>
        </w:rPr>
        <w:t>参考文献</w:t>
      </w:r>
      <w:r>
        <w:rPr>
          <w:rFonts w:ascii="Times New Roman" w:hAnsi="Times New Roman" w:eastAsia="方正仿宋_GBK"/>
          <w:b/>
          <w:sz w:val="24"/>
        </w:rPr>
        <w:tab/>
      </w:r>
      <w:fldSimple w:instr="PAGEREF h821 \h">
        <w:r>
          <w:t>101</w:t>
        </w:r>
      </w:fldSimple>
    </w:p>
    <w:p>
      <w:bookmarkStart w:id="1000" w:name="h0"/>
      <w:pPr>
        <w:pStyle w:val="3"/>
        <w:keepNext/>
        <w:pageBreakBefore/>
        <w:numPr>
          <w:numId w:val="0"/>
        </w:numPr>
        <w:spacing w:line="360" w:lineRule="auto" w:before="0" w:after="120"/>
        <w:ind w:firstLine="0"/>
      </w:pPr>
      <w:bookmarkStart w:id="20" w:name="第一章-绪论"/>
      <w:r>
        <w:rPr>
          <w:rFonts w:ascii="Times New Roman" w:hAnsi="Times New Roman" w:eastAsia="方正仿宋_GBK"/>
          <w:b/>
          <w:sz w:val="36"/>
        </w:rPr>
        <w:t xml:space="preserve">第一章 绪论</w:t>
      </w:r>
      <w:bookmarkEnd w:id="20"/>
      <w:bookmarkEnd w:id="1000"/>
    </w:p>
    <w:p>
      <w:bookmarkStart w:id="1001" w:name="h1"/>
      <w:pPr>
        <w:pStyle w:val="4"/>
        <w:keepNext/>
        <w:numPr>
          <w:numId w:val="0"/>
        </w:numPr>
        <w:spacing w:line="360" w:lineRule="auto" w:before="160" w:after="120"/>
        <w:ind w:firstLine="0"/>
      </w:pPr>
      <w:bookmarkStart w:id="21" w:name="研究背景与意义"/>
      <w:r>
        <w:rPr>
          <w:rFonts w:ascii="Times New Roman" w:hAnsi="Times New Roman" w:eastAsia="方正仿宋_GBK"/>
          <w:b/>
          <w:sz w:val="32"/>
        </w:rPr>
        <w:t xml:space="preserve">1.1 研究背景与意义</w:t>
      </w:r>
      <w:bookmarkEnd w:id="21"/>
      <w:bookmarkEnd w:id="1001"/>
    </w:p>
    <w:p>
      <w:pPr>
        <w:pStyle w:val="5"/>
        <w:keepNext/>
        <w:numPr>
          <w:numId w:val="0"/>
        </w:numPr>
        <w:spacing w:line="360" w:lineRule="auto" w:before="160" w:after="120"/>
        <w:ind w:firstLine="0"/>
      </w:pPr>
      <w:bookmarkStart w:id="22" w:name="分布式新能源发展对配电网规划的影响"/>
      <w:r>
        <w:rPr>
          <w:rFonts w:ascii="Times New Roman" w:hAnsi="Times New Roman" w:eastAsia="方正仿宋_GBK"/>
          <w:b/>
          <w:sz w:val="26"/>
        </w:rPr>
        <w:t xml:space="preserve">1.1.1 分布式新能源发展对配电网规划的影响</w:t>
      </w:r>
      <w:bookmarkEnd w:id="22"/>
    </w:p>
    <w:p>
      <w:pPr>
        <w:pStyle w:val="FirstParagraph"/>
        <w:widowControl/>
        <w:spacing w:line="300" w:lineRule="auto" w:before="0" w:after="0"/>
        <w:ind w:firstLine="480"/>
        <w:jc w:val="both"/>
      </w:pPr>
      <w:r>
        <w:rPr>
          <w:rFonts w:ascii="Times New Roman" w:hAnsi="Times New Roman" w:eastAsia="方正仿宋_GBK"/>
          <w:b w:val="0"/>
          <w:sz w:val="24"/>
        </w:rPr>
        <w:t xml:space="preserve">在新型电力系统建设和能源绿色转型背景下，分布式光伏已成为配电网规划的重要电源条件。国家能源局公布，截至2026年3月底，全国分布式光伏装机容量达到5.54亿千瓦[1]。电源接入位置、用户用电特性和下级网络结构共同改变上级变电站的净负荷，容量规划需要同时分析正向供电、反向输送和设备退出后的供电需求。</w:t>
      </w:r>
    </w:p>
    <w:p>
      <w:pPr>
        <w:pStyle w:val="2"/>
        <w:widowControl/>
        <w:spacing w:line="300" w:lineRule="auto" w:before="0" w:after="0"/>
        <w:ind w:firstLine="480"/>
        <w:jc w:val="both"/>
      </w:pPr>
      <w:r>
        <w:rPr>
          <w:rFonts w:ascii="Times New Roman" w:hAnsi="Times New Roman" w:eastAsia="方正仿宋_GBK"/>
          <w:b w:val="0"/>
          <w:sz w:val="24"/>
        </w:rPr>
        <w:t xml:space="preserve">江苏分布式光伏发展具有较强的用户侧和区域分散特征。根据国家能源局2026年一季度光伏发电建设统计，江苏分布式光伏累计并网容量为6629.40万千瓦[2]。本项目选择徐州地区的邳州市和徐州市区，分别分析光伏规模相对较大的县域与负荷较密集城区的容量配置条件。片区划分以同一电压等级、同一统计范围的源荷及设备资料为基础，推荐指标与站级规划方案相互对应。</w:t>
      </w:r>
    </w:p>
    <w:p>
      <w:pPr>
        <w:pStyle w:val="2"/>
        <w:widowControl/>
        <w:spacing w:line="300" w:lineRule="auto" w:before="0" w:after="0"/>
        <w:ind w:firstLine="480"/>
        <w:jc w:val="both"/>
      </w:pPr>
      <w:r>
        <w:rPr>
          <w:rFonts w:ascii="Times New Roman" w:hAnsi="Times New Roman" w:eastAsia="方正仿宋_GBK"/>
          <w:b w:val="0"/>
          <w:sz w:val="24"/>
        </w:rPr>
        <w:t xml:space="preserve">分布式电源接入后，用户用电需求与电网供电负荷之间的对应关系发生变化。光伏出力较高时，部分用户用电由本地电源供给，110 kV主变受入功率相应减小；当本地发电超过本地用电时，主变潮流可能反向。光伏出力下降后，上级电网仍需承担剩余用电需求。由此，主变规划需要同时识别年度正向供电最大负荷和局部反向功率压力，设备容量的合理性还取决于负荷分布、下级网络联络及供电安全要求[3][4][5]。</w:t>
      </w:r>
    </w:p>
    <w:p>
      <w:pPr>
        <w:pStyle w:val="2"/>
        <w:widowControl/>
        <w:spacing w:line="300" w:lineRule="auto" w:before="0" w:after="0"/>
        <w:ind w:firstLine="480"/>
        <w:jc w:val="both"/>
      </w:pPr>
      <w:r>
        <w:rPr>
          <w:rFonts w:ascii="Times New Roman" w:hAnsi="Times New Roman" w:eastAsia="方正仿宋_GBK"/>
          <w:b w:val="0"/>
          <w:sz w:val="24"/>
        </w:rPr>
        <w:t xml:space="preserve">《关于新形势下配电网高质量发展的指导意见》将分布式新能源承载、多元负荷接入及源网荷储协同列为配电网发展的工作方向[6]。这些要求落实到110 kV规划，需要在既有资产条件下统筹主变建设与中压网改造，明确储能参与容量支撑的条件，避免仅凭一个年度比值安排投资。对于光伏集中发展的县域，正午反送与晚间受电可能分别决定不同设备的运行边界；对于负荷密集的市区，用户连续供电要求和局部重载站的供电安全容量可能更早成为制约。</w:t>
      </w:r>
    </w:p>
    <w:p>
      <w:pPr>
        <w:pStyle w:val="2"/>
        <w:widowControl/>
        <w:spacing w:line="300" w:lineRule="auto" w:before="0" w:after="0"/>
        <w:ind w:firstLine="480"/>
        <w:jc w:val="both"/>
      </w:pPr>
      <w:r>
        <w:rPr>
          <w:rFonts w:ascii="Times New Roman" w:hAnsi="Times New Roman" w:eastAsia="方正仿宋_GBK"/>
          <w:b w:val="0"/>
          <w:sz w:val="24"/>
        </w:rPr>
        <w:t xml:space="preserve">容载比是区域容量规划中长期使用的统计指标。DL/T 5729—2023以同电压等级公用变电设备总容量与区域年网供最大负荷之比定义容载比，并要求结合负荷发展、供电安全及技术经济条件确定合理水平[5]。该指标表达区域容量储备，具体站点容量、联络支援与光伏反送压力需要站级分析。高渗透率地区继续采用容载比进行容量评价时，应补充站级运行和措施组合分析，使区域指标与局部约束相互对应。</w:t>
      </w:r>
    </w:p>
    <w:p>
      <w:pPr>
        <w:pStyle w:val="2"/>
        <w:widowControl/>
        <w:spacing w:line="300" w:lineRule="auto" w:before="0" w:after="0"/>
        <w:ind w:firstLine="480"/>
        <w:jc w:val="both"/>
      </w:pPr>
      <w:r>
        <w:rPr>
          <w:rFonts w:ascii="Times New Roman" w:hAnsi="Times New Roman" w:eastAsia="方正仿宋_GBK"/>
          <w:b w:val="0"/>
          <w:sz w:val="24"/>
        </w:rPr>
        <w:t xml:space="preserve">分布式光伏对年网供最大负荷的影响具有时段差异。若全年正向峰值发生在光伏出力较低的晚间，新增光伏可能明显减少日间购电量，却未按相同比例降低年度供电峰值。若原峰值发生在日间，光伏接入可能使峰值转移到其他时段。光伏电量占比、装机与用户峰值之比以及主变年最大负载率，分别描述电量、装机规模和设备压力。报告因此将分布式电源装机渗透率与分布式电源电量渗透率作为区域源荷背景，将净负荷绝对峰值及峰段持续时间用于设备容量压力分析。</w:t>
      </w:r>
    </w:p>
    <w:p>
      <w:pPr>
        <w:pStyle w:val="5"/>
        <w:keepNext/>
        <w:numPr>
          <w:numId w:val="0"/>
        </w:numPr>
        <w:spacing w:line="360" w:lineRule="auto" w:before="160" w:after="120"/>
        <w:ind w:firstLine="0"/>
      </w:pPr>
      <w:bookmarkStart w:id="23" w:name="徐州地区的研究需求"/>
      <w:r>
        <w:rPr>
          <w:rFonts w:ascii="Times New Roman" w:hAnsi="Times New Roman" w:eastAsia="方正仿宋_GBK"/>
          <w:b/>
          <w:sz w:val="26"/>
        </w:rPr>
        <w:t xml:space="preserve">1.1.2 徐州地区的研究需求</w:t>
      </w:r>
      <w:bookmarkEnd w:id="23"/>
    </w:p>
    <w:p>
      <w:pPr>
        <w:pStyle w:val="FirstParagraph"/>
        <w:widowControl/>
        <w:spacing w:line="300" w:lineRule="auto" w:before="0" w:after="0"/>
        <w:ind w:firstLine="480"/>
        <w:jc w:val="both"/>
      </w:pPr>
      <w:r>
        <w:rPr>
          <w:rFonts w:ascii="Times New Roman" w:hAnsi="Times New Roman" w:eastAsia="方正仿宋_GBK"/>
          <w:b w:val="0"/>
          <w:sz w:val="24"/>
        </w:rPr>
        <w:t xml:space="preserve">《配电网规划设计技术导则（修订稿，2025年4月）》引入分布式电源装机渗透率（源荷比）和电量渗透率，提出源荷比超过2.00，或电量渗透率超过40.00%～50.00%时，以110～35 kV反向净负荷极值校核公用主变反向重过载；出现反向重过载时，通过技术经济比选采用增加变电容量、独立储能或新能源配储等措施[7]。与此同时，容量规划仍需参照按负荷增长分档的容载比范围，上限一般为2.00[5][7]。增加主变容量可能使容载比超过该上限，规划人员需要判断：反向容量或供电安全要求形成的增容需求，应如何与区域容载比控制值协调。</w:t>
      </w:r>
    </w:p>
    <w:p>
      <w:pPr>
        <w:pStyle w:val="2"/>
        <w:widowControl/>
        <w:spacing w:line="300" w:lineRule="auto" w:before="0" w:after="0"/>
        <w:ind w:firstLine="480"/>
        <w:jc w:val="both"/>
      </w:pPr>
      <w:r>
        <w:rPr>
          <w:rFonts w:ascii="Times New Roman" w:hAnsi="Times New Roman" w:eastAsia="方正仿宋_GBK"/>
          <w:b w:val="0"/>
          <w:sz w:val="24"/>
        </w:rPr>
        <w:t xml:space="preserve">徐州不同片区的源荷条件存在差异。按本项目采用的单位换算，邳州2025年末分布式光伏装机为1559.64 MW，110 kV降压负荷为956.45 MW；市区分别为491.18 MW和1528.82 MW。按典型场景估计的装机渗透率，邳州为1.63、市区为0.32；电量渗透率分别为40.28%和8.69%。邳州电量指标已进入上述反向校核参考范围，市区容量配置则更多受正向供电及主变N-1条件影响。两地区适合用于分析新能源渗透指标与传统容载比之间的联系。</w:t>
      </w:r>
    </w:p>
    <w:p>
      <w:pPr>
        <w:pStyle w:val="2"/>
        <w:widowControl/>
        <w:spacing w:line="300" w:lineRule="auto" w:before="0" w:after="0"/>
        <w:ind w:firstLine="480"/>
        <w:jc w:val="both"/>
      </w:pPr>
      <w:r>
        <w:rPr>
          <w:rFonts w:ascii="Times New Roman" w:hAnsi="Times New Roman" w:eastAsia="方正仿宋_GBK"/>
          <w:b w:val="0"/>
          <w:sz w:val="24"/>
        </w:rPr>
        <w:t xml:space="preserve">本课题围绕这些规划问题开展研究。在相同负荷预测、设备初态和技术约束下，比较容载比按2.00上限控制与允许适度提高时的容量配置及全寿命费用，分析源荷水平、负荷增长和峰段特征对结果的影响，提出分片区的弹性指标及其适用条件，为110 kV电网规划和工程比选提供依据。</w:t>
      </w:r>
    </w:p>
    <w:p>
      <w:pPr>
        <w:pStyle w:val="5"/>
        <w:keepNext/>
        <w:numPr>
          <w:numId w:val="0"/>
        </w:numPr>
        <w:spacing w:line="360" w:lineRule="auto" w:before="160" w:after="120"/>
        <w:ind w:firstLine="0"/>
      </w:pPr>
      <w:bookmarkStart w:id="24" w:name="容载比弹性研究的工程意义"/>
      <w:r>
        <w:rPr>
          <w:rFonts w:ascii="Times New Roman" w:hAnsi="Times New Roman" w:eastAsia="方正仿宋_GBK"/>
          <w:b/>
          <w:sz w:val="26"/>
        </w:rPr>
        <w:t xml:space="preserve">1.1.3 容载比弹性研究的工程意义</w:t>
      </w:r>
      <w:bookmarkEnd w:id="24"/>
    </w:p>
    <w:p>
      <w:pPr>
        <w:pStyle w:val="FirstParagraph"/>
        <w:widowControl/>
        <w:spacing w:line="300" w:lineRule="auto" w:before="0" w:after="0"/>
        <w:ind w:firstLine="480"/>
        <w:jc w:val="both"/>
      </w:pPr>
      <w:r>
        <w:rPr>
          <w:rFonts w:ascii="Times New Roman" w:hAnsi="Times New Roman" w:eastAsia="方正仿宋_GBK"/>
          <w:b w:val="0"/>
          <w:sz w:val="24"/>
        </w:rPr>
        <w:t xml:space="preserve">容载比用于规划阶段估计一个地区需要配置的公用主变总容量。主变容量既要承担当前最大负荷，还需满足负荷增长、检修及主变N-1条件；设备台数和负荷同时性也会影响所需储备。因此，规划通常以年网供最大负荷乘以相应容载比估算区域容量，再通过逐站校核落实建设规模[5][8]。这一指标便于在站址和网络方案尚未完全确定时控制容量总量，具体取值需要与负荷发展和供电条件对应。</w:t>
      </w:r>
    </w:p>
    <w:p>
      <w:pPr>
        <w:pStyle w:val="2"/>
        <w:widowControl/>
        <w:spacing w:line="300" w:lineRule="auto" w:before="0" w:after="0"/>
        <w:ind w:firstLine="480"/>
        <w:jc w:val="both"/>
      </w:pPr>
      <w:r>
        <w:rPr>
          <w:rFonts w:ascii="Times New Roman" w:hAnsi="Times New Roman" w:eastAsia="方正仿宋_GBK"/>
          <w:b w:val="0"/>
          <w:sz w:val="24"/>
        </w:rPr>
        <w:t xml:space="preserve">本项目研究容载比控制与建设方案之间的关系。对给定区域负荷、设备初态和候选措施，先求满足技术条件的主变、储能及联络配置，再计算年度容载比和全寿命费用。这样形成的推荐值具有对应的建设措施及约束条件，便于说明采用某个比值需要付出多少投资、获得何种容量配置，以及哪些条件发生变化后需要重新比选。</w:t>
      </w:r>
    </w:p>
    <w:p>
      <w:pPr>
        <w:pStyle w:val="2"/>
        <w:widowControl/>
        <w:spacing w:line="300" w:lineRule="auto" w:before="0" w:after="0"/>
        <w:ind w:firstLine="480"/>
        <w:jc w:val="both"/>
      </w:pPr>
      <w:r>
        <w:rPr>
          <w:rFonts w:ascii="Times New Roman" w:hAnsi="Times New Roman" w:eastAsia="方正仿宋_GBK"/>
          <w:b w:val="0"/>
          <w:sz w:val="24"/>
        </w:rPr>
        <w:t xml:space="preserve">弹性方案允许在既定研究边界内放宽一般容载比控制值。容量提高后，局部供电安全约束所需的储能可能减少；但主变购置、配套工程及后续运维费用也会增加。两种费用变化能否相抵，取决于主变规格、储能价格、峰段持续时间和负荷空间分布。研究以同措施集合、同价格和同初态比较方案，通过费用结果评价两类方案的经济性。</w:t>
      </w:r>
    </w:p>
    <w:p>
      <w:pPr>
        <w:pStyle w:val="2"/>
        <w:widowControl/>
        <w:spacing w:line="300" w:lineRule="auto" w:before="0" w:after="0"/>
        <w:ind w:firstLine="480"/>
        <w:jc w:val="both"/>
      </w:pPr>
      <w:r>
        <w:rPr>
          <w:rFonts w:ascii="Times New Roman" w:hAnsi="Times New Roman" w:eastAsia="方正仿宋_GBK"/>
          <w:b w:val="0"/>
          <w:sz w:val="24"/>
        </w:rPr>
        <w:t xml:space="preserve">实际规划还应区分容量变化与负荷变化对年度容载比的影响。既有主变保持不变而年最大负荷下降，容载比会升高；这并不意味着当年新增了容量。反之，负荷增长快于容量增长时，新增主变后容载比仍可能降低。逐年方案需同时列出主变在役容量、采购容量和年度负荷，才能把指标变化与建设行为对应起来。</w:t>
      </w:r>
    </w:p>
    <w:p>
      <w:pPr>
        <w:pStyle w:val="2"/>
        <w:widowControl/>
        <w:spacing w:line="300" w:lineRule="auto" w:before="0" w:after="0"/>
        <w:ind w:firstLine="480"/>
        <w:jc w:val="both"/>
      </w:pPr>
      <w:r>
        <w:rPr>
          <w:rFonts w:ascii="Times New Roman" w:hAnsi="Times New Roman" w:eastAsia="方正仿宋_GBK"/>
          <w:b w:val="0"/>
          <w:sz w:val="24"/>
        </w:rPr>
        <w:t xml:space="preserve">研究成果拟用于区域规划前期的技术经济比选。其直接价值是提供相应配置路径、价格参数与条件推荐矩阵，并明确推荐值随相关条件变化的范围。采用相似片区模板时，仍需核对实际容量和负荷分布。涉及具体接线、故障恢复时间、电压与保护配合的工程结论，应在接入系统或专项规划阶段另行校核。</w:t>
      </w:r>
    </w:p>
    <w:p>
      <w:bookmarkStart w:id="1019" w:name="h19"/>
      <w:pPr>
        <w:pStyle w:val="4"/>
        <w:keepNext/>
        <w:numPr>
          <w:numId w:val="0"/>
        </w:numPr>
        <w:spacing w:line="360" w:lineRule="auto" w:before="160" w:after="120"/>
        <w:ind w:firstLine="0"/>
      </w:pPr>
      <w:bookmarkStart w:id="25" w:name="主要概念与规范依据"/>
      <w:r>
        <w:rPr>
          <w:rFonts w:ascii="Times New Roman" w:hAnsi="Times New Roman" w:eastAsia="方正仿宋_GBK"/>
          <w:b/>
          <w:sz w:val="32"/>
        </w:rPr>
        <w:t xml:space="preserve">1.2 主要概念与规范依据</w:t>
      </w:r>
      <w:bookmarkEnd w:id="25"/>
      <w:bookmarkEnd w:id="1019"/>
    </w:p>
    <w:p>
      <w:pPr>
        <w:pStyle w:val="5"/>
        <w:keepNext/>
        <w:numPr>
          <w:numId w:val="0"/>
        </w:numPr>
        <w:spacing w:line="360" w:lineRule="auto" w:before="160" w:after="120"/>
        <w:ind w:firstLine="0"/>
      </w:pPr>
      <w:bookmarkStart w:id="26" w:name="容载比供电能力与承载力"/>
      <w:r>
        <w:rPr>
          <w:rFonts w:ascii="Times New Roman" w:hAnsi="Times New Roman" w:eastAsia="方正仿宋_GBK"/>
          <w:b/>
          <w:sz w:val="26"/>
        </w:rPr>
        <w:t xml:space="preserve">1.2.1 容载比、供电能力与承载力</w:t>
      </w:r>
      <w:bookmarkEnd w:id="26"/>
    </w:p>
    <w:p>
      <w:pPr>
        <w:pStyle w:val="FirstParagraph"/>
        <w:widowControl/>
        <w:spacing w:line="300" w:lineRule="auto" w:before="0" w:after="0"/>
        <w:ind w:firstLine="480"/>
        <w:jc w:val="both"/>
      </w:pPr>
      <w:r>
        <w:rPr>
          <w:rFonts w:ascii="Times New Roman" w:hAnsi="Times New Roman" w:eastAsia="方正仿宋_GBK"/>
          <w:b w:val="0"/>
          <w:sz w:val="24"/>
        </w:rPr>
        <w:t xml:space="preserve">DL/T 5729—2023《配电网规划设计技术导则》将容载比用于110～35 kV电网容量储备分析[5]。容载比按规划区域同电压等级公用变电设备总容量与年网供最大负荷之比计算。负荷发展较快的片区需要相应容量储备，增长较慢或趋于饱和的片区则应结合供电安全及转供条件确定容量规模。</w:t>
      </w:r>
    </w:p>
    <w:p>
      <w:pPr>
        <w:pStyle w:val="2"/>
        <w:widowControl/>
        <w:spacing w:line="300" w:lineRule="auto" w:before="0" w:after="0"/>
        <w:ind w:firstLine="480"/>
        <w:jc w:val="both"/>
      </w:pPr>
      <w:r>
        <w:rPr>
          <w:rFonts w:ascii="Times New Roman" w:hAnsi="Times New Roman" w:eastAsia="方正仿宋_GBK"/>
          <w:b w:val="0"/>
          <w:sz w:val="24"/>
        </w:rPr>
        <w:t xml:space="preserve">最大供电能力描述满足供电安全要求时可以持续供应的最大负荷。肖峻等将站内主变转带与下级中压网络转带纳入供电能力分析，说明容量总量、主变台数及网络互联共同影响可供负荷[8]。该概念用于解释相同区域容载比下不同站群可能具有不同的局部供电能力。</w:t>
      </w:r>
    </w:p>
    <w:p>
      <w:pPr>
        <w:pStyle w:val="2"/>
        <w:widowControl/>
        <w:spacing w:line="300" w:lineRule="auto" w:before="0" w:after="0"/>
        <w:ind w:firstLine="480"/>
        <w:jc w:val="both"/>
      </w:pPr>
      <w:r>
        <w:rPr>
          <w:rFonts w:ascii="Times New Roman" w:hAnsi="Times New Roman" w:eastAsia="方正仿宋_GBK"/>
          <w:b w:val="0"/>
          <w:sz w:val="24"/>
        </w:rPr>
        <w:t xml:space="preserve">DL/T 2041—2025《分布式电源接入电力系统承载力评估导则》规定系统级和设备级承载力评估及结果校核方法[9]。承载力重点评价分布式电源接入规模与电网约束之间的关系；容载比重点评价公用变电容量与区域供电负荷之间的关系。本项目以容载比选取为目标，同时在站级模型中校核正向供电与反向容量需求。</w:t>
      </w:r>
    </w:p>
    <w:p>
      <w:pPr>
        <w:pStyle w:val="5"/>
        <w:keepNext/>
        <w:numPr>
          <w:numId w:val="0"/>
        </w:numPr>
        <w:spacing w:line="360" w:lineRule="auto" w:before="160" w:after="120"/>
        <w:ind w:firstLine="0"/>
      </w:pPr>
      <w:bookmarkStart w:id="27" w:name="刚性基准与弹性方案"/>
      <w:r>
        <w:rPr>
          <w:rFonts w:ascii="Times New Roman" w:hAnsi="Times New Roman" w:eastAsia="方正仿宋_GBK"/>
          <w:b/>
          <w:sz w:val="26"/>
        </w:rPr>
        <w:t xml:space="preserve">1.2.2 刚性基准与弹性方案</w:t>
      </w:r>
      <w:bookmarkEnd w:id="27"/>
    </w:p>
    <w:p>
      <w:pPr>
        <w:pStyle w:val="FirstParagraph"/>
        <w:widowControl/>
        <w:spacing w:line="300" w:lineRule="auto" w:before="0" w:after="0"/>
        <w:ind w:firstLine="480"/>
        <w:jc w:val="both"/>
      </w:pPr>
      <w:r>
        <w:rPr>
          <w:rFonts w:ascii="Times New Roman" w:hAnsi="Times New Roman" w:eastAsia="方正仿宋_GBK"/>
          <w:b w:val="0"/>
          <w:sz w:val="24"/>
        </w:rPr>
        <w:t xml:space="preserve">本研究将弹性容载比定义为：在满足相同技术约束条件下，经全寿命费用比较确定、允许适度偏离一般容载比上限的取值。该名称用于本课题的规划研究。</w:t>
      </w:r>
    </w:p>
    <w:p>
      <w:pPr>
        <w:pStyle w:val="2"/>
        <w:widowControl/>
        <w:spacing w:line="300" w:lineRule="auto" w:before="0" w:after="0"/>
        <w:ind w:firstLine="480"/>
        <w:jc w:val="both"/>
      </w:pPr>
      <w:r>
        <w:rPr>
          <w:rFonts w:ascii="Times New Roman" w:hAnsi="Times New Roman" w:eastAsia="方正仿宋_GBK"/>
          <w:b w:val="0"/>
          <w:sz w:val="24"/>
        </w:rPr>
        <w:t xml:space="preserve">导则按负荷发展阶段给出容载比推荐范围，具体选取还应结合供电安全、网络转供和技术经济分析[5]。本研究以容载比2.00为两类方案共同仿真起点，刚性方案后续各年按2.00上限控制，弹性方案在满足相同站级技术条件下开展高于2.00的容量配置比选，研究上限为2.60。</w:t>
      </w:r>
    </w:p>
    <w:p>
      <w:pPr>
        <w:pStyle w:val="2"/>
        <w:widowControl/>
        <w:spacing w:line="300" w:lineRule="auto" w:before="0" w:after="0"/>
        <w:ind w:firstLine="480"/>
        <w:jc w:val="both"/>
      </w:pPr>
      <w:r>
        <w:rPr>
          <w:rFonts w:ascii="Times New Roman" w:hAnsi="Times New Roman" w:eastAsia="方正仿宋_GBK"/>
          <w:b w:val="0"/>
          <w:sz w:val="24"/>
        </w:rPr>
        <w:t xml:space="preserve">两类方案使用相同负荷、设备规格、储能和联络候选措施以及工程价格。比较结果来自不同容载比条件下的设备与负荷配置。弹性规划建议属于本项目技术经济研究成果，工程应用结合现行标准和审定规划落实。</w:t>
      </w:r>
    </w:p>
    <w:p>
      <w:pPr>
        <w:pStyle w:val="5"/>
        <w:keepNext/>
        <w:numPr>
          <w:numId w:val="0"/>
        </w:numPr>
        <w:spacing w:line="360" w:lineRule="auto" w:before="160" w:after="120"/>
        <w:ind w:firstLine="0"/>
      </w:pPr>
      <w:bookmarkStart w:id="28" w:name="全寿命费用与方案评价"/>
      <w:r>
        <w:rPr>
          <w:rFonts w:ascii="Times New Roman" w:hAnsi="Times New Roman" w:eastAsia="方正仿宋_GBK"/>
          <w:b/>
          <w:sz w:val="26"/>
        </w:rPr>
        <w:t xml:space="preserve">1.2.3 全寿命费用与方案评价</w:t>
      </w:r>
      <w:bookmarkEnd w:id="28"/>
    </w:p>
    <w:p>
      <w:pPr>
        <w:pStyle w:val="FirstParagraph"/>
        <w:widowControl/>
        <w:spacing w:line="300" w:lineRule="auto" w:before="0" w:after="0"/>
        <w:ind w:firstLine="480"/>
        <w:jc w:val="both"/>
      </w:pPr>
      <w:r>
        <w:rPr>
          <w:rFonts w:ascii="Times New Roman" w:hAnsi="Times New Roman" w:eastAsia="方正仿宋_GBK"/>
          <w:b w:val="0"/>
          <w:sz w:val="24"/>
        </w:rPr>
        <w:t xml:space="preserve">全寿命费用将措施初始投资、固定运维和设备更新费用折算到同一评价时点，以比较不同寿命和投运年份的建设方案[10,11,12]。主变增容和主变扩建形成长期在役容量，储能承担相应峰段支撑，10 kV联络改善站间负荷配置，各措施按实际购置事件计算费用。</w:t>
      </w:r>
    </w:p>
    <w:p>
      <w:pPr>
        <w:pStyle w:val="2"/>
        <w:widowControl/>
        <w:spacing w:line="300" w:lineRule="auto" w:before="0" w:after="0"/>
        <w:ind w:firstLine="480"/>
        <w:jc w:val="both"/>
      </w:pPr>
      <w:r>
        <w:rPr>
          <w:rFonts w:ascii="Times New Roman" w:hAnsi="Times New Roman" w:eastAsia="方正仿宋_GBK"/>
          <w:b w:val="0"/>
          <w:sz w:val="24"/>
        </w:rPr>
        <w:t xml:space="preserve">层次分析法、多准则排序和可拓评价可用于比较技术可行方案的其他规划属性[13][14][15][16]。本项目采用全寿命费用最小作为寻优目标，供电安全及设备容量作为约束，并结合片区源荷条件形成推荐范围。工程实施阶段可补充施工条件、土地资源及运行方式的综合评价。</w:t>
      </w:r>
    </w:p>
    <w:p>
      <w:pPr>
        <w:pStyle w:val="5"/>
        <w:keepNext/>
        <w:numPr>
          <w:numId w:val="0"/>
        </w:numPr>
        <w:spacing w:line="360" w:lineRule="auto" w:before="160" w:after="120"/>
        <w:ind w:firstLine="0"/>
      </w:pPr>
      <w:bookmarkStart w:id="29" w:name="规范与研究指标的衔接"/>
      <w:r>
        <w:rPr>
          <w:rFonts w:ascii="Times New Roman" w:hAnsi="Times New Roman" w:eastAsia="方正仿宋_GBK"/>
          <w:b/>
          <w:sz w:val="26"/>
        </w:rPr>
        <w:t xml:space="preserve">1.2.4 规范与研究指标的衔接</w:t>
      </w:r>
      <w:bookmarkEnd w:id="29"/>
    </w:p>
    <w:p>
      <w:pPr>
        <w:pStyle w:val="FirstParagraph"/>
        <w:widowControl/>
        <w:spacing w:line="300" w:lineRule="auto" w:before="0" w:after="0"/>
        <w:ind w:firstLine="480"/>
        <w:jc w:val="both"/>
      </w:pPr>
      <w:r>
        <w:rPr>
          <w:rFonts w:ascii="Times New Roman" w:hAnsi="Times New Roman" w:eastAsia="方正仿宋_GBK"/>
          <w:b w:val="0"/>
          <w:sz w:val="24"/>
        </w:rPr>
        <w:t xml:space="preserve">报告以DL/T 5729—2023《配电网规划设计技术导则》确定容量规划和供电区域分类依据，以DL/T 2041—2025《分布式电源接入电力系统承载力评估导则》组织分布式电源容量校核[5][9]。GB/T 45418—2025《配电网通用技术导则》作为下级配电网技术分析的补充依据[17]。分布式电源装机渗透率和电量渗透率采用《配电网规划设计技术导则（修订稿，2025年4月）》的指标定义[7]，用于描述片区源荷条件。</w:t>
      </w:r>
    </w:p>
    <w:p>
      <w:bookmarkStart w:id="1033" w:name="h33"/>
      <w:pPr>
        <w:pStyle w:val="4"/>
        <w:keepNext/>
        <w:numPr>
          <w:numId w:val="0"/>
        </w:numPr>
        <w:spacing w:line="360" w:lineRule="auto" w:before="160" w:after="120"/>
        <w:ind w:firstLine="0"/>
      </w:pPr>
      <w:bookmarkStart w:id="30" w:name="研究范围与对象"/>
      <w:r>
        <w:rPr>
          <w:rFonts w:ascii="Times New Roman" w:hAnsi="Times New Roman" w:eastAsia="方正仿宋_GBK"/>
          <w:b/>
          <w:sz w:val="32"/>
        </w:rPr>
        <w:t xml:space="preserve">1.3 研究范围与对象</w:t>
      </w:r>
      <w:bookmarkEnd w:id="30"/>
      <w:bookmarkEnd w:id="1033"/>
    </w:p>
    <w:p>
      <w:pPr>
        <w:pStyle w:val="5"/>
        <w:keepNext/>
        <w:numPr>
          <w:numId w:val="0"/>
        </w:numPr>
        <w:spacing w:line="360" w:lineRule="auto" w:before="160" w:after="120"/>
        <w:ind w:firstLine="0"/>
      </w:pPr>
      <w:bookmarkStart w:id="31" w:name="电压等级与统计范围"/>
      <w:r>
        <w:rPr>
          <w:rFonts w:ascii="Times New Roman" w:hAnsi="Times New Roman" w:eastAsia="方正仿宋_GBK"/>
          <w:b/>
          <w:sz w:val="26"/>
        </w:rPr>
        <w:t xml:space="preserve">1.3.1 电压等级与统计范围</w:t>
      </w:r>
      <w:bookmarkEnd w:id="31"/>
    </w:p>
    <w:p>
      <w:pPr>
        <w:pStyle w:val="FirstParagraph"/>
        <w:widowControl/>
        <w:spacing w:line="300" w:lineRule="auto" w:before="0" w:after="0"/>
        <w:ind w:firstLine="480"/>
        <w:jc w:val="both"/>
      </w:pPr>
      <w:r>
        <w:rPr>
          <w:rFonts w:ascii="Times New Roman" w:hAnsi="Times New Roman" w:eastAsia="方正仿宋_GBK"/>
          <w:b w:val="0"/>
          <w:sz w:val="24"/>
        </w:rPr>
        <w:t xml:space="preserve">研究对象为徐州典型地区110 kV公用变电设备的区域容量配置。按照DL/T 5729—2023第6.3.3条，以行政区县作为最小统计分析范围[5]。本研究优化对象为邳州和市区。研究统计和优化均按110 kV范围开展。</w:t>
      </w:r>
    </w:p>
    <w:p>
      <w:pPr>
        <w:pStyle w:val="2"/>
        <w:widowControl/>
        <w:spacing w:line="300" w:lineRule="auto" w:before="0" w:after="0"/>
        <w:ind w:firstLine="480"/>
        <w:jc w:val="both"/>
      </w:pPr>
      <w:r>
        <w:rPr>
          <w:rFonts w:ascii="Times New Roman" w:hAnsi="Times New Roman" w:eastAsia="方正仿宋_GBK"/>
          <w:b w:val="0"/>
          <w:sz w:val="24"/>
        </w:rPr>
        <w:t xml:space="preserve">邳州站级模型含20座110 kV变电站，市区含29座已映射或补充的仿真站。年网供最大负荷采用区县同电压等级年度降压负荷估计，站级空间分布由样本时序标定。区域年度负荷用于容载比计算，各站最大净负荷用于局部容量校核。</w:t>
      </w:r>
    </w:p>
    <w:p>
      <w:pPr>
        <w:pStyle w:val="2"/>
        <w:widowControl/>
        <w:spacing w:line="300" w:lineRule="auto" w:before="0" w:after="0"/>
        <w:ind w:firstLine="480"/>
        <w:jc w:val="both"/>
      </w:pPr>
      <w:r>
        <w:rPr>
          <w:rFonts w:ascii="Times New Roman" w:hAnsi="Times New Roman" w:eastAsia="方正仿宋_GBK"/>
          <w:b w:val="0"/>
          <w:sz w:val="24"/>
        </w:rPr>
        <w:t xml:space="preserve">供电区域分类按DL/T 5729—2023《配电网规划设计技术导则》规定的负荷密度、城市规模及用地条件等划分，用于确定差异化建设和供电安全要求[5]。A类通常对应较高负荷密度的城镇区域，B类和C类适用于相应密度及发展水平的供电区域；具体类别按导则划分表核定。邳州保留样本类别，市区统一按A类进行规划仿真；通用外推设置A类与B/C类站群，分别采用相应设备规格和转供能力范围。</w:t>
      </w:r>
    </w:p>
    <w:p>
      <w:pPr>
        <w:pStyle w:val="5"/>
        <w:keepNext/>
        <w:numPr>
          <w:numId w:val="0"/>
        </w:numPr>
        <w:spacing w:line="360" w:lineRule="auto" w:before="160" w:after="120"/>
        <w:ind w:firstLine="0"/>
      </w:pPr>
      <w:bookmarkStart w:id="32" w:name="年份与评价期"/>
      <w:r>
        <w:rPr>
          <w:rFonts w:ascii="Times New Roman" w:hAnsi="Times New Roman" w:eastAsia="方正仿宋_GBK"/>
          <w:b/>
          <w:sz w:val="26"/>
        </w:rPr>
        <w:t xml:space="preserve">1.3.2 年份与评价期</w:t>
      </w:r>
      <w:bookmarkEnd w:id="32"/>
    </w:p>
    <w:p>
      <w:pPr>
        <w:pStyle w:val="FirstParagraph"/>
        <w:widowControl/>
        <w:spacing w:line="300" w:lineRule="auto" w:before="0" w:after="0"/>
        <w:ind w:firstLine="480"/>
        <w:jc w:val="both"/>
      </w:pPr>
      <w:r>
        <w:rPr>
          <w:rFonts w:ascii="Times New Roman" w:hAnsi="Times New Roman" w:eastAsia="方正仿宋_GBK"/>
          <w:b w:val="0"/>
          <w:sz w:val="24"/>
        </w:rPr>
        <w:t xml:space="preserve">2021—2025年资料用于分析负荷发展、光伏装机和设备运行特征。规划仿真采用共同的容载比2.00起点，以历史资料形成的年负荷平均增长率构造后续四年负荷。现状统计与仿真规划分别列示，年度建设规模由满足约束的优化结果确定。</w:t>
      </w:r>
    </w:p>
    <w:p>
      <w:pPr>
        <w:pStyle w:val="2"/>
        <w:widowControl/>
        <w:spacing w:line="300" w:lineRule="auto" w:before="0" w:after="0"/>
        <w:ind w:firstLine="480"/>
        <w:jc w:val="both"/>
      </w:pPr>
      <w:r>
        <w:rPr>
          <w:rFonts w:ascii="Times New Roman" w:hAnsi="Times New Roman" w:eastAsia="方正仿宋_GBK"/>
          <w:b w:val="0"/>
          <w:sz w:val="24"/>
        </w:rPr>
        <w:t xml:space="preserve">基期主变按离散规格配置，基期年网供最大负荷取主变总容量的二分之一。站级负荷沿用实际样本的空间分布，再按年度区域负荷标定。邳州和市区的刚性、弹性方案分别共用本地区的起点、负荷和价格。</w:t>
      </w:r>
    </w:p>
    <w:p>
      <w:pPr>
        <w:pStyle w:val="2"/>
        <w:widowControl/>
        <w:spacing w:line="300" w:lineRule="auto" w:before="0" w:after="0"/>
        <w:ind w:firstLine="480"/>
        <w:jc w:val="both"/>
      </w:pPr>
      <w:r>
        <w:rPr>
          <w:rFonts w:ascii="Times New Roman" w:hAnsi="Times New Roman" w:eastAsia="方正仿宋_GBK"/>
          <w:b w:val="0"/>
          <w:sz w:val="24"/>
        </w:rPr>
        <w:t xml:space="preserve">经济评价以2021年末为折现基准，评价截止于2041年。仿真第1—4年在计算文件中分别标记为2022—2025年，用于统一投运时间和现金流折现。主变、线路和储能的寿命、运维率采用第四章列明的研究参数[10,11,12]。</w:t>
      </w:r>
    </w:p>
    <w:p>
      <w:pPr>
        <w:pStyle w:val="5"/>
        <w:keepNext/>
        <w:numPr>
          <w:numId w:val="0"/>
        </w:numPr>
        <w:spacing w:line="360" w:lineRule="auto" w:before="160" w:after="120"/>
        <w:ind w:firstLine="0"/>
      </w:pPr>
      <w:bookmarkStart w:id="33" w:name="技术分析与费用边界"/>
      <w:r>
        <w:rPr>
          <w:rFonts w:ascii="Times New Roman" w:hAnsi="Times New Roman" w:eastAsia="方正仿宋_GBK"/>
          <w:b/>
          <w:sz w:val="26"/>
        </w:rPr>
        <w:t xml:space="preserve">1.3.3 技术分析与费用边界</w:t>
      </w:r>
      <w:bookmarkEnd w:id="33"/>
    </w:p>
    <w:p>
      <w:pPr>
        <w:pStyle w:val="FirstParagraph"/>
        <w:widowControl/>
        <w:spacing w:line="300" w:lineRule="auto" w:before="0" w:after="0"/>
        <w:ind w:firstLine="480"/>
        <w:jc w:val="both"/>
      </w:pPr>
      <w:r>
        <w:rPr>
          <w:rFonts w:ascii="Times New Roman" w:hAnsi="Times New Roman" w:eastAsia="方正仿宋_GBK"/>
          <w:b w:val="0"/>
          <w:sz w:val="24"/>
        </w:rPr>
        <w:t xml:space="preserve">技术模型包括正向供电、反向功率压力、主变N-1后的静态供电安全容量以及正常负荷转接约束。储能按峰段持续时间折算有效支撑功率，联络通道按送受两端成对计量。模型采用峰段静态支撑进行规划比选。</w:t>
      </w:r>
    </w:p>
    <w:p>
      <w:pPr>
        <w:pStyle w:val="2"/>
        <w:widowControl/>
        <w:spacing w:line="300" w:lineRule="auto" w:before="0" w:after="0"/>
        <w:ind w:firstLine="480"/>
        <w:jc w:val="both"/>
      </w:pPr>
      <w:r>
        <w:rPr>
          <w:rFonts w:ascii="Times New Roman" w:hAnsi="Times New Roman" w:eastAsia="方正仿宋_GBK"/>
          <w:b w:val="0"/>
          <w:sz w:val="24"/>
        </w:rPr>
        <w:t xml:space="preserve">费用包括新增主变工程、储能和新建等效联络线的初始投资，以及相应固定运维和寿命更新。既有资产按在役设备状态进入模型，费用目标计算新增措施支出。上述科目可能影响工程经济排序，报告在费用解释和应用条件中说明其对应影响。</w:t>
      </w:r>
    </w:p>
    <w:p>
      <w:pPr>
        <w:pStyle w:val="2"/>
        <w:widowControl/>
        <w:spacing w:line="300" w:lineRule="auto" w:before="0" w:after="0"/>
        <w:ind w:firstLine="480"/>
        <w:jc w:val="both"/>
      </w:pPr>
      <w:r>
        <w:rPr>
          <w:rFonts w:ascii="Times New Roman" w:hAnsi="Times New Roman" w:eastAsia="方正仿宋_GBK"/>
          <w:b w:val="0"/>
          <w:sz w:val="24"/>
        </w:rPr>
        <w:t xml:space="preserve">两类方案均可选主变替换、扩建主变、配置储能、利用既有仿真通道转接负荷及新建联络线。市区初始站间转供率假定为50%；邳州采用六馈线样本测算的28.29%，在区县内部统一应用。新建10 kV联络线提供新增转供能力。弹性各年超过2.00及市区指标低于邳州，为本研究方案比较的显式规划条件；费用排序由寻优结果产生。第五章将区分规划条件、模型结果与外推建议。</w:t>
      </w:r>
    </w:p>
    <w:p>
      <w:bookmarkStart w:id="1046" w:name="h46"/>
      <w:pPr>
        <w:pStyle w:val="4"/>
        <w:keepNext/>
        <w:numPr>
          <w:numId w:val="0"/>
        </w:numPr>
        <w:spacing w:line="360" w:lineRule="auto" w:before="160" w:after="120"/>
        <w:ind w:firstLine="0"/>
      </w:pPr>
      <w:bookmarkStart w:id="34" w:name="研究目标与内容"/>
      <w:r>
        <w:rPr>
          <w:rFonts w:ascii="Times New Roman" w:hAnsi="Times New Roman" w:eastAsia="方正仿宋_GBK"/>
          <w:b/>
          <w:sz w:val="32"/>
        </w:rPr>
        <w:t xml:space="preserve">1.4 研究目标与内容</w:t>
      </w:r>
      <w:bookmarkEnd w:id="34"/>
      <w:bookmarkEnd w:id="1046"/>
    </w:p>
    <w:p>
      <w:pPr>
        <w:pStyle w:val="5"/>
        <w:keepNext/>
        <w:numPr>
          <w:numId w:val="0"/>
        </w:numPr>
        <w:spacing w:line="360" w:lineRule="auto" w:before="160" w:after="120"/>
        <w:ind w:firstLine="0"/>
      </w:pPr>
      <w:bookmarkStart w:id="35" w:name="研究目标"/>
      <w:r>
        <w:rPr>
          <w:rFonts w:ascii="Times New Roman" w:hAnsi="Times New Roman" w:eastAsia="方正仿宋_GBK"/>
          <w:b/>
          <w:sz w:val="26"/>
        </w:rPr>
        <w:t xml:space="preserve">1.4.1 研究目标</w:t>
      </w:r>
      <w:bookmarkEnd w:id="35"/>
    </w:p>
    <w:p>
      <w:pPr>
        <w:pStyle w:val="FirstParagraph"/>
        <w:widowControl/>
        <w:spacing w:line="300" w:lineRule="auto" w:before="0" w:after="0"/>
        <w:ind w:firstLine="480"/>
        <w:jc w:val="both"/>
      </w:pPr>
      <w:r>
        <w:rPr>
          <w:rFonts w:ascii="Times New Roman" w:hAnsi="Times New Roman" w:eastAsia="方正仿宋_GBK"/>
          <w:b w:val="0"/>
          <w:sz w:val="24"/>
        </w:rPr>
        <w:t xml:space="preserve">研究首先明确容载比、负载率与新能源渗透指标的统计边界，形成原始表格到计算量的一致对应关系。对缺少同范围用户用电量或完整逐时数据的指标，保留估计性质及计算方法，使现状对照和优化输入的可信范围可以判断。</w:t>
      </w:r>
    </w:p>
    <w:p>
      <w:pPr>
        <w:pStyle w:val="2"/>
        <w:widowControl/>
        <w:spacing w:line="300" w:lineRule="auto" w:before="0" w:after="0"/>
        <w:ind w:firstLine="480"/>
        <w:jc w:val="both"/>
      </w:pPr>
      <w:r>
        <w:rPr>
          <w:rFonts w:ascii="Times New Roman" w:hAnsi="Times New Roman" w:eastAsia="方正仿宋_GBK"/>
          <w:b w:val="0"/>
          <w:sz w:val="24"/>
        </w:rPr>
        <w:t xml:space="preserve">其次，以实际工程投资和采购案例建立统一费用模型。主变按新购铭牌容量计价，主变扩建按独立案例标定；线路按长度、敷设方式及开关数量构造工程费用；储能同时记录功率、能量与价格。将三类措施折算到同一评价期，避免仅凭单次投资比值决定规划方案。</w:t>
      </w:r>
    </w:p>
    <w:p>
      <w:pPr>
        <w:pStyle w:val="2"/>
        <w:widowControl/>
        <w:spacing w:line="300" w:lineRule="auto" w:before="0" w:after="0"/>
        <w:ind w:firstLine="480"/>
        <w:jc w:val="both"/>
      </w:pPr>
      <w:r>
        <w:rPr>
          <w:rFonts w:ascii="Times New Roman" w:hAnsi="Times New Roman" w:eastAsia="方正仿宋_GBK"/>
          <w:b w:val="0"/>
          <w:sz w:val="24"/>
        </w:rPr>
        <w:t xml:space="preserve">在此基础上，形成后续四年同初态、同措施集合的刚性和弹性路径，给出每年主变容量、采购措施、储能配置、正常负荷转接及费用。推荐容载比由这些实际决策计算得到，并满足正反向供电需求与供电安全要求。</w:t>
      </w:r>
    </w:p>
    <w:p>
      <w:pPr>
        <w:pStyle w:val="2"/>
        <w:widowControl/>
        <w:spacing w:line="300" w:lineRule="auto" w:before="0" w:after="0"/>
        <w:ind w:firstLine="480"/>
        <w:jc w:val="both"/>
      </w:pPr>
      <w:r>
        <w:rPr>
          <w:rFonts w:ascii="Times New Roman" w:hAnsi="Times New Roman" w:eastAsia="方正仿宋_GBK"/>
          <w:b w:val="0"/>
          <w:sz w:val="24"/>
        </w:rPr>
        <w:t xml:space="preserve">最后，围绕主变与线路、主变与储能两个成本比例开展敏感性分析，结合源荷水平、峰段持续时间和年负荷平均增长率构造条件矩阵。通用矩阵按参数分档给出容载比上限参考档、同档占比及计算范围，具体工程措施在方案结果和配套工作簿中列示。</w:t>
      </w:r>
    </w:p>
    <w:p>
      <w:pPr>
        <w:pStyle w:val="5"/>
        <w:keepNext/>
        <w:numPr>
          <w:numId w:val="0"/>
        </w:numPr>
        <w:spacing w:line="360" w:lineRule="auto" w:before="160" w:after="120"/>
        <w:ind w:firstLine="0"/>
      </w:pPr>
      <w:bookmarkStart w:id="36" w:name="主要研究内容"/>
      <w:r>
        <w:rPr>
          <w:rFonts w:ascii="Times New Roman" w:hAnsi="Times New Roman" w:eastAsia="方正仿宋_GBK"/>
          <w:b/>
          <w:sz w:val="26"/>
        </w:rPr>
        <w:t xml:space="preserve">1.4.2 主要研究内容</w:t>
      </w:r>
      <w:bookmarkEnd w:id="36"/>
    </w:p>
    <w:p>
      <w:pPr>
        <w:pStyle w:val="FirstParagraph"/>
        <w:widowControl/>
        <w:spacing w:line="300" w:lineRule="auto" w:before="0" w:after="0"/>
        <w:ind w:firstLine="480"/>
        <w:jc w:val="both"/>
      </w:pPr>
      <w:r>
        <w:rPr>
          <w:rFonts w:ascii="Times New Roman" w:hAnsi="Times New Roman" w:eastAsia="方正仿宋_GBK"/>
          <w:b w:val="0"/>
          <w:sz w:val="24"/>
        </w:rPr>
        <w:t xml:space="preserve">现状分析以区县年度容量和负荷表为基础，核对邳州和市区的110 kV统计范围；结合设备台账及站级时序分析正反向净负荷、绝对峰值、峰段持续时间和主变负载率。分布式光伏月度装机与典型出力曲线用于估计发电量，并分别核定用户负荷与电量分母。</w:t>
      </w:r>
    </w:p>
    <w:p>
      <w:pPr>
        <w:pStyle w:val="2"/>
        <w:widowControl/>
        <w:spacing w:line="300" w:lineRule="auto" w:before="0" w:after="0"/>
        <w:ind w:firstLine="480"/>
        <w:jc w:val="both"/>
      </w:pPr>
      <w:r>
        <w:rPr>
          <w:rFonts w:ascii="Times New Roman" w:hAnsi="Times New Roman" w:eastAsia="方正仿宋_GBK"/>
          <w:b w:val="0"/>
          <w:sz w:val="24"/>
        </w:rPr>
        <w:t xml:space="preserve">工程费用研究以徐州主变扩建和替换工程为主要价格依据，采用采购案例标定储能，采用公开规划造价形成线路参考情景。研究明确案例规模、包含工程内容与价格适用范围，给出成本系数的计算式。成本比例按可比的有效MW口径构造，并同时说明各措施在功能上的差异。</w:t>
      </w:r>
    </w:p>
    <w:p>
      <w:pPr>
        <w:pStyle w:val="2"/>
        <w:widowControl/>
        <w:spacing w:line="300" w:lineRule="auto" w:before="0" w:after="0"/>
        <w:ind w:firstLine="480"/>
        <w:jc w:val="both"/>
      </w:pPr>
      <w:r>
        <w:rPr>
          <w:rFonts w:ascii="Times New Roman" w:hAnsi="Times New Roman" w:eastAsia="方正仿宋_GBK"/>
          <w:b w:val="0"/>
          <w:sz w:val="24"/>
        </w:rPr>
        <w:t xml:space="preserve">规划采用混合整数线性优化。主变按20.00、31.50、40.00、50.00、63.00 MVA等允许容量选择，扩建主变及联络线投运状态、储能柜数为整数决策；站间正常转接功率为连续决策。以新增措施全寿命费用现值最小为主要目标，在共同技术约束下确定设备配置、建设时点和站间负荷转接量。</w:t>
      </w:r>
    </w:p>
    <w:p>
      <w:pPr>
        <w:pStyle w:val="2"/>
        <w:widowControl/>
        <w:spacing w:line="300" w:lineRule="auto" w:before="0" w:after="0"/>
        <w:ind w:firstLine="480"/>
        <w:jc w:val="both"/>
      </w:pPr>
      <w:r>
        <w:rPr>
          <w:rFonts w:ascii="Times New Roman" w:hAnsi="Times New Roman" w:eastAsia="方正仿宋_GBK"/>
          <w:b w:val="0"/>
          <w:sz w:val="24"/>
        </w:rPr>
        <w:t xml:space="preserve">方案分析结合区域年度容量与逐站建设安排，说明主变、储能和联络对容量配置及全寿命费用的影响。</w:t>
      </w:r>
    </w:p>
    <w:p>
      <w:pPr>
        <w:pStyle w:val="2"/>
        <w:widowControl/>
        <w:spacing w:line="300" w:lineRule="auto" w:before="0" w:after="0"/>
        <w:ind w:firstLine="480"/>
        <w:jc w:val="both"/>
      </w:pPr>
      <w:r>
        <w:rPr>
          <w:rFonts w:ascii="Times New Roman" w:hAnsi="Times New Roman" w:eastAsia="方正仿宋_GBK"/>
          <w:b w:val="0"/>
          <w:sz w:val="24"/>
        </w:rPr>
        <w:t xml:space="preserve">参数研究在按A类和B/C类供电区域分别构造的五站仿真模板中拓展装机渗透率、年负荷平均增长率、峰段持续时间及两个成本比，求解25200组目标年静态方案，按参数分档形成通用容载比参考档位。</w:t>
      </w:r>
    </w:p>
    <w:p>
      <w:bookmarkStart w:id="1058" w:name="h58"/>
      <w:pPr>
        <w:pStyle w:val="4"/>
        <w:keepNext/>
        <w:numPr>
          <w:numId w:val="0"/>
        </w:numPr>
        <w:spacing w:line="360" w:lineRule="auto" w:before="160" w:after="120"/>
        <w:ind w:firstLine="0"/>
      </w:pPr>
      <w:bookmarkStart w:id="37" w:name="研究方法与技术路线"/>
      <w:r>
        <w:rPr>
          <w:rFonts w:ascii="Times New Roman" w:hAnsi="Times New Roman" w:eastAsia="方正仿宋_GBK"/>
          <w:b/>
          <w:sz w:val="32"/>
        </w:rPr>
        <w:t xml:space="preserve">1.5 研究方法与技术路线</w:t>
      </w:r>
      <w:bookmarkEnd w:id="37"/>
      <w:bookmarkEnd w:id="1058"/>
    </w:p>
    <w:p>
      <w:pPr>
        <w:pStyle w:val="5"/>
        <w:keepNext/>
        <w:numPr>
          <w:numId w:val="0"/>
        </w:numPr>
        <w:spacing w:line="360" w:lineRule="auto" w:before="160" w:after="120"/>
        <w:ind w:firstLine="0"/>
      </w:pPr>
      <w:bookmarkStart w:id="38" w:name="运行指标分析与负荷增长估计"/>
      <w:r>
        <w:rPr>
          <w:rFonts w:ascii="Times New Roman" w:hAnsi="Times New Roman" w:eastAsia="方正仿宋_GBK"/>
          <w:b/>
          <w:sz w:val="26"/>
        </w:rPr>
        <w:t xml:space="preserve">1.5.1 运行指标分析与负荷增长估计</w:t>
      </w:r>
      <w:bookmarkEnd w:id="38"/>
    </w:p>
    <w:p>
      <w:pPr>
        <w:pStyle w:val="FirstParagraph"/>
        <w:widowControl/>
        <w:spacing w:line="300" w:lineRule="auto" w:before="0" w:after="0"/>
        <w:ind w:firstLine="480"/>
        <w:jc w:val="both"/>
      </w:pPr>
      <w:r>
        <w:rPr>
          <w:rFonts w:ascii="Times New Roman" w:hAnsi="Times New Roman" w:eastAsia="方正仿宋_GBK"/>
          <w:b w:val="0"/>
          <w:sz w:val="24"/>
        </w:rPr>
        <w:t xml:space="preserve">结合区域年度负荷与设备运行资料，分析分布式电源渗透水平、双向净负荷及95%峰值持续时间。候选指标先按资料完整性和统计口径筛查，再计算同口径指标之间及其与容载比的相关系数；将存在共同分母或直接换算关系的指标合并使用，结合容量约束确定核心参数。</w:t>
      </w:r>
    </w:p>
    <w:p>
      <w:pPr>
        <w:pStyle w:val="2"/>
        <w:widowControl/>
        <w:spacing w:line="300" w:lineRule="auto" w:before="0" w:after="0"/>
        <w:ind w:firstLine="480"/>
        <w:jc w:val="both"/>
      </w:pPr>
      <w:r>
        <w:rPr>
          <w:rFonts w:ascii="Times New Roman" w:hAnsi="Times New Roman" w:eastAsia="方正仿宋_GBK"/>
          <w:b w:val="0"/>
          <w:sz w:val="24"/>
        </w:rPr>
        <w:t xml:space="preserve">负荷增长估计采用2022—2025年四个同比增长率，权重依次为1∶2∶3∶4。递增权重使较近年份对规划负荷的影响更大，同时保留前期变化，减少单一年份波动的影响。这是本研究的统计设定，第三章同时列出等权平均和复合年增长率，说明不同估计方法对增长分档的影响。</w:t>
      </w:r>
    </w:p>
    <w:p>
      <w:pPr>
        <w:pStyle w:val="5"/>
        <w:keepNext/>
        <w:numPr>
          <w:numId w:val="0"/>
        </w:numPr>
        <w:spacing w:line="360" w:lineRule="auto" w:before="160" w:after="120"/>
        <w:ind w:firstLine="0"/>
      </w:pPr>
      <w:bookmarkStart w:id="39" w:name="工程单位费用计算与联合寻优"/>
      <w:r>
        <w:rPr>
          <w:rFonts w:ascii="Times New Roman" w:hAnsi="Times New Roman" w:eastAsia="方正仿宋_GBK"/>
          <w:b/>
          <w:sz w:val="26"/>
        </w:rPr>
        <w:t xml:space="preserve">1.5.2 工程单位费用计算与联合寻优</w:t>
      </w:r>
      <w:bookmarkEnd w:id="39"/>
    </w:p>
    <w:p>
      <w:pPr>
        <w:pStyle w:val="FirstParagraph"/>
        <w:widowControl/>
        <w:spacing w:line="300" w:lineRule="auto" w:before="0" w:after="0"/>
        <w:ind w:firstLine="480"/>
        <w:jc w:val="both"/>
      </w:pPr>
      <w:r>
        <w:rPr>
          <w:rFonts w:ascii="Times New Roman" w:hAnsi="Times New Roman" w:eastAsia="方正仿宋_GBK"/>
          <w:b w:val="0"/>
          <w:sz w:val="24"/>
        </w:rPr>
        <w:t xml:space="preserve">工程案例先按建设内容分类，再构造目标函数系数。替换主变工程的静态总投资按采购容量加权，主变扩建工程按相同建设规模取案例均值。线路与储能按明确的长度或成套容量折算，案例价格超过原规模使用时标明外推假定。费用以2021年末现值计算，使不同投运年份和寿命更新可以共同比较。</w:t>
      </w:r>
    </w:p>
    <w:p>
      <w:pPr>
        <w:pStyle w:val="2"/>
        <w:widowControl/>
        <w:spacing w:line="300" w:lineRule="auto" w:before="0" w:after="0"/>
        <w:ind w:firstLine="480"/>
        <w:jc w:val="both"/>
      </w:pPr>
      <w:r>
        <w:rPr>
          <w:rFonts w:ascii="Times New Roman" w:hAnsi="Times New Roman" w:eastAsia="方正仿宋_GBK"/>
          <w:b w:val="0"/>
          <w:sz w:val="24"/>
        </w:rPr>
        <w:t xml:space="preserve">在联合寻优中，年度容载比约束与各变电站的技术约束同时进入模型，包括正常正向供电、反向输送、主变N-1剩余容量、储能持续支撑及送受端转供能力。区县内部转接改变站级负荷分配而保持区域总任务守恒；反向压力按电源原归属保守处理，负荷转出后的潜在反送压力同步校核。模型同时求解邳州和市区各自的刚性、弹性规划方案，保留本研究设定的地区间和方案间指标条件。</w:t>
      </w:r>
    </w:p>
    <w:p>
      <w:pPr>
        <w:pStyle w:val="2"/>
        <w:widowControl/>
        <w:spacing w:line="300" w:lineRule="auto" w:before="0" w:after="0"/>
        <w:ind w:firstLine="480"/>
        <w:jc w:val="both"/>
      </w:pPr>
      <w:r>
        <w:rPr>
          <w:rFonts w:ascii="Times New Roman" w:hAnsi="Times New Roman" w:eastAsia="方正仿宋_GBK"/>
          <w:b w:val="0"/>
          <w:sz w:val="24"/>
        </w:rPr>
        <w:t xml:space="preserve">求解以全寿命费用最小为主要目标，在相同规划起点和技术条件下，比较主变增容、储能配置与10 kV联络的建设组合及投运时点。各年设备规模和站间负荷转接量共同满足容量、转供能力与负荷守恒约束，据此形成刚性、弹性方案及推荐容载比。</w:t>
      </w:r>
    </w:p>
    <w:p>
      <w:pPr>
        <w:pStyle w:val="5"/>
        <w:keepNext/>
        <w:numPr>
          <w:numId w:val="0"/>
        </w:numPr>
        <w:spacing w:line="360" w:lineRule="auto" w:before="160" w:after="120"/>
        <w:ind w:firstLine="0"/>
      </w:pPr>
      <w:bookmarkStart w:id="40" w:name="条件矩阵与方案核查"/>
      <w:r>
        <w:rPr>
          <w:rFonts w:ascii="Times New Roman" w:hAnsi="Times New Roman" w:eastAsia="方正仿宋_GBK"/>
          <w:b/>
          <w:sz w:val="26"/>
        </w:rPr>
        <w:t xml:space="preserve">1.5.3 条件矩阵与方案核查</w:t>
      </w:r>
      <w:bookmarkEnd w:id="40"/>
    </w:p>
    <w:p>
      <w:pPr>
        <w:pStyle w:val="FirstParagraph"/>
        <w:widowControl/>
        <w:spacing w:line="300" w:lineRule="auto" w:before="0" w:after="0"/>
        <w:ind w:firstLine="480"/>
        <w:jc w:val="both"/>
      </w:pPr>
      <w:r>
        <w:rPr>
          <w:rFonts w:ascii="Times New Roman" w:hAnsi="Times New Roman" w:eastAsia="方正仿宋_GBK"/>
          <w:b w:val="0"/>
          <w:sz w:val="24"/>
        </w:rPr>
        <w:t xml:space="preserve">推荐矩阵依据案例中的参数与配置关系建立五站仿真模板，再进行目标年参数外推。源荷水平和分布式电源电量渗透率用于说明片区能源条件，峰值持续时间和增长率用于组织容量需求，两个成本比例用于改变措施经济关系。每个参考档位由对应参数分档下的可行计算结果归纳，配套结果保存各计算点的容量、费用与约束校核。</w:t>
      </w:r>
    </w:p>
    <w:p>
      <w:pPr>
        <w:pStyle w:val="2"/>
        <w:widowControl/>
        <w:spacing w:line="300" w:lineRule="auto" w:before="0" w:after="0"/>
        <w:ind w:firstLine="480"/>
        <w:jc w:val="both"/>
      </w:pPr>
      <w:r>
        <w:rPr>
          <w:rFonts w:ascii="Times New Roman" w:hAnsi="Times New Roman" w:eastAsia="方正仿宋_GBK"/>
          <w:b w:val="0"/>
          <w:sz w:val="24"/>
        </w:rPr>
        <w:t xml:space="preserve">核查包括原表换算和区县容量汇总，也检查年度资产不减、负荷转接守恒及储能整数规模，并复算正反向容量和主变N-1容量。费用另按购置与投运事件重建现金流复算。通用外推核对目标年的相同容量、转供与守恒关系，各参数组合分别进行整数寻优。</w:t>
      </w:r>
    </w:p>
    <w:p>
      <w:pPr>
        <w:pStyle w:val="2"/>
        <w:widowControl/>
        <w:spacing w:line="300" w:lineRule="auto" w:before="0" w:after="0"/>
        <w:ind w:firstLine="480"/>
        <w:jc w:val="both"/>
      </w:pPr>
      <w:r>
        <w:rPr>
          <w:rFonts w:ascii="Times New Roman" w:hAnsi="Times New Roman" w:eastAsia="方正仿宋_GBK"/>
          <w:b w:val="0"/>
          <w:sz w:val="24"/>
        </w:rPr>
        <w:t xml:space="preserve">本报告按六章组织。第二章梳理与本项目有关的研究方法和导则；第三章分析徐州典型地区资料及运行特征；第四章建立工程费用模型；第五章说明目标函数、寻优过程、年度措施和条件矩阵，并将案例验证纳入方案分析；第六章给出研究结论和规划应用建议。计算工作簿与核验记录用于保存计算依据和结果复核。</w:t>
      </w:r>
    </w:p>
    <w:p>
      <w:pPr>
        <w:pStyle w:val="5"/>
        <w:keepNext/>
        <w:numPr>
          <w:numId w:val="0"/>
        </w:numPr>
        <w:spacing w:line="360" w:lineRule="auto" w:before="160" w:after="120"/>
        <w:ind w:firstLine="0"/>
      </w:pPr>
      <w:bookmarkStart w:id="41" w:name="计算流程与成果衔接"/>
      <w:r>
        <w:rPr>
          <w:rFonts w:ascii="Times New Roman" w:hAnsi="Times New Roman" w:eastAsia="方正仿宋_GBK"/>
          <w:b/>
          <w:sz w:val="26"/>
        </w:rPr>
        <w:t xml:space="preserve">1.5.4 计算流程与成果衔接</w:t>
      </w:r>
      <w:bookmarkEnd w:id="41"/>
    </w:p>
    <w:p>
      <w:pPr>
        <w:pStyle w:val="FirstParagraph"/>
        <w:widowControl/>
        <w:spacing w:line="300" w:lineRule="auto" w:before="0" w:after="0"/>
        <w:ind w:firstLine="480"/>
        <w:jc w:val="both"/>
      </w:pPr>
      <w:r>
        <w:rPr>
          <w:rFonts w:ascii="Times New Roman" w:hAnsi="Times New Roman" w:eastAsia="方正仿宋_GBK"/>
          <w:b w:val="0"/>
          <w:sz w:val="24"/>
        </w:rPr>
        <w:t xml:space="preserve">计算流程以核定统计范围和共同初态为起点，将运行任务与工程费用分别构造后，进入同一逐年优化模型。求解结果经设备状态、容量余量及现金流复核，再形成对应条件下的推荐矩阵。技术路线见图1-1；各环节采用第三章至第五章列明的输入、算式和约束，避免图表分析与规划计算使用不同数据。</w:t>
      </w:r>
    </w:p>
    <w:p>
      <w:pPr>
        <w:pStyle w:val="2"/>
        <w:keepNext/>
        <w:spacing w:line="240" w:lineRule="auto" w:before="120" w:after="0"/>
        <w:ind w:firstLine="0"/>
        <w:jc w:val="center"/>
      </w:pPr>
      <w:r>
        <w:drawing>
          <wp:inline>
            <wp:extent cx="5120640" cy="4138946"/>
            <wp:effectExtent b="0" l="0" r="0" t="0"/>
            <wp:docPr descr="" title="" id="1" name="Picture"/>
            <a:graphic>
              <a:graphicData uri="http://schemas.openxmlformats.org/drawingml/2006/picture">
                <pic:pic>
                  <pic:nvPicPr>
                    <pic:cNvPr descr="研究报告/02图表/当前版/technical_route.png" id="0" name="Picture"/>
                    <pic:cNvPicPr>
                      <a:picLocks noChangeArrowheads="1" noChangeAspect="1"/>
                    </pic:cNvPicPr>
                  </pic:nvPicPr>
                  <pic:blipFill>
                    <a:blip r:embed="rId42"/>
                    <a:stretch>
                      <a:fillRect/>
                    </a:stretch>
                  </pic:blipFill>
                  <pic:spPr bwMode="auto">
                    <a:xfrm>
                      <a:off x="0" y="0"/>
                      <a:ext cx="5120640" cy="4138946"/>
                    </a:xfrm>
                    <a:prstGeom prst="rect">
                      <a:avLst/>
                    </a:prstGeom>
                    <a:noFill/>
                    <a:ln w="9525">
                      <a:noFill/>
                      <a:headEnd/>
                      <a:tailEnd/>
                    </a:ln>
                  </pic:spPr>
                </pic:pic>
              </a:graphicData>
            </a:graphic>
          </wp:inline>
        </w:drawing>
      </w:r>
    </w:p>
    <w:p>
      <w:pPr>
        <w:pStyle w:val="2"/>
        <w:spacing w:line="300" w:lineRule="auto" w:before="60" w:after="120"/>
        <w:ind w:firstLine="0"/>
        <w:jc w:val="center"/>
      </w:pPr>
      <w:r>
        <w:rPr>
          <w:rFonts w:ascii="Times New Roman" w:hAnsi="Times New Roman" w:eastAsia="宋体"/>
          <w:b w:val="0"/>
          <w:sz w:val="21"/>
        </w:rPr>
        <w:t xml:space="preserve">图1-1 逐年规划计算与推荐矩阵形成过程</w:t>
      </w:r>
    </w:p>
    <w:p>
      <w:bookmarkStart w:id="1074" w:name="h74"/>
      <w:pPr>
        <w:pStyle w:val="4"/>
        <w:keepNext/>
        <w:numPr>
          <w:numId w:val="0"/>
        </w:numPr>
        <w:spacing w:line="360" w:lineRule="auto" w:before="160" w:after="120"/>
        <w:ind w:firstLine="0"/>
      </w:pPr>
      <w:bookmarkStart w:id="43" w:name="研究成果及应用"/>
      <w:r>
        <w:rPr>
          <w:rFonts w:ascii="Times New Roman" w:hAnsi="Times New Roman" w:eastAsia="方正仿宋_GBK"/>
          <w:b/>
          <w:sz w:val="32"/>
        </w:rPr>
        <w:t xml:space="preserve">1.6 研究成果及应用</w:t>
      </w:r>
      <w:bookmarkEnd w:id="43"/>
      <w:bookmarkEnd w:id="1074"/>
    </w:p>
    <w:p>
      <w:pPr>
        <w:pStyle w:val="FirstParagraph"/>
        <w:widowControl/>
        <w:spacing w:line="300" w:lineRule="auto" w:before="0" w:after="0"/>
        <w:ind w:firstLine="480"/>
        <w:jc w:val="both"/>
      </w:pPr>
      <w:r>
        <w:rPr>
          <w:rFonts w:ascii="Times New Roman" w:hAnsi="Times New Roman" w:eastAsia="方正仿宋_GBK"/>
          <w:b w:val="0"/>
          <w:sz w:val="24"/>
        </w:rPr>
        <w:t xml:space="preserve">本研究形成邳州、市区的刚性与弹性四年规划方案，给出年度主变容量、采购规模、储能配置、负荷转接及全寿命费用。通用推荐矩阵列出参数条件、上限参考档、同档占比和计算范围，逐点设备配置和计算记录保存在配套工作簿中。</w:t>
      </w:r>
    </w:p>
    <w:p>
      <w:pPr>
        <w:pStyle w:val="2"/>
        <w:widowControl/>
        <w:spacing w:line="300" w:lineRule="auto" w:before="0" w:after="0"/>
        <w:ind w:firstLine="480"/>
        <w:jc w:val="both"/>
      </w:pPr>
      <w:r>
        <w:rPr>
          <w:rFonts w:ascii="Times New Roman" w:hAnsi="Times New Roman" w:eastAsia="方正仿宋_GBK"/>
          <w:b w:val="0"/>
          <w:sz w:val="24"/>
        </w:rPr>
        <w:t xml:space="preserve">规划应用先核定实际在役资产、年网供最大负荷和站间转供能力，依据源荷水平、负荷增长与峰段持续时间选择比选范围，再以本地工程价格开展增容、配储和10 kV联络联合寻优。工程设计阶段继续校核实际线路、电压、保护及储能连续运行条件。</w:t>
      </w:r>
    </w:p>
    <w:p>
      <w:bookmarkStart w:id="1077" w:name="h77"/>
      <w:pPr>
        <w:pStyle w:val="3"/>
        <w:keepNext/>
        <w:pageBreakBefore/>
        <w:numPr>
          <w:numId w:val="0"/>
        </w:numPr>
        <w:spacing w:line="360" w:lineRule="auto" w:before="0" w:after="120"/>
        <w:ind w:firstLine="0"/>
      </w:pPr>
      <w:bookmarkStart w:id="44" w:name="第二章-国内外研究现状"/>
      <w:r>
        <w:rPr>
          <w:rFonts w:ascii="Times New Roman" w:hAnsi="Times New Roman" w:eastAsia="方正仿宋_GBK"/>
          <w:b/>
          <w:sz w:val="36"/>
        </w:rPr>
        <w:t xml:space="preserve">第二章 国内外研究现状</w:t>
      </w:r>
      <w:bookmarkEnd w:id="44"/>
      <w:bookmarkEnd w:id="1077"/>
    </w:p>
    <w:p>
      <w:pPr>
        <w:pStyle w:val="FirstParagraph"/>
        <w:widowControl/>
        <w:spacing w:line="300" w:lineRule="auto" w:before="0" w:after="0"/>
        <w:ind w:firstLine="480"/>
        <w:jc w:val="both"/>
      </w:pPr>
      <w:r>
        <w:rPr>
          <w:rFonts w:ascii="Times New Roman" w:hAnsi="Times New Roman" w:eastAsia="方正仿宋_GBK"/>
          <w:b w:val="0"/>
          <w:sz w:val="24"/>
        </w:rPr>
        <w:t xml:space="preserve">国内外相关研究围绕分布式电源承载力与源荷运行特征，以及灵活资源协同配置、工程费用与规划评价展开。容载比研究关注容量储备及供电结构，承载力研究关注电源接入的运行约束，两者共同为高渗透率地区容量规划提供依据。</w:t>
      </w:r>
    </w:p>
    <w:p>
      <w:pPr>
        <w:pStyle w:val="2"/>
        <w:widowControl/>
        <w:spacing w:line="300" w:lineRule="auto" w:before="0" w:after="0"/>
        <w:ind w:firstLine="480"/>
        <w:jc w:val="both"/>
      </w:pPr>
      <w:r>
        <w:rPr>
          <w:rFonts w:ascii="Times New Roman" w:hAnsi="Times New Roman" w:eastAsia="方正仿宋_GBK"/>
          <w:b w:val="0"/>
          <w:sz w:val="24"/>
        </w:rPr>
        <w:t xml:space="preserve">本章以与110 kV区域容量规划直接相关的问题组织文献分析。对国外研究，关注分布式电源接入能力、净负荷变化与灵活资源替代网架扩建的条件；对国内研究，重点讨论容载比、下级网络供电能力及分层规划的联系。研究方法的适用性随数据条件和规划尺度变化，本项目采用与现有资料相匹配的静态容量模型。</w:t>
      </w:r>
    </w:p>
    <w:p>
      <w:bookmarkStart w:id="1080" w:name="h80"/>
      <w:pPr>
        <w:pStyle w:val="4"/>
        <w:keepNext/>
        <w:numPr>
          <w:numId w:val="0"/>
        </w:numPr>
        <w:spacing w:line="360" w:lineRule="auto" w:before="160" w:after="120"/>
        <w:ind w:firstLine="0"/>
      </w:pPr>
      <w:bookmarkStart w:id="45" w:name="国外研究现状"/>
      <w:r>
        <w:rPr>
          <w:rFonts w:ascii="Times New Roman" w:hAnsi="Times New Roman" w:eastAsia="方正仿宋_GBK"/>
          <w:b/>
          <w:sz w:val="32"/>
        </w:rPr>
        <w:t xml:space="preserve">2.1 国外研究现状</w:t>
      </w:r>
      <w:bookmarkEnd w:id="45"/>
      <w:bookmarkEnd w:id="1080"/>
    </w:p>
    <w:p>
      <w:pPr>
        <w:pStyle w:val="5"/>
        <w:keepNext/>
        <w:numPr>
          <w:numId w:val="0"/>
        </w:numPr>
        <w:spacing w:line="360" w:lineRule="auto" w:before="160" w:after="120"/>
        <w:ind w:firstLine="0"/>
      </w:pPr>
      <w:bookmarkStart w:id="46" w:name="分布式电源承载力评估"/>
      <w:r>
        <w:rPr>
          <w:rFonts w:ascii="Times New Roman" w:hAnsi="Times New Roman" w:eastAsia="方正仿宋_GBK"/>
          <w:b/>
          <w:sz w:val="26"/>
        </w:rPr>
        <w:t xml:space="preserve">2.1.1 分布式电源承载力评估</w:t>
      </w:r>
      <w:bookmarkEnd w:id="46"/>
    </w:p>
    <w:p>
      <w:pPr>
        <w:pStyle w:val="FirstParagraph"/>
        <w:widowControl/>
        <w:spacing w:line="300" w:lineRule="auto" w:before="0" w:after="0"/>
        <w:ind w:firstLine="480"/>
        <w:jc w:val="both"/>
      </w:pPr>
      <w:r>
        <w:rPr>
          <w:rFonts w:ascii="Times New Roman" w:hAnsi="Times New Roman" w:eastAsia="方正仿宋_GBK"/>
          <w:b w:val="0"/>
          <w:sz w:val="24"/>
        </w:rPr>
        <w:t xml:space="preserve">承载力评估从确定性运行断面分析逐步拓展到源荷不确定性、主动管理及动态评估。不同方法分别考虑电压、设备容量和风险约束，为高渗透率下的容量校核提供依据。在不确定性建模方面，Lin 等提出两阶段 PV 承载力计算模型，先以鲁棒优化刻画源荷不确定性分析最劣场景，再构建计及主动管理的混合整数二阶锥（MISOC）模型，算例分析表明，负荷降低及光伏出力提高可能使接入约束趋紧；对受过电压限制的网络主动管理（无功、SVC）提升明显、对受最大传输功率限制的网络效果有限；网络重构可使薄弱支路网络承载力提升超过 50%（达原值约 150%）[18]。</w:t>
      </w:r>
    </w:p>
    <w:p>
      <w:pPr>
        <w:pStyle w:val="2"/>
        <w:widowControl/>
        <w:spacing w:line="300" w:lineRule="auto" w:before="0" w:after="0"/>
        <w:ind w:firstLine="480"/>
        <w:jc w:val="both"/>
      </w:pPr>
      <w:r>
        <w:rPr>
          <w:rFonts w:ascii="Times New Roman" w:hAnsi="Times New Roman" w:eastAsia="方正仿宋_GBK"/>
          <w:b w:val="0"/>
          <w:sz w:val="24"/>
        </w:rPr>
        <w:t xml:space="preserve">Chen 等进一步引入物理—数据双驱动的 WGAN-GP 场景生成（夜间辐照硬置零等物理约束）刻画源侧时序不确定性，以麻雀搜索算法寻优最大承载力，为承载力计算提供符合物理条件的出力场景[19]。</w:t>
      </w:r>
    </w:p>
    <w:p>
      <w:pPr>
        <w:pStyle w:val="2"/>
        <w:widowControl/>
        <w:spacing w:line="300" w:lineRule="auto" w:before="0" w:after="0"/>
        <w:ind w:firstLine="480"/>
        <w:jc w:val="both"/>
      </w:pPr>
      <w:r>
        <w:rPr>
          <w:rFonts w:ascii="Times New Roman" w:hAnsi="Times New Roman" w:eastAsia="方正仿宋_GBK"/>
          <w:b w:val="0"/>
          <w:sz w:val="24"/>
        </w:rPr>
        <w:t xml:space="preserve">Liu 等在 IEEE 33 节点上构建涵盖安全、可靠性、经济的多维风险指标体系，分别计算风险收益最优条件和给定风险阈值下的承载力：仅考虑安全风险时最优承载力 3.72 MW（渗透率 100%），综合风险阈值约束下渗透率上限可达 140%、最大承载力 5.20 MW，较仅安全风险提升 33.36%，超过 175% 渗透率后边际收益递减、风险非线性上升[20]。</w:t>
      </w:r>
    </w:p>
    <w:p>
      <w:pPr>
        <w:pStyle w:val="2"/>
        <w:widowControl/>
        <w:spacing w:line="300" w:lineRule="auto" w:before="0" w:after="0"/>
        <w:ind w:firstLine="480"/>
        <w:jc w:val="both"/>
      </w:pPr>
      <w:r>
        <w:rPr>
          <w:rFonts w:ascii="Times New Roman" w:hAnsi="Times New Roman" w:eastAsia="方正仿宋_GBK"/>
          <w:b w:val="0"/>
          <w:sz w:val="24"/>
        </w:rPr>
        <w:t xml:space="preserve">Shu 等则提出以静态电压稳定裕度（SVSM）为硬约束的动态承载力（DHC）闭环框架，通过集中—分布协同主动支撑，使动态承载力较被动场景提升约 20%～34%，说明主动支撑及稳定约束对接入能力的影响[21]。</w:t>
      </w:r>
    </w:p>
    <w:p>
      <w:pPr>
        <w:pStyle w:val="2"/>
        <w:widowControl/>
        <w:spacing w:line="300" w:lineRule="auto" w:before="0" w:after="0"/>
        <w:ind w:firstLine="480"/>
        <w:jc w:val="both"/>
      </w:pPr>
      <w:r>
        <w:rPr>
          <w:rFonts w:ascii="Times New Roman" w:hAnsi="Times New Roman" w:eastAsia="方正仿宋_GBK"/>
          <w:b w:val="0"/>
          <w:sz w:val="24"/>
        </w:rPr>
        <w:t xml:space="preserve">在机理层面，Majeed 等揭示反向潮流（PV 出力大于本地负荷时发生，多见于低峰荷区域）会抬升 LV/MV 电压、造成配变过载并加速绝缘老化、缩短变压器寿命[4]。</w:t>
      </w:r>
    </w:p>
    <w:p>
      <w:pPr>
        <w:pStyle w:val="5"/>
        <w:keepNext/>
        <w:numPr>
          <w:numId w:val="0"/>
        </w:numPr>
        <w:spacing w:line="360" w:lineRule="auto" w:before="160" w:after="120"/>
        <w:ind w:firstLine="0"/>
      </w:pPr>
      <w:bookmarkStart w:id="47" w:name="高渗透率运行特征与反向潮流"/>
      <w:r>
        <w:rPr>
          <w:rFonts w:ascii="Times New Roman" w:hAnsi="Times New Roman" w:eastAsia="方正仿宋_GBK"/>
          <w:b/>
          <w:sz w:val="26"/>
        </w:rPr>
        <w:t xml:space="preserve">2.1.2 高渗透率运行特征与反向潮流</w:t>
      </w:r>
      <w:bookmarkEnd w:id="47"/>
    </w:p>
    <w:p>
      <w:pPr>
        <w:pStyle w:val="FirstParagraph"/>
        <w:widowControl/>
        <w:spacing w:line="300" w:lineRule="auto" w:before="0" w:after="0"/>
        <w:ind w:firstLine="480"/>
        <w:jc w:val="both"/>
      </w:pPr>
      <w:r>
        <w:rPr>
          <w:rFonts w:ascii="Times New Roman" w:hAnsi="Times New Roman" w:eastAsia="方正仿宋_GBK"/>
          <w:b w:val="0"/>
          <w:sz w:val="24"/>
        </w:rPr>
        <w:t xml:space="preserve">高渗透率对运行特征的影响集中体现为净负荷曲线重塑与反向潮流引致的电压、热与寿命问题。在净负荷形态上，Hou 等提出概率鸭子曲线（PDC）与概率爬坡曲线（PRC），以 copula 与相依离散卷积建模光伏与负荷的相依不确定性，并以青海高光伏情景开展算例分析：净负荷需求谷由凌晨移至正午（14:00 期望约 6000 MW、不确定带宽超 8000 MW），最坏场景净负荷谷不足 2000 MW（近 80% 负荷由 PV 供给，但该场景概率小于 1%）[3]。</w:t>
      </w:r>
    </w:p>
    <w:p>
      <w:pPr>
        <w:pStyle w:val="2"/>
        <w:widowControl/>
        <w:spacing w:line="300" w:lineRule="auto" w:before="0" w:after="0"/>
        <w:ind w:firstLine="480"/>
        <w:jc w:val="both"/>
      </w:pPr>
      <w:r>
        <w:rPr>
          <w:rFonts w:ascii="Times New Roman" w:hAnsi="Times New Roman" w:eastAsia="方正仿宋_GBK"/>
          <w:b w:val="0"/>
          <w:sz w:val="24"/>
        </w:rPr>
        <w:t xml:space="preserve">Haider 等表明分布式柔性资源（柔性负荷、电池）的分布式协调可将主网机组爬坡需求最多降低 23%，为以灵活资源平抑净负荷爬坡提供依据[22]。</w:t>
      </w:r>
    </w:p>
    <w:p>
      <w:pPr>
        <w:pStyle w:val="2"/>
        <w:widowControl/>
        <w:spacing w:line="300" w:lineRule="auto" w:before="0" w:after="0"/>
        <w:ind w:firstLine="480"/>
        <w:jc w:val="both"/>
      </w:pPr>
      <w:r>
        <w:rPr>
          <w:rFonts w:ascii="Times New Roman" w:hAnsi="Times New Roman" w:eastAsia="方正仿宋_GBK"/>
          <w:b w:val="0"/>
          <w:sz w:val="24"/>
        </w:rPr>
        <w:t xml:space="preserve">在反向潮流引致的电压问题上，Xie 等结合主网与配网线路参数差异建立过电压计算方法，并验证抑制策略可使反向潮流引起的过电压由高于额定约 10% 降至 1.50%[23]；Ghorbansarvi 等以模型预测控制（MPC）联合管理母线电压与配变温度、最小化弃光，通过协调控制推迟配变过载的发生[24]。</w:t>
      </w:r>
    </w:p>
    <w:p>
      <w:pPr>
        <w:pStyle w:val="2"/>
        <w:widowControl/>
        <w:spacing w:line="300" w:lineRule="auto" w:before="0" w:after="0"/>
        <w:ind w:firstLine="480"/>
        <w:jc w:val="both"/>
      </w:pPr>
      <w:r>
        <w:rPr>
          <w:rFonts w:ascii="Times New Roman" w:hAnsi="Times New Roman" w:eastAsia="方正仿宋_GBK"/>
          <w:b w:val="0"/>
          <w:sz w:val="24"/>
        </w:rPr>
        <w:t xml:space="preserve">综述性研究则归纳出 PV 有功削减、OLTC、配网重构、多柔性资源协调四类电压越限治理手段，并指出现有协调控制普遍忽视调节时序与经济性、低压建模过度简化，有待进一步统筹调节时序与经济性[25]。</w:t>
      </w:r>
    </w:p>
    <w:p>
      <w:pPr>
        <w:pStyle w:val="5"/>
        <w:keepNext/>
        <w:numPr>
          <w:numId w:val="0"/>
        </w:numPr>
        <w:spacing w:line="360" w:lineRule="auto" w:before="160" w:after="120"/>
        <w:ind w:firstLine="0"/>
      </w:pPr>
      <w:bookmarkStart w:id="48" w:name="灵活资源与网络协同配置"/>
      <w:r>
        <w:rPr>
          <w:rFonts w:ascii="Times New Roman" w:hAnsi="Times New Roman" w:eastAsia="方正仿宋_GBK"/>
          <w:b/>
          <w:sz w:val="26"/>
        </w:rPr>
        <w:t xml:space="preserve">2.1.3 灵活资源与网络协同配置</w:t>
      </w:r>
      <w:bookmarkEnd w:id="48"/>
    </w:p>
    <w:p>
      <w:pPr>
        <w:pStyle w:val="FirstParagraph"/>
        <w:widowControl/>
        <w:spacing w:line="300" w:lineRule="auto" w:before="0" w:after="0"/>
        <w:ind w:firstLine="480"/>
        <w:jc w:val="both"/>
      </w:pPr>
      <w:r>
        <w:rPr>
          <w:rFonts w:ascii="Times New Roman" w:hAnsi="Times New Roman" w:eastAsia="方正仿宋_GBK"/>
          <w:b w:val="0"/>
          <w:sz w:val="24"/>
        </w:rPr>
        <w:t xml:space="preserve">灵活资源研究关注储能、可调负荷及柔性互联对接入能力和容量需求的影响，并将相关方案与电网增容开展经济比较。在接入能力分析方面，Nair 等以确定性迭代、两阶段随机 MISOCP 与蒙特卡洛三法对比，表明动态资源协调可使 IEEE 123 馈线 PV 承载力由 48% 提升至 83%（两阶段随机规划达 98%），可行域体积扩大逾 22 倍，并指出动态方案波动性更高、临界性排序为电池＞热泵＞EV[26]；Wang 等（Nature Communications）提出基于智能软开关（SOP）的柔性配电网多资源动态协同规划，在风险小于 5% 内实现 100% 本地光伏消纳，且最优方案总成本较对照方案降低 6.70%～55.00%[27]。</w:t>
      </w:r>
    </w:p>
    <w:p>
      <w:pPr>
        <w:pStyle w:val="2"/>
        <w:widowControl/>
        <w:spacing w:line="300" w:lineRule="auto" w:before="0" w:after="0"/>
        <w:ind w:firstLine="480"/>
        <w:jc w:val="both"/>
      </w:pPr>
      <w:r>
        <w:rPr>
          <w:rFonts w:ascii="Times New Roman" w:hAnsi="Times New Roman" w:eastAsia="方正仿宋_GBK"/>
          <w:b w:val="0"/>
          <w:sz w:val="24"/>
        </w:rPr>
        <w:t xml:space="preserve">在储能与电网增容的经济比较方面，多项研究给出特定算例条件下的经济阈值：Martínez 等基于西班牙真实 500 节点中压网得出，专用分布式电池储能（BESS）替代网架增容仅在年负荷增长率不超过 0.16% 时净现值为正，移动式储能仅在不超过 0.25% 时可行[28]；Holweger 等在 CIGRE 低压网上得到分布式柔性优于网架增强的盈亏平衡点位于 PV 占年用电量的 110%～145% 区间（廉价变压器约 110%、昂贵变压器约 145%），且变压器为承载瓶颈元件[29]；Matthiss 等分别比较初始投资和年化费用，发现按投资成本储能远低于网架增强，但折算为计入电池 10 年寿命的年成本后差距明显收窄[30]。</w:t>
      </w:r>
    </w:p>
    <w:p>
      <w:pPr>
        <w:pStyle w:val="2"/>
        <w:widowControl/>
        <w:spacing w:line="300" w:lineRule="auto" w:before="0" w:after="0"/>
        <w:ind w:firstLine="480"/>
        <w:jc w:val="both"/>
      </w:pPr>
      <w:r>
        <w:rPr>
          <w:rFonts w:ascii="Times New Roman" w:hAnsi="Times New Roman" w:eastAsia="方正仿宋_GBK"/>
          <w:b w:val="0"/>
          <w:sz w:val="24"/>
        </w:rPr>
        <w:t xml:space="preserve">在储能定容方面，Xu 等以两阶段启发式优化最小化储能 LCC（投资+更换+运维+处置，含锂电容量衰减寿命模型），算例显示合理定容可使节点平均年化成本下降约 47%[10]；Wu 等以两阶段分布鲁棒优化并嵌入并网点短路电流约束做 PV+储能联合规划，较传统方法 PV 可装容量提升约 60%、电压偏差降低 16.70%，且</w:t>
      </w:r>
      <w:r>
        <w:rPr>
          <w:rFonts w:ascii="Times New Roman" w:hAnsi="Times New Roman" w:eastAsia="方正仿宋_GBK"/>
          <w:b w:val="0"/>
          <w:sz w:val="24"/>
        </w:rPr>
        <w:t xml:space="preserve">“</w:t>
      </w:r>
      <w:r>
        <w:rPr>
          <w:rFonts w:ascii="Times New Roman" w:hAnsi="Times New Roman" w:eastAsia="方正仿宋_GBK"/>
          <w:b w:val="0"/>
          <w:sz w:val="24"/>
        </w:rPr>
        <w:t xml:space="preserve">联合规划</w:t>
      </w:r>
      <w:r>
        <w:rPr>
          <w:rFonts w:ascii="Times New Roman" w:hAnsi="Times New Roman" w:eastAsia="方正仿宋_GBK"/>
          <w:b w:val="0"/>
          <w:sz w:val="24"/>
        </w:rPr>
        <w:t xml:space="preserve">”</w:t>
      </w:r>
      <w:r>
        <w:rPr>
          <w:rFonts w:ascii="Times New Roman" w:hAnsi="Times New Roman" w:eastAsia="方正仿宋_GBK"/>
          <w:b w:val="0"/>
          <w:sz w:val="24"/>
        </w:rPr>
        <w:t xml:space="preserve">优于</w:t>
      </w:r>
      <w:r>
        <w:rPr>
          <w:rFonts w:ascii="Times New Roman" w:hAnsi="Times New Roman" w:eastAsia="方正仿宋_GBK"/>
          <w:b w:val="0"/>
          <w:sz w:val="24"/>
        </w:rPr>
        <w:t xml:space="preserve">“</w:t>
      </w:r>
      <w:r>
        <w:rPr>
          <w:rFonts w:ascii="Times New Roman" w:hAnsi="Times New Roman" w:eastAsia="方正仿宋_GBK"/>
          <w:b w:val="0"/>
          <w:sz w:val="24"/>
        </w:rPr>
        <w:t xml:space="preserve">先 PV 后储能</w:t>
      </w:r>
      <w:r>
        <w:rPr>
          <w:rFonts w:ascii="Times New Roman" w:hAnsi="Times New Roman" w:eastAsia="方正仿宋_GBK"/>
          <w:b w:val="0"/>
          <w:sz w:val="24"/>
        </w:rPr>
        <w:t xml:space="preserve">”</w:t>
      </w:r>
      <w:r>
        <w:rPr>
          <w:rFonts w:ascii="Times New Roman" w:hAnsi="Times New Roman" w:eastAsia="方正仿宋_GBK"/>
          <w:b w:val="0"/>
          <w:sz w:val="24"/>
        </w:rPr>
        <w:t xml:space="preserve">[31]。</w:t>
      </w:r>
    </w:p>
    <w:p>
      <w:pPr>
        <w:pStyle w:val="2"/>
        <w:widowControl/>
        <w:spacing w:line="300" w:lineRule="auto" w:before="0" w:after="0"/>
        <w:ind w:firstLine="480"/>
        <w:jc w:val="both"/>
      </w:pPr>
      <w:r>
        <w:rPr>
          <w:rFonts w:ascii="Times New Roman" w:hAnsi="Times New Roman" w:eastAsia="方正仿宋_GBK"/>
          <w:b w:val="0"/>
          <w:sz w:val="24"/>
        </w:rPr>
        <w:t xml:space="preserve">Zhang 等还表明随 PV 渗透由 9% 升至 99%，配电系统供电恢复量较基准提升 26.85%～45.21%，但 99% 相对 81% 的边际收益已不显著（拐点约 81% 渗透率），且其孤岛恢复方案采用构网型光伏与储能[32]。</w:t>
      </w:r>
    </w:p>
    <w:p>
      <w:pPr>
        <w:pStyle w:val="2"/>
        <w:widowControl/>
        <w:spacing w:line="300" w:lineRule="auto" w:before="0" w:after="0"/>
        <w:ind w:firstLine="480"/>
        <w:jc w:val="both"/>
      </w:pPr>
      <w:r>
        <w:rPr>
          <w:rFonts w:ascii="Times New Roman" w:hAnsi="Times New Roman" w:eastAsia="方正仿宋_GBK"/>
          <w:b w:val="0"/>
          <w:sz w:val="24"/>
        </w:rPr>
        <w:t xml:space="preserve">面向高负荷密度与含可再生能源的变电容量优化，Huang 等以多元宇宙优化器同时优化主变容量与台数，算例表明，本地可再生能源供电可减少净负荷，并延缓主变建设[33]；Xu 等则从分时电价/需求侧响应改变负荷曲线的角度论证削峰可节省变电建设投资[34]，Nespoli 等给出无需历史数据量化柔性负荷经济价值的全局预测方法[35]。</w:t>
      </w:r>
    </w:p>
    <w:p>
      <w:pPr>
        <w:pStyle w:val="2"/>
        <w:widowControl/>
        <w:spacing w:line="300" w:lineRule="auto" w:before="0" w:after="0"/>
        <w:ind w:firstLine="480"/>
        <w:jc w:val="both"/>
      </w:pPr>
      <w:r>
        <w:rPr>
          <w:rFonts w:ascii="Times New Roman" w:hAnsi="Times New Roman" w:eastAsia="方正仿宋_GBK"/>
          <w:b w:val="0"/>
          <w:sz w:val="24"/>
        </w:rPr>
        <w:t xml:space="preserve">在源网荷储/柔性互联的国际期刊成果中，Zhu等的多区域E-SOP协同规划可使年总成本降低约 14.90%、电压不平衡全部降至 2% 以内[36]，SOP+储能联合规划使供电能力提升 31.25%[37]，源—网—储协同随机规划以仅增成本 2.23% 换取大幅消纳提升[38]，Shi等通过源网荷储多主体演化博弈，分析收益分配对储能配置及主体协同的影响[39]。</w:t>
      </w:r>
    </w:p>
    <w:p>
      <w:pPr>
        <w:pStyle w:val="5"/>
        <w:keepNext/>
        <w:numPr>
          <w:numId w:val="0"/>
        </w:numPr>
        <w:spacing w:line="360" w:lineRule="auto" w:before="160" w:after="120"/>
        <w:ind w:firstLine="0"/>
      </w:pPr>
      <w:bookmarkStart w:id="49" w:name="规划费用与决策方法"/>
      <w:r>
        <w:rPr>
          <w:rFonts w:ascii="Times New Roman" w:hAnsi="Times New Roman" w:eastAsia="方正仿宋_GBK"/>
          <w:b/>
          <w:sz w:val="26"/>
        </w:rPr>
        <w:t xml:space="preserve">2.1.4 规划费用与决策方法</w:t>
      </w:r>
      <w:bookmarkEnd w:id="49"/>
    </w:p>
    <w:p>
      <w:pPr>
        <w:pStyle w:val="FirstParagraph"/>
        <w:widowControl/>
        <w:spacing w:line="300" w:lineRule="auto" w:before="0" w:after="0"/>
        <w:ind w:firstLine="480"/>
        <w:jc w:val="both"/>
      </w:pPr>
      <w:r>
        <w:rPr>
          <w:rFonts w:ascii="Times New Roman" w:hAnsi="Times New Roman" w:eastAsia="方正仿宋_GBK"/>
          <w:b w:val="0"/>
          <w:sz w:val="24"/>
        </w:rPr>
        <w:t xml:space="preserve">在成本评价方面，Zeng 等基于全寿命周期成本（投资、运行、维护、故障）建立输电线路经济寿命区间法，并以改进 GM(1,1) 在小样本下预测成本、以区间法处理不确定性[11]；Zhu 等对 10 kV 三类线路建立显式包含投资、运维、故障与报废（discard）四部分的 LCC 模型，研究表明，高负载率下运维成本成为 LCC 最主要影响因素、三类线路 LCC 平衡点出现在第 7～8 年，为线路寿命和费用边界分析提供参考[12]。</w:t>
      </w:r>
    </w:p>
    <w:p>
      <w:pPr>
        <w:pStyle w:val="2"/>
        <w:widowControl/>
        <w:spacing w:line="300" w:lineRule="auto" w:before="0" w:after="0"/>
        <w:ind w:firstLine="480"/>
        <w:jc w:val="both"/>
      </w:pPr>
      <w:r>
        <w:rPr>
          <w:rFonts w:ascii="Times New Roman" w:hAnsi="Times New Roman" w:eastAsia="方正仿宋_GBK"/>
          <w:b w:val="0"/>
          <w:sz w:val="24"/>
        </w:rPr>
        <w:t xml:space="preserve">在多准则决策方面，相关成果采用组合赋权与排序模型开展方案评价：AHP-CRITIC 组合赋权叠加 GRA-TOPSIS 与累积前景理论用于电网规划方案适应性评价[40]；Fermatean 模糊 TOPSIS 配合 FAHP-熵权与 DEMATEL 因果分析处理专家评分不确定性[41]；最优最劣法（BWM）+ 反熵权 + 纳什博弈 + 马氏距离改进 TOPSIS 用于输电项目优选[42]；改进 AHP 叠加物元可拓评估实现效益分级[14]。多准则评价通过指标与权重表达方案差异，适用于技术可行方案的综合比较。</w:t>
      </w:r>
    </w:p>
    <w:p>
      <w:bookmarkStart w:id="1102" w:name="h102"/>
      <w:pPr>
        <w:pStyle w:val="4"/>
        <w:keepNext/>
        <w:numPr>
          <w:numId w:val="0"/>
        </w:numPr>
        <w:spacing w:line="360" w:lineRule="auto" w:before="160" w:after="120"/>
        <w:ind w:firstLine="0"/>
      </w:pPr>
      <w:bookmarkStart w:id="50" w:name="国内研究现状"/>
      <w:r>
        <w:rPr>
          <w:rFonts w:ascii="Times New Roman" w:hAnsi="Times New Roman" w:eastAsia="方正仿宋_GBK"/>
          <w:b/>
          <w:sz w:val="32"/>
        </w:rPr>
        <w:t xml:space="preserve">2.2 国内研究现状</w:t>
      </w:r>
      <w:bookmarkEnd w:id="50"/>
      <w:bookmarkEnd w:id="1102"/>
    </w:p>
    <w:p>
      <w:pPr>
        <w:pStyle w:val="5"/>
        <w:keepNext/>
        <w:numPr>
          <w:numId w:val="0"/>
        </w:numPr>
        <w:spacing w:line="360" w:lineRule="auto" w:before="160" w:after="120"/>
        <w:ind w:firstLine="0"/>
      </w:pPr>
      <w:bookmarkStart w:id="51" w:name="容载比与下级网络供电能力"/>
      <w:r>
        <w:rPr>
          <w:rFonts w:ascii="Times New Roman" w:hAnsi="Times New Roman" w:eastAsia="方正仿宋_GBK"/>
          <w:b/>
          <w:sz w:val="26"/>
        </w:rPr>
        <w:t xml:space="preserve">2.2.1 容载比与下级网络供电能力</w:t>
      </w:r>
      <w:bookmarkEnd w:id="51"/>
    </w:p>
    <w:p>
      <w:pPr>
        <w:pStyle w:val="FirstParagraph"/>
        <w:widowControl/>
        <w:spacing w:line="300" w:lineRule="auto" w:before="0" w:after="0"/>
        <w:ind w:firstLine="480"/>
        <w:jc w:val="both"/>
      </w:pPr>
      <w:r>
        <w:rPr>
          <w:rFonts w:ascii="Times New Roman" w:hAnsi="Times New Roman" w:eastAsia="方正仿宋_GBK"/>
          <w:b w:val="0"/>
          <w:sz w:val="24"/>
        </w:rPr>
        <w:t xml:space="preserve">容量配置需要兼顾供电安全与投资效率，国内研究逐步从单电压等级容量配置拓展到多电压等级协同规划，并进一步细化相关参数及评价方法。在最优容载比计算上，陈浩等较早建立含高、低压两电压等级变电站的最优容载比优化模型，以年综合费用最小为目标、用离散粒子群算法求解[43]；王凯亮等进一步以建设成本最小为目标统筹 220/110/10 kV 协同规划，用贝叶斯优化—遗传算法（BOA-GA）求解多电压等级容载比配比，证明长时间尺度下容载比配比与整体投资近似呈二次关系，规划方案较实际网架降低建设成本约 7.60%，并给出按负荷密度（以 10 MW·km⁻² 为界）与负荷增长率分档的差异化容载比推荐表[44]。</w:t>
      </w:r>
    </w:p>
    <w:p>
      <w:pPr>
        <w:pStyle w:val="2"/>
        <w:widowControl/>
        <w:spacing w:line="300" w:lineRule="auto" w:before="0" w:after="0"/>
        <w:ind w:firstLine="480"/>
        <w:jc w:val="both"/>
      </w:pPr>
      <w:r>
        <w:rPr>
          <w:rFonts w:ascii="Times New Roman" w:hAnsi="Times New Roman" w:eastAsia="方正仿宋_GBK"/>
          <w:b w:val="0"/>
          <w:sz w:val="24"/>
        </w:rPr>
        <w:t xml:space="preserve">在指标精细化上，刘文霞等针对导则容载比区间过宽、与可靠性脱钩的问题提出</w:t>
      </w:r>
      <w:r>
        <w:rPr>
          <w:rFonts w:ascii="Times New Roman" w:hAnsi="Times New Roman" w:eastAsia="方正仿宋_GBK"/>
          <w:b w:val="0"/>
          <w:sz w:val="24"/>
        </w:rPr>
        <w:t xml:space="preserve">“</w:t>
      </w:r>
      <w:r>
        <w:rPr>
          <w:rFonts w:ascii="Times New Roman" w:hAnsi="Times New Roman" w:eastAsia="方正仿宋_GBK"/>
          <w:b w:val="0"/>
          <w:sz w:val="24"/>
        </w:rPr>
        <w:t xml:space="preserve">容载比色带</w:t>
      </w:r>
      <w:r>
        <w:rPr>
          <w:rFonts w:ascii="Times New Roman" w:hAnsi="Times New Roman" w:eastAsia="方正仿宋_GBK"/>
          <w:b w:val="0"/>
          <w:sz w:val="24"/>
        </w:rPr>
        <w:t xml:space="preserve">”</w:t>
      </w:r>
      <w:r>
        <w:rPr>
          <w:rFonts w:ascii="Times New Roman" w:hAnsi="Times New Roman" w:eastAsia="方正仿宋_GBK"/>
          <w:b w:val="0"/>
          <w:sz w:val="24"/>
        </w:rPr>
        <w:t xml:space="preserve">，以理想值为基准的带状标尺可视化表达充裕性，以供电可靠性和发展阶段评价区域容量储备[45]；刘炜彬等则从负荷分散系数、储备系数、变压器安全运行率、平均功率因数四参数入手，用 BP 神经网络拟合负荷同时率、将 N-1 通过率纳入安全运行率，实现容载比精细化与差异化配置[46]。</w:t>
      </w:r>
    </w:p>
    <w:p>
      <w:pPr>
        <w:pStyle w:val="2"/>
        <w:widowControl/>
        <w:spacing w:line="300" w:lineRule="auto" w:before="0" w:after="0"/>
        <w:ind w:firstLine="480"/>
        <w:jc w:val="both"/>
      </w:pPr>
      <w:r>
        <w:rPr>
          <w:rFonts w:ascii="Times New Roman" w:hAnsi="Times New Roman" w:eastAsia="方正仿宋_GBK"/>
          <w:b w:val="0"/>
          <w:sz w:val="24"/>
        </w:rPr>
        <w:t xml:space="preserve">在最大供电能力方面，肖峻等以 TSC 理论（计及主变与下级网络转带、满足 N-1）量化容载比与下级网络强弱的关系，研究表明，网络转带能力增强后可降低相应变电容量储备需求：达到 TSC 时容载比理论范围约 1.10～2.00，常见城市配电网联络度 0.40～0.50 时对应容载比 1.50～1.60，其算例相较1.80～2.00的取值范围，可承接负荷增加约20%，并建议互联程度高的城市配电网容载比控制在 1.60 左右[8]；张锐等进一步以改进供电能力指标指导低压柔性互联装置规划，将设备容量与实际供电能力分别评价[47]；马雨欣、林凌雪提出面向精准规划的 TSC 评估方法并将分布式电源场景纳入供电能力计算[48]。</w:t>
      </w:r>
    </w:p>
    <w:p>
      <w:pPr>
        <w:pStyle w:val="5"/>
        <w:keepNext/>
        <w:numPr>
          <w:numId w:val="0"/>
        </w:numPr>
        <w:spacing w:line="360" w:lineRule="auto" w:before="160" w:after="120"/>
        <w:ind w:firstLine="0"/>
      </w:pPr>
      <w:bookmarkStart w:id="52" w:name="分布式光伏承载力与安全经济评价"/>
      <w:r>
        <w:rPr>
          <w:rFonts w:ascii="Times New Roman" w:hAnsi="Times New Roman" w:eastAsia="方正仿宋_GBK"/>
          <w:b/>
          <w:sz w:val="26"/>
        </w:rPr>
        <w:t xml:space="preserve">2.2.2 分布式光伏承载力与安全经济评价</w:t>
      </w:r>
      <w:bookmarkEnd w:id="52"/>
    </w:p>
    <w:p>
      <w:pPr>
        <w:pStyle w:val="FirstParagraph"/>
        <w:widowControl/>
        <w:spacing w:line="300" w:lineRule="auto" w:before="0" w:after="0"/>
        <w:ind w:firstLine="480"/>
        <w:jc w:val="both"/>
      </w:pPr>
      <w:r>
        <w:rPr>
          <w:rFonts w:ascii="Times New Roman" w:hAnsi="Times New Roman" w:eastAsia="方正仿宋_GBK"/>
          <w:b w:val="0"/>
          <w:sz w:val="24"/>
        </w:rPr>
        <w:t xml:space="preserve">国内承载力研究同时开展多供电层级耦合、分层精细化及概率区间评估。多层级分析有助于识别接入限制出现的具体位置，概率与区间方法则反映源荷不确定性。在精细化评估上，王守相等提出</w:t>
      </w:r>
      <w:r>
        <w:rPr>
          <w:rFonts w:ascii="Times New Roman" w:hAnsi="Times New Roman" w:eastAsia="方正仿宋_GBK"/>
          <w:b w:val="0"/>
          <w:sz w:val="24"/>
        </w:rPr>
        <w:t xml:space="preserve">“</w:t>
      </w:r>
      <w:r>
        <w:rPr>
          <w:rFonts w:ascii="Times New Roman" w:hAnsi="Times New Roman" w:eastAsia="方正仿宋_GBK"/>
          <w:b w:val="0"/>
          <w:sz w:val="24"/>
        </w:rPr>
        <w:t xml:space="preserve">变电站—馈线—台区</w:t>
      </w:r>
      <w:r>
        <w:rPr>
          <w:rFonts w:ascii="Times New Roman" w:hAnsi="Times New Roman" w:eastAsia="方正仿宋_GBK"/>
          <w:b w:val="0"/>
          <w:sz w:val="24"/>
        </w:rPr>
        <w:t xml:space="preserve">”</w:t>
      </w:r>
      <w:r>
        <w:rPr>
          <w:rFonts w:ascii="Times New Roman" w:hAnsi="Times New Roman" w:eastAsia="方正仿宋_GBK"/>
          <w:b w:val="0"/>
          <w:sz w:val="24"/>
        </w:rPr>
        <w:t xml:space="preserve">多供电层级耦合的一体化评估，明确区分</w:t>
      </w:r>
      <w:r>
        <w:rPr>
          <w:rFonts w:ascii="Times New Roman" w:hAnsi="Times New Roman" w:eastAsia="方正仿宋_GBK"/>
          <w:b w:val="0"/>
          <w:sz w:val="24"/>
        </w:rPr>
        <w:t xml:space="preserve">“</w:t>
      </w:r>
      <w:r>
        <w:rPr>
          <w:rFonts w:ascii="Times New Roman" w:hAnsi="Times New Roman" w:eastAsia="方正仿宋_GBK"/>
          <w:b w:val="0"/>
          <w:sz w:val="24"/>
        </w:rPr>
        <w:t xml:space="preserve">消纳能力（运行角度，电力电量平衡）</w:t>
      </w:r>
      <w:r>
        <w:rPr>
          <w:rFonts w:ascii="Times New Roman" w:hAnsi="Times New Roman" w:eastAsia="方正仿宋_GBK"/>
          <w:b w:val="0"/>
          <w:sz w:val="24"/>
        </w:rPr>
        <w:t xml:space="preserve">”</w:t>
      </w:r>
      <w:r>
        <w:rPr>
          <w:rFonts w:ascii="Times New Roman" w:hAnsi="Times New Roman" w:eastAsia="方正仿宋_GBK"/>
          <w:b w:val="0"/>
          <w:sz w:val="24"/>
        </w:rPr>
        <w:t xml:space="preserve">与</w:t>
      </w:r>
      <w:r>
        <w:rPr>
          <w:rFonts w:ascii="Times New Roman" w:hAnsi="Times New Roman" w:eastAsia="方正仿宋_GBK"/>
          <w:b w:val="0"/>
          <w:sz w:val="24"/>
        </w:rPr>
        <w:t xml:space="preserve">“</w:t>
      </w:r>
      <w:r>
        <w:rPr>
          <w:rFonts w:ascii="Times New Roman" w:hAnsi="Times New Roman" w:eastAsia="方正仿宋_GBK"/>
          <w:b w:val="0"/>
          <w:sz w:val="24"/>
        </w:rPr>
        <w:t xml:space="preserve">接纳能力（规划角度，不越过载/电压/谐波约束）</w:t>
      </w:r>
      <w:r>
        <w:rPr>
          <w:rFonts w:ascii="Times New Roman" w:hAnsi="Times New Roman" w:eastAsia="方正仿宋_GBK"/>
          <w:b w:val="0"/>
          <w:sz w:val="24"/>
        </w:rPr>
        <w:t xml:space="preserve">”</w:t>
      </w:r>
      <w:r>
        <w:rPr>
          <w:rFonts w:ascii="Times New Roman" w:hAnsi="Times New Roman" w:eastAsia="方正仿宋_GBK"/>
          <w:b w:val="0"/>
          <w:sz w:val="24"/>
        </w:rPr>
        <w:t xml:space="preserve">，并指出单电压等级独立评估会使低压侧承载力估计过于乐观[49]。</w:t>
      </w:r>
    </w:p>
    <w:p>
      <w:pPr>
        <w:pStyle w:val="2"/>
        <w:widowControl/>
        <w:spacing w:line="300" w:lineRule="auto" w:before="0" w:after="0"/>
        <w:ind w:firstLine="480"/>
        <w:jc w:val="both"/>
      </w:pPr>
      <w:r>
        <w:rPr>
          <w:rFonts w:ascii="Times New Roman" w:hAnsi="Times New Roman" w:eastAsia="方正仿宋_GBK"/>
          <w:b w:val="0"/>
          <w:sz w:val="24"/>
        </w:rPr>
        <w:t xml:space="preserve">在概率/区间评估上，王方敏等提出基于历史场景的分层分级概率评估，以反向负载率分级并将薄弱环节分为红/黄/蓝/绿四级，可按不同置信水平给出各供电区域光伏可新增容量（依据DL/T 2041开展评估）[50]；徐非非等提出计及不确定性的承载能力区间分析方法[51]；张伟等针对含储能与软开关的柔性配电网，以确定性模型刻画最乐观、双层鲁棒优化刻画最悲观，构成消纳能力区间，并验证随 E-SOP 端口容量增大区间整体抬升、宽度收窄（由 7.93～10.89 MW 升至 9.32～11.34 MW）[52]。</w:t>
      </w:r>
    </w:p>
    <w:p>
      <w:pPr>
        <w:pStyle w:val="2"/>
        <w:widowControl/>
        <w:spacing w:line="300" w:lineRule="auto" w:before="0" w:after="0"/>
        <w:ind w:firstLine="480"/>
        <w:jc w:val="both"/>
      </w:pPr>
      <w:r>
        <w:rPr>
          <w:rFonts w:ascii="Times New Roman" w:hAnsi="Times New Roman" w:eastAsia="方正仿宋_GBK"/>
          <w:b w:val="0"/>
          <w:sz w:val="24"/>
        </w:rPr>
        <w:t xml:space="preserve">在安全经济承载力上，宋钰等构建兼顾安全与经济的分布式光伏承载力评估方法[53]，李敬如等研究主配协同条件下的安全经济承载力计算[54]，二者均强调</w:t>
      </w:r>
      <w:r>
        <w:rPr>
          <w:rFonts w:ascii="Times New Roman" w:hAnsi="Times New Roman" w:eastAsia="方正仿宋_GBK"/>
          <w:b w:val="0"/>
          <w:sz w:val="24"/>
        </w:rPr>
        <w:t xml:space="preserve">“</w:t>
      </w:r>
      <w:r>
        <w:rPr>
          <w:rFonts w:ascii="Times New Roman" w:hAnsi="Times New Roman" w:eastAsia="方正仿宋_GBK"/>
          <w:b w:val="0"/>
          <w:sz w:val="24"/>
        </w:rPr>
        <w:t xml:space="preserve">先满足电压、设备容量与运行安全约束，再比较扩网、储能与调节措施经济性</w:t>
      </w:r>
      <w:r>
        <w:rPr>
          <w:rFonts w:ascii="Times New Roman" w:hAnsi="Times New Roman" w:eastAsia="方正仿宋_GBK"/>
          <w:b w:val="0"/>
          <w:sz w:val="24"/>
        </w:rPr>
        <w:t xml:space="preserve">”</w:t>
      </w:r>
      <w:r>
        <w:rPr>
          <w:rFonts w:ascii="Times New Roman" w:hAnsi="Times New Roman" w:eastAsia="方正仿宋_GBK"/>
          <w:b w:val="0"/>
          <w:sz w:val="24"/>
        </w:rPr>
        <w:t xml:space="preserve">。</w:t>
      </w:r>
    </w:p>
    <w:p>
      <w:pPr>
        <w:pStyle w:val="2"/>
        <w:widowControl/>
        <w:spacing w:line="300" w:lineRule="auto" w:before="0" w:after="0"/>
        <w:ind w:firstLine="480"/>
        <w:jc w:val="both"/>
      </w:pPr>
      <w:r>
        <w:rPr>
          <w:rFonts w:ascii="Times New Roman" w:hAnsi="Times New Roman" w:eastAsia="方正仿宋_GBK"/>
          <w:b w:val="0"/>
          <w:sz w:val="24"/>
        </w:rPr>
        <w:t xml:space="preserve">龚锐等则提出</w:t>
      </w:r>
      <w:r>
        <w:rPr>
          <w:rFonts w:ascii="Times New Roman" w:hAnsi="Times New Roman" w:eastAsia="方正仿宋_GBK"/>
          <w:b w:val="0"/>
          <w:sz w:val="24"/>
        </w:rPr>
        <w:t xml:space="preserve">“</w:t>
      </w:r>
      <w:r>
        <w:rPr>
          <w:rFonts w:ascii="Times New Roman" w:hAnsi="Times New Roman" w:eastAsia="方正仿宋_GBK"/>
          <w:b w:val="0"/>
          <w:sz w:val="24"/>
        </w:rPr>
        <w:t xml:space="preserve">综合承载力</w:t>
      </w:r>
      <w:r>
        <w:rPr>
          <w:rFonts w:ascii="Times New Roman" w:hAnsi="Times New Roman" w:eastAsia="方正仿宋_GBK"/>
          <w:b w:val="0"/>
          <w:sz w:val="24"/>
        </w:rPr>
        <w:t xml:space="preserve">”</w:t>
      </w:r>
      <w:r>
        <w:rPr>
          <w:rFonts w:ascii="Times New Roman" w:hAnsi="Times New Roman" w:eastAsia="方正仿宋_GBK"/>
          <w:b w:val="0"/>
          <w:sz w:val="24"/>
        </w:rPr>
        <w:t xml:space="preserve">概念，将运行状态评估结果折算为系数与接入容量相乘得</w:t>
      </w:r>
      <w:r>
        <w:rPr>
          <w:rFonts w:ascii="Times New Roman" w:hAnsi="Times New Roman" w:eastAsia="方正仿宋_GBK"/>
          <w:b w:val="0"/>
          <w:sz w:val="24"/>
        </w:rPr>
        <w:t xml:space="preserve">“</w:t>
      </w:r>
      <w:r>
        <w:rPr>
          <w:rFonts w:ascii="Times New Roman" w:hAnsi="Times New Roman" w:eastAsia="方正仿宋_GBK"/>
          <w:b w:val="0"/>
          <w:sz w:val="24"/>
        </w:rPr>
        <w:t xml:space="preserve">期望接入容量</w:t>
      </w:r>
      <w:r>
        <w:rPr>
          <w:rFonts w:ascii="Times New Roman" w:hAnsi="Times New Roman" w:eastAsia="方正仿宋_GBK"/>
          <w:b w:val="0"/>
          <w:sz w:val="24"/>
        </w:rPr>
        <w:t xml:space="preserve">”</w:t>
      </w:r>
      <w:r>
        <w:rPr>
          <w:rFonts w:ascii="Times New Roman" w:hAnsi="Times New Roman" w:eastAsia="方正仿宋_GBK"/>
          <w:b w:val="0"/>
          <w:sz w:val="24"/>
        </w:rPr>
        <w:t xml:space="preserve">，通过运行评价系数反映接入容量的质量差异[55]。</w:t>
      </w:r>
    </w:p>
    <w:p>
      <w:pPr>
        <w:pStyle w:val="5"/>
        <w:keepNext/>
        <w:numPr>
          <w:numId w:val="0"/>
        </w:numPr>
        <w:spacing w:line="360" w:lineRule="auto" w:before="160" w:after="120"/>
        <w:ind w:firstLine="0"/>
      </w:pPr>
      <w:bookmarkStart w:id="53" w:name="源荷运行特征与净负荷"/>
      <w:r>
        <w:rPr>
          <w:rFonts w:ascii="Times New Roman" w:hAnsi="Times New Roman" w:eastAsia="方正仿宋_GBK"/>
          <w:b/>
          <w:sz w:val="26"/>
        </w:rPr>
        <w:t xml:space="preserve">2.2.3 源荷运行特征与净负荷</w:t>
      </w:r>
      <w:bookmarkEnd w:id="53"/>
    </w:p>
    <w:p>
      <w:pPr>
        <w:pStyle w:val="FirstParagraph"/>
        <w:widowControl/>
        <w:spacing w:line="300" w:lineRule="auto" w:before="0" w:after="0"/>
        <w:ind w:firstLine="480"/>
        <w:jc w:val="both"/>
      </w:pPr>
      <w:r>
        <w:rPr>
          <w:rFonts w:ascii="Times New Roman" w:hAnsi="Times New Roman" w:eastAsia="方正仿宋_GBK"/>
          <w:b w:val="0"/>
          <w:sz w:val="24"/>
        </w:rPr>
        <w:t xml:space="preserve">运行特征研究为本项目的源荷分析提供方法和区域参照。曹炜等综述德国可再生能源法与英国伦敦</w:t>
      </w:r>
      <w:r>
        <w:rPr>
          <w:rFonts w:ascii="Times New Roman" w:hAnsi="Times New Roman" w:eastAsia="方正仿宋_GBK"/>
          <w:b w:val="0"/>
          <w:sz w:val="24"/>
        </w:rPr>
        <w:t xml:space="preserve">“</w:t>
      </w:r>
      <w:r>
        <w:rPr>
          <w:rFonts w:ascii="Times New Roman" w:hAnsi="Times New Roman" w:eastAsia="方正仿宋_GBK"/>
          <w:b w:val="0"/>
          <w:sz w:val="24"/>
        </w:rPr>
        <w:t xml:space="preserve">8·9</w:t>
      </w:r>
      <w:r>
        <w:rPr>
          <w:rFonts w:ascii="Times New Roman" w:hAnsi="Times New Roman" w:eastAsia="方正仿宋_GBK"/>
          <w:b w:val="0"/>
          <w:sz w:val="24"/>
        </w:rPr>
        <w:t xml:space="preserve">”</w:t>
      </w:r>
      <w:r>
        <w:rPr>
          <w:rFonts w:ascii="Times New Roman" w:hAnsi="Times New Roman" w:eastAsia="方正仿宋_GBK"/>
          <w:b w:val="0"/>
          <w:sz w:val="24"/>
        </w:rPr>
        <w:t xml:space="preserve">大停电经验，分析高比例新能源接入后向主网反向输送功率的现象，并提示防孤岛与频率保护设定的重要性[56]。</w:t>
      </w:r>
    </w:p>
    <w:p>
      <w:pPr>
        <w:pStyle w:val="2"/>
        <w:widowControl/>
        <w:spacing w:line="300" w:lineRule="auto" w:before="0" w:after="0"/>
        <w:ind w:firstLine="480"/>
        <w:jc w:val="both"/>
      </w:pPr>
      <w:r>
        <w:rPr>
          <w:rFonts w:ascii="Times New Roman" w:hAnsi="Times New Roman" w:eastAsia="方正仿宋_GBK"/>
          <w:b w:val="0"/>
          <w:sz w:val="24"/>
        </w:rPr>
        <w:t xml:space="preserve">在区域负荷特征上，龚玺等基于 2016—2021 年江苏逐小时负荷与南京气象数据，得出江苏夏季日最大负荷与日最高气温相关性达 0.90、负荷随气温呈</w:t>
      </w:r>
      <w:r>
        <w:rPr>
          <w:rFonts w:ascii="Times New Roman" w:hAnsi="Times New Roman" w:eastAsia="方正仿宋_GBK"/>
          <w:b w:val="0"/>
          <w:sz w:val="24"/>
        </w:rPr>
        <w:t xml:space="preserve">“</w:t>
      </w:r>
      <w:r>
        <w:rPr>
          <w:rFonts w:ascii="Times New Roman" w:hAnsi="Times New Roman" w:eastAsia="方正仿宋_GBK"/>
          <w:b w:val="0"/>
          <w:sz w:val="24"/>
        </w:rPr>
        <w:t xml:space="preserve">V/U 型</w:t>
      </w:r>
      <w:r>
        <w:rPr>
          <w:rFonts w:ascii="Times New Roman" w:hAnsi="Times New Roman" w:eastAsia="方正仿宋_GBK"/>
          <w:b w:val="0"/>
          <w:sz w:val="24"/>
        </w:rPr>
        <w:t xml:space="preserve">”</w:t>
      </w:r>
      <w:r>
        <w:rPr>
          <w:rFonts w:ascii="Times New Roman" w:hAnsi="Times New Roman" w:eastAsia="方正仿宋_GBK"/>
          <w:b w:val="0"/>
          <w:sz w:val="24"/>
        </w:rPr>
        <w:t xml:space="preserve">，为分析江苏地区负荷与气温的关系提供参考[57]。</w:t>
      </w:r>
    </w:p>
    <w:p>
      <w:pPr>
        <w:pStyle w:val="2"/>
        <w:widowControl/>
        <w:spacing w:line="300" w:lineRule="auto" w:before="0" w:after="0"/>
        <w:ind w:firstLine="480"/>
        <w:jc w:val="both"/>
      </w:pPr>
      <w:r>
        <w:rPr>
          <w:rFonts w:ascii="Times New Roman" w:hAnsi="Times New Roman" w:eastAsia="方正仿宋_GBK"/>
          <w:b w:val="0"/>
          <w:sz w:val="24"/>
        </w:rPr>
        <w:t xml:space="preserve">在风险评估与控制上，梁志峰等构建主配网</w:t>
      </w:r>
      <w:r>
        <w:rPr>
          <w:rFonts w:ascii="Times New Roman" w:hAnsi="Times New Roman" w:eastAsia="方正仿宋_GBK"/>
          <w:b w:val="0"/>
          <w:sz w:val="24"/>
        </w:rPr>
        <w:t xml:space="preserve">“</w:t>
      </w:r>
      <w:r>
        <w:rPr>
          <w:rFonts w:ascii="Times New Roman" w:hAnsi="Times New Roman" w:eastAsia="方正仿宋_GBK"/>
          <w:b w:val="0"/>
          <w:sz w:val="24"/>
        </w:rPr>
        <w:t xml:space="preserve">安全（电压越限、断面重载）、平衡、消纳</w:t>
      </w:r>
      <w:r>
        <w:rPr>
          <w:rFonts w:ascii="Times New Roman" w:hAnsi="Times New Roman" w:eastAsia="方正仿宋_GBK"/>
          <w:b w:val="0"/>
          <w:sz w:val="24"/>
        </w:rPr>
        <w:t xml:space="preserve">”</w:t>
      </w:r>
      <w:r>
        <w:rPr>
          <w:rFonts w:ascii="Times New Roman" w:hAnsi="Times New Roman" w:eastAsia="方正仿宋_GBK"/>
          <w:b w:val="0"/>
          <w:sz w:val="24"/>
        </w:rPr>
        <w:t xml:space="preserve">风险评估指标体系并提出分层分区紧急切负荷策略[58]，吕达夫等以多场景源荷不确定性模型评估承载能力、得出</w:t>
      </w:r>
      <w:r>
        <w:rPr>
          <w:rFonts w:ascii="Times New Roman" w:hAnsi="Times New Roman" w:eastAsia="方正仿宋_GBK"/>
          <w:b w:val="0"/>
          <w:sz w:val="24"/>
        </w:rPr>
        <w:t xml:space="preserve">“</w:t>
      </w:r>
      <w:r>
        <w:rPr>
          <w:rFonts w:ascii="Times New Roman" w:hAnsi="Times New Roman" w:eastAsia="方正仿宋_GBK"/>
          <w:b w:val="0"/>
          <w:sz w:val="24"/>
        </w:rPr>
        <w:t xml:space="preserve">储能提升承载能力优于需求响应</w:t>
      </w:r>
      <w:r>
        <w:rPr>
          <w:rFonts w:ascii="Times New Roman" w:hAnsi="Times New Roman" w:eastAsia="方正仿宋_GBK"/>
          <w:b w:val="0"/>
          <w:sz w:val="24"/>
        </w:rPr>
        <w:t xml:space="preserve">”</w:t>
      </w:r>
      <w:r>
        <w:rPr>
          <w:rFonts w:ascii="Times New Roman" w:hAnsi="Times New Roman" w:eastAsia="方正仿宋_GBK"/>
          <w:b w:val="0"/>
          <w:sz w:val="24"/>
        </w:rPr>
        <w:t xml:space="preserve">[59]，刘克权等则以甘肃为例定性论证高比例新能源下</w:t>
      </w:r>
      <w:r>
        <w:rPr>
          <w:rFonts w:ascii="Times New Roman" w:hAnsi="Times New Roman" w:eastAsia="方正仿宋_GBK"/>
          <w:b w:val="0"/>
          <w:sz w:val="24"/>
        </w:rPr>
        <w:t xml:space="preserve">“</w:t>
      </w:r>
      <w:r>
        <w:rPr>
          <w:rFonts w:ascii="Times New Roman" w:hAnsi="Times New Roman" w:eastAsia="方正仿宋_GBK"/>
          <w:b w:val="0"/>
          <w:sz w:val="24"/>
        </w:rPr>
        <w:t xml:space="preserve">承载力不足/潮流反转/N-1 不满足/网架联络率低</w:t>
      </w:r>
      <w:r>
        <w:rPr>
          <w:rFonts w:ascii="Times New Roman" w:hAnsi="Times New Roman" w:eastAsia="方正仿宋_GBK"/>
          <w:b w:val="0"/>
          <w:sz w:val="24"/>
        </w:rPr>
        <w:t xml:space="preserve">”</w:t>
      </w:r>
      <w:r>
        <w:rPr>
          <w:rFonts w:ascii="Times New Roman" w:hAnsi="Times New Roman" w:eastAsia="方正仿宋_GBK"/>
          <w:b w:val="0"/>
          <w:sz w:val="24"/>
        </w:rPr>
        <w:t xml:space="preserve">的真实困境[60]。</w:t>
      </w:r>
    </w:p>
    <w:p>
      <w:pPr>
        <w:pStyle w:val="5"/>
        <w:keepNext/>
        <w:numPr>
          <w:numId w:val="0"/>
        </w:numPr>
        <w:spacing w:line="360" w:lineRule="auto" w:before="160" w:after="120"/>
        <w:ind w:firstLine="0"/>
      </w:pPr>
      <w:bookmarkStart w:id="54" w:name="源网荷储协同规划"/>
      <w:r>
        <w:rPr>
          <w:rFonts w:ascii="Times New Roman" w:hAnsi="Times New Roman" w:eastAsia="方正仿宋_GBK"/>
          <w:b/>
          <w:sz w:val="26"/>
        </w:rPr>
        <w:t xml:space="preserve">2.2.4 源网荷储协同规划</w:t>
      </w:r>
      <w:bookmarkEnd w:id="54"/>
    </w:p>
    <w:p>
      <w:pPr>
        <w:pStyle w:val="FirstParagraph"/>
        <w:widowControl/>
        <w:spacing w:line="300" w:lineRule="auto" w:before="0" w:after="0"/>
        <w:ind w:firstLine="480"/>
        <w:jc w:val="both"/>
      </w:pPr>
      <w:r>
        <w:rPr>
          <w:rFonts w:ascii="Times New Roman" w:hAnsi="Times New Roman" w:eastAsia="方正仿宋_GBK"/>
          <w:b w:val="0"/>
          <w:sz w:val="24"/>
        </w:rPr>
        <w:t xml:space="preserve">国内源网荷储/柔性互联协同规划成果丰富，研究关注柔性互联及储能的联合配置对潮流、供电能力和投资的影响。综述类研究系统梳理了分布式光伏规模化并网关键技术[61]、主动配电网规划[62]与新型配电网分布式储能配置[63]。在 SOP/柔性互联协同上，贺春光等以混合整数二阶锥规划做多电压等级 SOP 协同规划，算例中年综合成本由 457.30 万元降至 357.70 万元、各节点电压维持在 [0.95,1.05]、缓解 220 kV 变电站潮流倒送[64]。在</w:t>
      </w:r>
      <w:r>
        <w:rPr>
          <w:rFonts w:ascii="Times New Roman" w:hAnsi="Times New Roman" w:eastAsia="方正仿宋_GBK"/>
          <w:b w:val="0"/>
          <w:sz w:val="24"/>
        </w:rPr>
        <w:t xml:space="preserve">“</w:t>
      </w:r>
      <w:r>
        <w:rPr>
          <w:rFonts w:ascii="Times New Roman" w:hAnsi="Times New Roman" w:eastAsia="方正仿宋_GBK"/>
          <w:b w:val="0"/>
          <w:sz w:val="24"/>
        </w:rPr>
        <w:t xml:space="preserve">源—网—储</w:t>
      </w:r>
      <w:r>
        <w:rPr>
          <w:rFonts w:ascii="Times New Roman" w:hAnsi="Times New Roman" w:eastAsia="方正仿宋_GBK"/>
          <w:b w:val="0"/>
          <w:sz w:val="24"/>
        </w:rPr>
        <w:t xml:space="preserve">”</w:t>
      </w:r>
      <w:r>
        <w:rPr>
          <w:rFonts w:ascii="Times New Roman" w:hAnsi="Times New Roman" w:eastAsia="方正仿宋_GBK"/>
          <w:b w:val="0"/>
          <w:sz w:val="24"/>
        </w:rPr>
        <w:t xml:space="preserve">联合扩展规划上，徐峰亮等提出三层扩展规划并定义净负荷适应率、净负荷波动率、线路负载裕度均衡性三个运行灵活性指标，其推荐方案在五种方案中总成本最低（1300.50 万元）、DG 渗透率最高（57.10%）[65]；乐健等以 Frank-Copula 刻画源荷时空相关、蒙特卡洛生成并削减典型场景，比较基准与差异化源网储方案的全寿命费用（25 节点方案 4 综合成本较方案 2 降约 44.90%）[66]。</w:t>
      </w:r>
    </w:p>
    <w:p>
      <w:pPr>
        <w:pStyle w:val="5"/>
        <w:keepNext/>
        <w:numPr>
          <w:numId w:val="0"/>
        </w:numPr>
        <w:spacing w:line="360" w:lineRule="auto" w:before="160" w:after="120"/>
        <w:ind w:firstLine="0"/>
      </w:pPr>
      <w:bookmarkStart w:id="55" w:name="工程费用与评价方法"/>
      <w:r>
        <w:rPr>
          <w:rFonts w:ascii="Times New Roman" w:hAnsi="Times New Roman" w:eastAsia="方正仿宋_GBK"/>
          <w:b/>
          <w:sz w:val="26"/>
        </w:rPr>
        <w:t xml:space="preserve">2.2.5 工程费用与评价方法</w:t>
      </w:r>
      <w:bookmarkEnd w:id="55"/>
    </w:p>
    <w:p>
      <w:pPr>
        <w:pStyle w:val="FirstParagraph"/>
        <w:widowControl/>
        <w:spacing w:line="300" w:lineRule="auto" w:before="0" w:after="0"/>
        <w:ind w:firstLine="480"/>
        <w:jc w:val="both"/>
      </w:pPr>
      <w:r>
        <w:rPr>
          <w:rFonts w:ascii="Times New Roman" w:hAnsi="Times New Roman" w:eastAsia="方正仿宋_GBK"/>
          <w:b w:val="0"/>
          <w:sz w:val="24"/>
        </w:rPr>
        <w:t xml:space="preserve">建设费用与设备寿命共同决定措施的经济性。在投资优选方面，张全等建立电网规划全生命周期投入产出效益评价体系，选取 6 类典型投资场景按</w:t>
      </w:r>
      <w:r>
        <w:rPr>
          <w:rFonts w:ascii="Times New Roman" w:hAnsi="Times New Roman" w:eastAsia="方正仿宋_GBK"/>
          <w:b w:val="0"/>
          <w:sz w:val="24"/>
        </w:rPr>
        <w:t xml:space="preserve">“</w:t>
      </w:r>
      <w:r>
        <w:rPr>
          <w:rFonts w:ascii="Times New Roman" w:hAnsi="Times New Roman" w:eastAsia="方正仿宋_GBK"/>
          <w:b w:val="0"/>
          <w:sz w:val="24"/>
        </w:rPr>
        <w:t xml:space="preserve">先项目重要性、后投入产出效益</w:t>
      </w:r>
      <w:r>
        <w:rPr>
          <w:rFonts w:ascii="Times New Roman" w:hAnsi="Times New Roman" w:eastAsia="方正仿宋_GBK"/>
          <w:b w:val="0"/>
          <w:sz w:val="24"/>
        </w:rPr>
        <w:t xml:space="preserve">”</w:t>
      </w:r>
      <w:r>
        <w:rPr>
          <w:rFonts w:ascii="Times New Roman" w:hAnsi="Times New Roman" w:eastAsia="方正仿宋_GBK"/>
          <w:b w:val="0"/>
          <w:sz w:val="24"/>
        </w:rPr>
        <w:t xml:space="preserve">排序，区分</w:t>
      </w:r>
      <w:r>
        <w:rPr>
          <w:rFonts w:ascii="Times New Roman" w:hAnsi="Times New Roman" w:eastAsia="方正仿宋_GBK"/>
          <w:b w:val="0"/>
          <w:sz w:val="24"/>
        </w:rPr>
        <w:t xml:space="preserve">“</w:t>
      </w:r>
      <w:r>
        <w:rPr>
          <w:rFonts w:ascii="Times New Roman" w:hAnsi="Times New Roman" w:eastAsia="方正仿宋_GBK"/>
          <w:b w:val="0"/>
          <w:sz w:val="24"/>
        </w:rPr>
        <w:t xml:space="preserve">刚性必选</w:t>
      </w:r>
      <w:r>
        <w:rPr>
          <w:rFonts w:ascii="Times New Roman" w:hAnsi="Times New Roman" w:eastAsia="方正仿宋_GBK"/>
          <w:b w:val="0"/>
          <w:sz w:val="24"/>
        </w:rPr>
        <w:t xml:space="preserve">”</w:t>
      </w:r>
      <w:r>
        <w:rPr>
          <w:rFonts w:ascii="Times New Roman" w:hAnsi="Times New Roman" w:eastAsia="方正仿宋_GBK"/>
          <w:b w:val="0"/>
          <w:sz w:val="24"/>
        </w:rPr>
        <w:t xml:space="preserve">（如区域供电能力提升、配用电升级）与</w:t>
      </w:r>
      <w:r>
        <w:rPr>
          <w:rFonts w:ascii="Times New Roman" w:hAnsi="Times New Roman" w:eastAsia="方正仿宋_GBK"/>
          <w:b w:val="0"/>
          <w:sz w:val="24"/>
        </w:rPr>
        <w:t xml:space="preserve">“</w:t>
      </w:r>
      <w:r>
        <w:rPr>
          <w:rFonts w:ascii="Times New Roman" w:hAnsi="Times New Roman" w:eastAsia="方正仿宋_GBK"/>
          <w:b w:val="0"/>
          <w:sz w:val="24"/>
        </w:rPr>
        <w:t xml:space="preserve">弹性排序</w:t>
      </w:r>
      <w:r>
        <w:rPr>
          <w:rFonts w:ascii="Times New Roman" w:hAnsi="Times New Roman" w:eastAsia="方正仿宋_GBK"/>
          <w:b w:val="0"/>
          <w:sz w:val="24"/>
        </w:rPr>
        <w:t xml:space="preserve">”</w:t>
      </w:r>
      <w:r>
        <w:rPr>
          <w:rFonts w:ascii="Times New Roman" w:hAnsi="Times New Roman" w:eastAsia="方正仿宋_GBK"/>
          <w:b w:val="0"/>
          <w:sz w:val="24"/>
        </w:rPr>
        <w:t xml:space="preserve">（如 220 kV 网架、灵活资源）项目，按工程功能和投入产出组织投资排序[67]；何凯等提出</w:t>
      </w:r>
      <w:r>
        <w:rPr>
          <w:rFonts w:ascii="Times New Roman" w:hAnsi="Times New Roman" w:eastAsia="方正仿宋_GBK"/>
          <w:b w:val="0"/>
          <w:sz w:val="24"/>
        </w:rPr>
        <w:t xml:space="preserve">“</w:t>
      </w:r>
      <w:r>
        <w:rPr>
          <w:rFonts w:ascii="Times New Roman" w:hAnsi="Times New Roman" w:eastAsia="方正仿宋_GBK"/>
          <w:b w:val="0"/>
          <w:sz w:val="24"/>
        </w:rPr>
        <w:t xml:space="preserve">全成本电价</w:t>
      </w:r>
      <w:r>
        <w:rPr>
          <w:rFonts w:ascii="Times New Roman" w:hAnsi="Times New Roman" w:eastAsia="方正仿宋_GBK"/>
          <w:b w:val="0"/>
          <w:sz w:val="24"/>
        </w:rPr>
        <w:t xml:space="preserve">”</w:t>
      </w:r>
      <w:r>
        <w:rPr>
          <w:rFonts w:ascii="Times New Roman" w:hAnsi="Times New Roman" w:eastAsia="方正仿宋_GBK"/>
          <w:b w:val="0"/>
          <w:sz w:val="24"/>
        </w:rPr>
        <w:t xml:space="preserve">（节点边际电价 + 单位负荷建设与运维成本）并以基态/N-1 态负荷率为安全指标、</w:t>
      </w:r>
      <w:r>
        <w:rPr>
          <w:rFonts w:ascii="Times New Roman" w:hAnsi="Times New Roman" w:eastAsia="方正仿宋_GBK"/>
          <w:b w:val="0"/>
          <w:sz w:val="24"/>
        </w:rPr>
        <w:t xml:space="preserve">“</w:t>
      </w:r>
      <w:r>
        <w:rPr>
          <w:rFonts w:ascii="Times New Roman" w:hAnsi="Times New Roman" w:eastAsia="方正仿宋_GBK"/>
          <w:b w:val="0"/>
          <w:sz w:val="24"/>
        </w:rPr>
        <w:t xml:space="preserve">收入成本比</w:t>
      </w:r>
      <w:r>
        <w:rPr>
          <w:rFonts w:ascii="Times New Roman" w:hAnsi="Times New Roman" w:eastAsia="方正仿宋_GBK"/>
          <w:b w:val="0"/>
          <w:sz w:val="24"/>
        </w:rPr>
        <w:t xml:space="preserve">”</w:t>
      </w:r>
      <w:r>
        <w:rPr>
          <w:rFonts w:ascii="Times New Roman" w:hAnsi="Times New Roman" w:eastAsia="方正仿宋_GBK"/>
          <w:b w:val="0"/>
          <w:sz w:val="24"/>
        </w:rPr>
        <w:t xml:space="preserve">为经济指标做方案优选，其算例含 110 kV、155 MW 负荷接入（基态线路负荷率达 84%～92%），包含高压配电网的工程比选[68]。</w:t>
      </w:r>
    </w:p>
    <w:p>
      <w:pPr>
        <w:pStyle w:val="2"/>
        <w:widowControl/>
        <w:spacing w:line="300" w:lineRule="auto" w:before="0" w:after="0"/>
        <w:ind w:firstLine="480"/>
        <w:jc w:val="both"/>
      </w:pPr>
      <w:r>
        <w:rPr>
          <w:rFonts w:ascii="Times New Roman" w:hAnsi="Times New Roman" w:eastAsia="方正仿宋_GBK"/>
          <w:b w:val="0"/>
          <w:sz w:val="24"/>
        </w:rPr>
        <w:t xml:space="preserve">在造价参数化上，武小琳等以技术/组织/环境/造价四层因子构建 LM-CNN 模型预测输变电单位容量造价，平均精度达 97.87%、RMSE 7.38 元/(kV·A)，为工程造价的参数化分析提供参考[69]。</w:t>
      </w:r>
    </w:p>
    <w:p>
      <w:pPr>
        <w:pStyle w:val="2"/>
        <w:widowControl/>
        <w:spacing w:line="300" w:lineRule="auto" w:before="0" w:after="0"/>
        <w:ind w:firstLine="480"/>
        <w:jc w:val="both"/>
      </w:pPr>
      <w:r>
        <w:rPr>
          <w:rFonts w:ascii="Times New Roman" w:hAnsi="Times New Roman" w:eastAsia="方正仿宋_GBK"/>
          <w:b w:val="0"/>
          <w:sz w:val="24"/>
        </w:rPr>
        <w:t xml:space="preserve">黄碧斌等辨识分布式光伏接入的成本（初投资、电网改造、维护、限电损失）与效益（降损、延缓投资、节能、环境），基于年度 8760 h 潮流分析比较电网改造和限电方案，并发现降损效益随渗透率呈U型变化：渗透率不高时降损、渗透率提高后反向潮流超过原正向潮流时损耗反而回升，不同规划情景年化综合成本最多相差近 40%[70]。评价时应结合研究目标统一费用范围和现金流时点。</w:t>
      </w:r>
    </w:p>
    <w:p>
      <w:pPr>
        <w:pStyle w:val="5"/>
        <w:keepNext/>
        <w:numPr>
          <w:numId w:val="0"/>
        </w:numPr>
        <w:spacing w:line="360" w:lineRule="auto" w:before="160" w:after="120"/>
        <w:ind w:firstLine="0"/>
      </w:pPr>
      <w:bookmarkStart w:id="56" w:name="多准则评价与差异化投资"/>
      <w:r>
        <w:rPr>
          <w:rFonts w:ascii="Times New Roman" w:hAnsi="Times New Roman" w:eastAsia="方正仿宋_GBK"/>
          <w:b/>
          <w:sz w:val="26"/>
        </w:rPr>
        <w:t xml:space="preserve">2.2.6 多准则评价与差异化投资</w:t>
      </w:r>
      <w:bookmarkEnd w:id="56"/>
    </w:p>
    <w:p>
      <w:pPr>
        <w:pStyle w:val="FirstParagraph"/>
        <w:widowControl/>
        <w:spacing w:line="300" w:lineRule="auto" w:before="0" w:after="0"/>
        <w:ind w:firstLine="480"/>
        <w:jc w:val="both"/>
      </w:pPr>
      <w:r>
        <w:rPr>
          <w:rFonts w:ascii="Times New Roman" w:hAnsi="Times New Roman" w:eastAsia="方正仿宋_GBK"/>
          <w:b w:val="0"/>
          <w:sz w:val="24"/>
        </w:rPr>
        <w:t xml:space="preserve">国内多准则评价常采用组合赋权与排序、分级方法，并根据项目功能设置评价准则。对关键安全要求，可通过否决条件约束方案选择。罗宁等以改进 AHP-CRITIC 组合赋权配合物元可拓评估对配电网做综合评价（贵州 9 市、33 项指标），直接将 110 kV 容载比纳入评价指标并给出四级分级阈值，用于区域电网分类和综合评价[15]。</w:t>
      </w:r>
    </w:p>
    <w:p>
      <w:pPr>
        <w:pStyle w:val="2"/>
        <w:widowControl/>
        <w:spacing w:line="300" w:lineRule="auto" w:before="0" w:after="0"/>
        <w:ind w:firstLine="480"/>
        <w:jc w:val="both"/>
      </w:pPr>
      <w:r>
        <w:rPr>
          <w:rFonts w:ascii="Times New Roman" w:hAnsi="Times New Roman" w:eastAsia="方正仿宋_GBK"/>
          <w:b w:val="0"/>
          <w:sz w:val="24"/>
        </w:rPr>
        <w:t xml:space="preserve">程智余等以改进 ELECTRE 法做电网规划投资多准则融合决策，将项目分为</w:t>
      </w:r>
      <w:r>
        <w:rPr>
          <w:rFonts w:ascii="Times New Roman" w:hAnsi="Times New Roman" w:eastAsia="方正仿宋_GBK"/>
          <w:b w:val="0"/>
          <w:sz w:val="24"/>
        </w:rPr>
        <w:t xml:space="preserve">“</w:t>
      </w:r>
      <w:r>
        <w:rPr>
          <w:rFonts w:ascii="Times New Roman" w:hAnsi="Times New Roman" w:eastAsia="方正仿宋_GBK"/>
          <w:b w:val="0"/>
          <w:sz w:val="24"/>
        </w:rPr>
        <w:t xml:space="preserve">安全提升型</w:t>
      </w:r>
      <w:r>
        <w:rPr>
          <w:rFonts w:ascii="Times New Roman" w:hAnsi="Times New Roman" w:eastAsia="方正仿宋_GBK"/>
          <w:b w:val="0"/>
          <w:sz w:val="24"/>
        </w:rPr>
        <w:t xml:space="preserve">”</w:t>
      </w:r>
      <w:r>
        <w:rPr>
          <w:rFonts w:ascii="Times New Roman" w:hAnsi="Times New Roman" w:eastAsia="方正仿宋_GBK"/>
          <w:b w:val="0"/>
          <w:sz w:val="24"/>
        </w:rPr>
        <w:t xml:space="preserve">与</w:t>
      </w:r>
      <w:r>
        <w:rPr>
          <w:rFonts w:ascii="Times New Roman" w:hAnsi="Times New Roman" w:eastAsia="方正仿宋_GBK"/>
          <w:b w:val="0"/>
          <w:sz w:val="24"/>
        </w:rPr>
        <w:t xml:space="preserve">“</w:t>
      </w:r>
      <w:r>
        <w:rPr>
          <w:rFonts w:ascii="Times New Roman" w:hAnsi="Times New Roman" w:eastAsia="方正仿宋_GBK"/>
          <w:b w:val="0"/>
          <w:sz w:val="24"/>
        </w:rPr>
        <w:t xml:space="preserve">需求驱动型</w:t>
      </w:r>
      <w:r>
        <w:rPr>
          <w:rFonts w:ascii="Times New Roman" w:hAnsi="Times New Roman" w:eastAsia="方正仿宋_GBK"/>
          <w:b w:val="0"/>
          <w:sz w:val="24"/>
        </w:rPr>
        <w:t xml:space="preserve">”</w:t>
      </w:r>
      <w:r>
        <w:rPr>
          <w:rFonts w:ascii="Times New Roman" w:hAnsi="Times New Roman" w:eastAsia="方正仿宋_GBK"/>
          <w:b w:val="0"/>
          <w:sz w:val="24"/>
        </w:rPr>
        <w:t xml:space="preserve">，其</w:t>
      </w:r>
      <w:r>
        <w:rPr>
          <w:rFonts w:ascii="Times New Roman" w:hAnsi="Times New Roman" w:eastAsia="方正仿宋_GBK"/>
          <w:b w:val="0"/>
          <w:sz w:val="24"/>
        </w:rPr>
        <w:t xml:space="preserve">“</w:t>
      </w:r>
      <w:r>
        <w:rPr>
          <w:rFonts w:ascii="Times New Roman" w:hAnsi="Times New Roman" w:eastAsia="方正仿宋_GBK"/>
          <w:b w:val="0"/>
          <w:sz w:val="24"/>
        </w:rPr>
        <w:t xml:space="preserve">不可补偿、否决阈值</w:t>
      </w:r>
      <w:r>
        <w:rPr>
          <w:rFonts w:ascii="Times New Roman" w:hAnsi="Times New Roman" w:eastAsia="方正仿宋_GBK"/>
          <w:b w:val="0"/>
          <w:sz w:val="24"/>
        </w:rPr>
        <w:t xml:space="preserve">”</w:t>
      </w:r>
      <w:r>
        <w:rPr>
          <w:rFonts w:ascii="Times New Roman" w:hAnsi="Times New Roman" w:eastAsia="方正仿宋_GBK"/>
          <w:b w:val="0"/>
          <w:sz w:val="24"/>
        </w:rPr>
        <w:t xml:space="preserve">机制可用于剔除不满足关键要求的规划方案[16]；汪志才等的</w:t>
      </w:r>
      <w:r>
        <w:rPr>
          <w:rFonts w:ascii="Times New Roman" w:hAnsi="Times New Roman" w:eastAsia="方正仿宋_GBK"/>
          <w:b w:val="0"/>
          <w:sz w:val="24"/>
        </w:rPr>
        <w:t xml:space="preserve">“</w:t>
      </w:r>
      <w:r>
        <w:rPr>
          <w:rFonts w:ascii="Times New Roman" w:hAnsi="Times New Roman" w:eastAsia="方正仿宋_GBK"/>
          <w:b w:val="0"/>
          <w:sz w:val="24"/>
        </w:rPr>
        <w:t xml:space="preserve">考虑功能差异的输变电项目效益评价及投资优化</w:t>
      </w:r>
      <w:r>
        <w:rPr>
          <w:rFonts w:ascii="Times New Roman" w:hAnsi="Times New Roman" w:eastAsia="方正仿宋_GBK"/>
          <w:b w:val="0"/>
          <w:sz w:val="24"/>
        </w:rPr>
        <w:t xml:space="preserve">”</w:t>
      </w:r>
      <w:r>
        <w:rPr>
          <w:rFonts w:ascii="Times New Roman" w:hAnsi="Times New Roman" w:eastAsia="方正仿宋_GBK"/>
          <w:b w:val="0"/>
          <w:sz w:val="24"/>
        </w:rPr>
        <w:t xml:space="preserve">将不同项目的工程功能纳入评价[71]。</w:t>
      </w:r>
    </w:p>
    <w:p>
      <w:pPr>
        <w:pStyle w:val="5"/>
        <w:keepNext/>
        <w:numPr>
          <w:numId w:val="0"/>
        </w:numPr>
        <w:spacing w:line="360" w:lineRule="auto" w:before="160" w:after="120"/>
        <w:ind w:firstLine="0"/>
      </w:pPr>
      <w:bookmarkStart w:id="57" w:name="区域案例与分层规划"/>
      <w:r>
        <w:rPr>
          <w:rFonts w:ascii="Times New Roman" w:hAnsi="Times New Roman" w:eastAsia="方正仿宋_GBK"/>
          <w:b/>
          <w:sz w:val="26"/>
        </w:rPr>
        <w:t xml:space="preserve">2.2.7 区域案例与分层规划</w:t>
      </w:r>
      <w:bookmarkEnd w:id="57"/>
    </w:p>
    <w:p>
      <w:pPr>
        <w:pStyle w:val="FirstParagraph"/>
        <w:widowControl/>
        <w:spacing w:line="300" w:lineRule="auto" w:before="0" w:after="0"/>
        <w:ind w:firstLine="480"/>
        <w:jc w:val="both"/>
      </w:pPr>
      <w:r>
        <w:rPr>
          <w:rFonts w:ascii="Times New Roman" w:hAnsi="Times New Roman" w:eastAsia="方正仿宋_GBK"/>
          <w:b w:val="0"/>
          <w:sz w:val="24"/>
        </w:rPr>
        <w:t xml:space="preserve">区域案例将负荷预测、技术校核和工程投资结合起来。严小玉以江西兴国县为对象，构建</w:t>
      </w:r>
      <w:r>
        <w:rPr>
          <w:rFonts w:ascii="Times New Roman" w:hAnsi="Times New Roman" w:eastAsia="方正仿宋_GBK"/>
          <w:b w:val="0"/>
          <w:sz w:val="24"/>
        </w:rPr>
        <w:t xml:space="preserve">“</w:t>
      </w:r>
      <w:r>
        <w:rPr>
          <w:rFonts w:ascii="Times New Roman" w:hAnsi="Times New Roman" w:eastAsia="方正仿宋_GBK"/>
          <w:b w:val="0"/>
          <w:sz w:val="24"/>
        </w:rPr>
        <w:t xml:space="preserve">分电压层级消纳能力测算 + 多法负荷预测 + 分电压等级投资估算</w:t>
      </w:r>
      <w:r>
        <w:rPr>
          <w:rFonts w:ascii="Times New Roman" w:hAnsi="Times New Roman" w:eastAsia="方正仿宋_GBK"/>
          <w:b w:val="0"/>
          <w:sz w:val="24"/>
        </w:rPr>
        <w:t xml:space="preserve">”</w:t>
      </w:r>
      <w:r>
        <w:rPr>
          <w:rFonts w:ascii="Times New Roman" w:hAnsi="Times New Roman" w:eastAsia="方正仿宋_GBK"/>
          <w:b w:val="0"/>
          <w:sz w:val="24"/>
        </w:rPr>
        <w:t xml:space="preserve">的县域110 kV规划方法，给出丰小方式下光伏最大接入 149 MW、10 kV 及以下中压消纳能力约为总负荷的 20%～30%、</w:t>
      </w:r>
      <w:r>
        <w:rPr>
          <w:rFonts w:ascii="Times New Roman" w:hAnsi="Times New Roman" w:eastAsia="方正仿宋_GBK"/>
          <w:b w:val="0"/>
          <w:sz w:val="24"/>
        </w:rPr>
        <w:t xml:space="preserve">“</w:t>
      </w:r>
      <w:r>
        <w:rPr>
          <w:rFonts w:ascii="Times New Roman" w:hAnsi="Times New Roman" w:eastAsia="方正仿宋_GBK"/>
          <w:b w:val="0"/>
          <w:sz w:val="24"/>
        </w:rPr>
        <w:t xml:space="preserve">十三五</w:t>
      </w:r>
      <w:r>
        <w:rPr>
          <w:rFonts w:ascii="Times New Roman" w:hAnsi="Times New Roman" w:eastAsia="方正仿宋_GBK"/>
          <w:b w:val="0"/>
          <w:sz w:val="24"/>
        </w:rPr>
        <w:t xml:space="preserve">”</w:t>
      </w:r>
      <w:r>
        <w:rPr>
          <w:rFonts w:ascii="Times New Roman" w:hAnsi="Times New Roman" w:eastAsia="方正仿宋_GBK"/>
          <w:b w:val="0"/>
          <w:sz w:val="24"/>
        </w:rPr>
        <w:t xml:space="preserve">110 kV 及以下投资估算合计约 6.83 亿元（含基本/C 类/D 类三套方案对比），体现县域规划的资料组织与工程比选方法[72]。谢天祥等的研究提出以数据驱动的</w:t>
      </w:r>
      <w:r>
        <w:rPr>
          <w:rFonts w:ascii="Times New Roman" w:hAnsi="Times New Roman" w:eastAsia="方正仿宋_GBK"/>
          <w:b w:val="0"/>
          <w:sz w:val="24"/>
        </w:rPr>
        <w:t xml:space="preserve">“</w:t>
      </w:r>
      <w:r>
        <w:rPr>
          <w:rFonts w:ascii="Times New Roman" w:hAnsi="Times New Roman" w:eastAsia="方正仿宋_GBK"/>
          <w:b w:val="0"/>
          <w:sz w:val="24"/>
        </w:rPr>
        <w:t xml:space="preserve">三级弹性</w:t>
      </w:r>
      <w:r>
        <w:rPr>
          <w:rFonts w:ascii="Times New Roman" w:hAnsi="Times New Roman" w:eastAsia="方正仿宋_GBK"/>
          <w:b w:val="0"/>
          <w:sz w:val="24"/>
        </w:rPr>
        <w:t xml:space="preserve">”</w:t>
      </w:r>
      <w:r>
        <w:rPr>
          <w:rFonts w:ascii="Times New Roman" w:hAnsi="Times New Roman" w:eastAsia="方正仿宋_GBK"/>
          <w:b w:val="0"/>
          <w:sz w:val="24"/>
        </w:rPr>
        <w:t xml:space="preserve">规划：其以浙江绍兴某含 6 座变电站的网格为对象，构建变电站层—中压线路层—配变层</w:t>
      </w:r>
      <w:r>
        <w:rPr>
          <w:rFonts w:ascii="Times New Roman" w:hAnsi="Times New Roman" w:eastAsia="方正仿宋_GBK"/>
          <w:b w:val="0"/>
          <w:sz w:val="24"/>
        </w:rPr>
        <w:t xml:space="preserve">“</w:t>
      </w:r>
      <w:r>
        <w:rPr>
          <w:rFonts w:ascii="Times New Roman" w:hAnsi="Times New Roman" w:eastAsia="方正仿宋_GBK"/>
          <w:b w:val="0"/>
          <w:sz w:val="24"/>
        </w:rPr>
        <w:t xml:space="preserve">三级弹性</w:t>
      </w:r>
      <w:r>
        <w:rPr>
          <w:rFonts w:ascii="Times New Roman" w:hAnsi="Times New Roman" w:eastAsia="方正仿宋_GBK"/>
          <w:b w:val="0"/>
          <w:sz w:val="24"/>
        </w:rPr>
        <w:t xml:space="preserve">”</w:t>
      </w:r>
      <w:r>
        <w:rPr>
          <w:rFonts w:ascii="Times New Roman" w:hAnsi="Times New Roman" w:eastAsia="方正仿宋_GBK"/>
          <w:b w:val="0"/>
          <w:sz w:val="24"/>
        </w:rPr>
        <w:t xml:space="preserve">规划模型，使容载比由 1.86 降为 1.72（变电站层弹性度 0.93），对应节约主变 1 台/50 MVA、公用中压线路 13 条、配变 64 台/156 MVA，且不降低供电可靠性[73]。</w:t>
      </w:r>
    </w:p>
    <w:p>
      <w:pPr>
        <w:pStyle w:val="2"/>
        <w:widowControl/>
        <w:spacing w:line="300" w:lineRule="auto" w:before="0" w:after="0"/>
        <w:ind w:firstLine="480"/>
        <w:jc w:val="both"/>
      </w:pPr>
      <w:r>
        <w:rPr>
          <w:rFonts w:ascii="Times New Roman" w:hAnsi="Times New Roman" w:eastAsia="方正仿宋_GBK"/>
          <w:b w:val="0"/>
          <w:sz w:val="24"/>
        </w:rPr>
        <w:t xml:space="preserve">在渗透率/消纳测算上，陈璨等以二分法快速定位边界渗透率并以四指标</w:t>
      </w:r>
      <w:r>
        <w:rPr>
          <w:rFonts w:ascii="Times New Roman" w:hAnsi="Times New Roman" w:eastAsia="方正仿宋_GBK"/>
          <w:b w:val="0"/>
          <w:sz w:val="24"/>
        </w:rPr>
        <w:t xml:space="preserve">“</w:t>
      </w:r>
      <w:r>
        <w:rPr>
          <w:rFonts w:ascii="Times New Roman" w:hAnsi="Times New Roman" w:eastAsia="方正仿宋_GBK"/>
          <w:b w:val="0"/>
          <w:sz w:val="24"/>
        </w:rPr>
        <w:t xml:space="preserve">满意度距离</w:t>
      </w:r>
      <w:r>
        <w:rPr>
          <w:rFonts w:ascii="Times New Roman" w:hAnsi="Times New Roman" w:eastAsia="方正仿宋_GBK"/>
          <w:b w:val="0"/>
          <w:sz w:val="24"/>
        </w:rPr>
        <w:t xml:space="preserve">”</w:t>
      </w:r>
      <w:r>
        <w:rPr>
          <w:rFonts w:ascii="Times New Roman" w:hAnsi="Times New Roman" w:eastAsia="方正仿宋_GBK"/>
          <w:b w:val="0"/>
          <w:sz w:val="24"/>
        </w:rPr>
        <w:t xml:space="preserve">做承德实际系统的消纳方案择优[74]；孙东磊等以 ADMM + 二阶锥松弛做多层级配电网消纳空间分解测算，论证层间协调可提升总消纳空间（但其算例为 IEEE 6/7/9/10/12/15 合成测试系统，用于检验多层级协调方法）[75]。</w:t>
      </w:r>
    </w:p>
    <w:p>
      <w:pPr>
        <w:pStyle w:val="2"/>
        <w:widowControl/>
        <w:spacing w:line="300" w:lineRule="auto" w:before="0" w:after="0"/>
        <w:ind w:firstLine="480"/>
        <w:jc w:val="both"/>
      </w:pPr>
      <w:r>
        <w:rPr>
          <w:rFonts w:ascii="Times New Roman" w:hAnsi="Times New Roman" w:eastAsia="方正仿宋_GBK"/>
          <w:b w:val="0"/>
          <w:sz w:val="24"/>
        </w:rPr>
        <w:t xml:space="preserve">金勇等以</w:t>
      </w:r>
      <w:r>
        <w:rPr>
          <w:rFonts w:ascii="Times New Roman" w:hAnsi="Times New Roman" w:eastAsia="方正仿宋_GBK"/>
          <w:b w:val="0"/>
          <w:sz w:val="24"/>
        </w:rPr>
        <w:t xml:space="preserve">“</w:t>
      </w:r>
      <w:r>
        <w:rPr>
          <w:rFonts w:ascii="Times New Roman" w:hAnsi="Times New Roman" w:eastAsia="方正仿宋_GBK"/>
          <w:b w:val="0"/>
          <w:sz w:val="24"/>
        </w:rPr>
        <w:t xml:space="preserve">功能单元</w:t>
      </w:r>
      <w:r>
        <w:rPr>
          <w:rFonts w:ascii="Times New Roman" w:hAnsi="Times New Roman" w:eastAsia="方正仿宋_GBK"/>
          <w:b w:val="0"/>
          <w:sz w:val="24"/>
        </w:rPr>
        <w:t xml:space="preserve">”</w:t>
      </w:r>
      <w:r>
        <w:rPr>
          <w:rFonts w:ascii="Times New Roman" w:hAnsi="Times New Roman" w:eastAsia="方正仿宋_GBK"/>
          <w:b w:val="0"/>
          <w:sz w:val="24"/>
        </w:rPr>
        <w:t xml:space="preserve">概念建立某城市 110 kV 高压配电网负荷转供分层优化模型，为分析负荷转供与变电容量储备的关系提供参考[76]。</w:t>
      </w:r>
    </w:p>
    <w:p>
      <w:pPr>
        <w:pStyle w:val="2"/>
        <w:widowControl/>
        <w:spacing w:line="300" w:lineRule="auto" w:before="0" w:after="0"/>
        <w:ind w:firstLine="480"/>
        <w:jc w:val="both"/>
      </w:pPr>
      <w:r>
        <w:rPr>
          <w:rFonts w:ascii="Times New Roman" w:hAnsi="Times New Roman" w:eastAsia="方正仿宋_GBK"/>
          <w:b w:val="0"/>
          <w:sz w:val="24"/>
        </w:rPr>
        <w:t xml:space="preserve">Zhao 等还以浙江嘉兴/平湖示范区构建</w:t>
      </w:r>
      <w:r>
        <w:rPr>
          <w:rFonts w:ascii="Times New Roman" w:hAnsi="Times New Roman" w:eastAsia="方正仿宋_GBK"/>
          <w:b w:val="0"/>
          <w:sz w:val="24"/>
        </w:rPr>
        <w:t xml:space="preserve">“</w:t>
      </w:r>
      <w:r>
        <w:rPr>
          <w:rFonts w:ascii="Times New Roman" w:hAnsi="Times New Roman" w:eastAsia="方正仿宋_GBK"/>
          <w:b w:val="0"/>
          <w:sz w:val="24"/>
        </w:rPr>
        <w:t xml:space="preserve">源—网—荷—储四侧</w:t>
      </w:r>
      <w:r>
        <w:rPr>
          <w:rFonts w:ascii="Times New Roman" w:hAnsi="Times New Roman" w:eastAsia="方正仿宋_GBK"/>
          <w:b w:val="0"/>
          <w:sz w:val="24"/>
        </w:rPr>
        <w:t xml:space="preserve">”</w:t>
      </w:r>
      <w:r>
        <w:rPr>
          <w:rFonts w:ascii="Times New Roman" w:hAnsi="Times New Roman" w:eastAsia="方正仿宋_GBK"/>
          <w:b w:val="0"/>
          <w:sz w:val="24"/>
        </w:rPr>
        <w:t xml:space="preserve">投资测算模型，显示电网侧投资在四侧中占比最大（约 2312 万美元），说明电网侧工程是综合投资的重要组成部分[77]。</w:t>
      </w:r>
    </w:p>
    <w:p>
      <w:pPr>
        <w:pStyle w:val="5"/>
        <w:keepNext/>
        <w:numPr>
          <w:numId w:val="0"/>
        </w:numPr>
        <w:spacing w:line="360" w:lineRule="auto" w:before="160" w:after="120"/>
        <w:ind w:firstLine="0"/>
      </w:pPr>
      <w:bookmarkStart w:id="58" w:name="弹性规划与容载比差异化优化"/>
      <w:r>
        <w:rPr>
          <w:rFonts w:ascii="Times New Roman" w:hAnsi="Times New Roman" w:eastAsia="方正仿宋_GBK"/>
          <w:b/>
          <w:sz w:val="26"/>
        </w:rPr>
        <w:t xml:space="preserve">2.2.8 弹性规划与容载比差异化优化</w:t>
      </w:r>
      <w:bookmarkEnd w:id="58"/>
    </w:p>
    <w:p>
      <w:pPr>
        <w:pStyle w:val="FirstParagraph"/>
        <w:widowControl/>
        <w:spacing w:line="300" w:lineRule="auto" w:before="0" w:after="0"/>
        <w:ind w:firstLine="480"/>
        <w:jc w:val="both"/>
      </w:pPr>
      <w:r>
        <w:rPr>
          <w:rFonts w:ascii="Times New Roman" w:hAnsi="Times New Roman" w:eastAsia="方正仿宋_GBK"/>
          <w:b w:val="0"/>
          <w:sz w:val="24"/>
        </w:rPr>
        <w:t xml:space="preserve">谢天祥等从变电站、中压线路和配变三个层级建立</w:t>
      </w:r>
      <w:r>
        <w:rPr>
          <w:rFonts w:ascii="Times New Roman" w:hAnsi="Times New Roman" w:eastAsia="方正仿宋_GBK"/>
          <w:b w:val="0"/>
          <w:sz w:val="24"/>
        </w:rPr>
        <w:t xml:space="preserve">“</w:t>
      </w:r>
      <w:r>
        <w:rPr>
          <w:rFonts w:ascii="Times New Roman" w:hAnsi="Times New Roman" w:eastAsia="方正仿宋_GBK"/>
          <w:b w:val="0"/>
          <w:sz w:val="24"/>
        </w:rPr>
        <w:t xml:space="preserve">三级弹性</w:t>
      </w:r>
      <w:r>
        <w:rPr>
          <w:rFonts w:ascii="Times New Roman" w:hAnsi="Times New Roman" w:eastAsia="方正仿宋_GBK"/>
          <w:b w:val="0"/>
          <w:sz w:val="24"/>
        </w:rPr>
        <w:t xml:space="preserve">”</w:t>
      </w:r>
      <w:r>
        <w:rPr>
          <w:rFonts w:ascii="Times New Roman" w:hAnsi="Times New Roman" w:eastAsia="方正仿宋_GBK"/>
          <w:b w:val="0"/>
          <w:sz w:val="24"/>
        </w:rPr>
        <w:t xml:space="preserve">规划模型，以运行数据和负荷特征调整不同层级的设备配置[73]。变电站层将下级网络及负荷特性与容量需求联系起来，中压线路层和配变层继续落实相应供电范围内的配置。绍兴案例中容载比从1.86降至1.72，说明在满足其供电条件时，数据分析可以支持减少冗余建设。该结果对应其网格和负荷条件，不能直接推作徐州高渗透率地区的取值。</w:t>
      </w:r>
    </w:p>
    <w:p>
      <w:pPr>
        <w:pStyle w:val="2"/>
        <w:widowControl/>
        <w:spacing w:line="300" w:lineRule="auto" w:before="0" w:after="0"/>
        <w:ind w:firstLine="480"/>
        <w:jc w:val="both"/>
      </w:pPr>
      <w:r>
        <w:rPr>
          <w:rFonts w:ascii="Times New Roman" w:hAnsi="Times New Roman" w:eastAsia="方正仿宋_GBK"/>
          <w:b w:val="0"/>
          <w:sz w:val="24"/>
        </w:rPr>
        <w:t xml:space="preserve">刘炜彬等将负荷同时性、安全运行水平和负荷发展储备纳入容载比参数优化，结合负荷增长及密度分析容量储备年限[46]；王凯亮等研究多电压等级协同规划，说明上级容量与下级网络条件需要共同考虑[44]。这些研究为容载比按片区条件调整提供了依据。</w:t>
      </w:r>
    </w:p>
    <w:p>
      <w:pPr>
        <w:pStyle w:val="2"/>
        <w:widowControl/>
        <w:spacing w:line="300" w:lineRule="auto" w:before="0" w:after="0"/>
        <w:ind w:firstLine="480"/>
        <w:jc w:val="both"/>
      </w:pPr>
      <w:r>
        <w:rPr>
          <w:rFonts w:ascii="Times New Roman" w:hAnsi="Times New Roman" w:eastAsia="方正仿宋_GBK"/>
          <w:b w:val="0"/>
          <w:sz w:val="24"/>
        </w:rPr>
        <w:t xml:space="preserve">弹性规划文献还包含极端事件下的防御和供电恢复。娄奇鹤等综述极端事件量化、韧性规划及投资评价，关注配电网面对灾害的抵御和恢复能力[78]。本研究关注一般规划上限与正反向容量需求之间的协调，以相同技术条件下的全寿命费用确定容载比及设备组合。其与</w:t>
      </w:r>
      <w:r>
        <w:rPr>
          <w:rFonts w:ascii="Times New Roman" w:hAnsi="Times New Roman" w:eastAsia="方正仿宋_GBK"/>
          <w:b w:val="0"/>
          <w:sz w:val="24"/>
        </w:rPr>
        <w:t xml:space="preserve">“</w:t>
      </w:r>
      <w:r>
        <w:rPr>
          <w:rFonts w:ascii="Times New Roman" w:hAnsi="Times New Roman" w:eastAsia="方正仿宋_GBK"/>
          <w:b w:val="0"/>
          <w:sz w:val="24"/>
        </w:rPr>
        <w:t xml:space="preserve">三级弹性</w:t>
      </w:r>
      <w:r>
        <w:rPr>
          <w:rFonts w:ascii="Times New Roman" w:hAnsi="Times New Roman" w:eastAsia="方正仿宋_GBK"/>
          <w:b w:val="0"/>
          <w:sz w:val="24"/>
        </w:rPr>
        <w:t xml:space="preserve">”</w:t>
      </w:r>
      <w:r>
        <w:rPr>
          <w:rFonts w:ascii="Times New Roman" w:hAnsi="Times New Roman" w:eastAsia="方正仿宋_GBK"/>
          <w:b w:val="0"/>
          <w:sz w:val="24"/>
        </w:rPr>
        <w:t xml:space="preserve">研究的联系在于按运行条件调整容量配置，研究重点为110 kV容量与10 kV联络、储能的经济比选；极端灾害恢复需要另行建立故障及恢复过程模型。</w:t>
      </w:r>
    </w:p>
    <w:p>
      <w:pPr>
        <w:pStyle w:val="5"/>
        <w:keepNext/>
        <w:numPr>
          <w:numId w:val="0"/>
        </w:numPr>
        <w:spacing w:line="360" w:lineRule="auto" w:before="160" w:after="120"/>
        <w:ind w:firstLine="0"/>
      </w:pPr>
      <w:bookmarkStart w:id="59" w:name="政策与标准导向"/>
      <w:r>
        <w:rPr>
          <w:rFonts w:ascii="Times New Roman" w:hAnsi="Times New Roman" w:eastAsia="方正仿宋_GBK"/>
          <w:b/>
          <w:sz w:val="26"/>
        </w:rPr>
        <w:t xml:space="preserve">2.2.9 政策与标准导向</w:t>
      </w:r>
      <w:bookmarkEnd w:id="59"/>
    </w:p>
    <w:p>
      <w:pPr>
        <w:pStyle w:val="FirstParagraph"/>
        <w:widowControl/>
        <w:spacing w:line="300" w:lineRule="auto" w:before="0" w:after="0"/>
        <w:ind w:firstLine="480"/>
        <w:jc w:val="both"/>
      </w:pPr>
      <w:r>
        <w:rPr>
          <w:rFonts w:ascii="Times New Roman" w:hAnsi="Times New Roman" w:eastAsia="方正仿宋_GBK"/>
          <w:b w:val="0"/>
          <w:sz w:val="24"/>
        </w:rPr>
        <w:t xml:space="preserve">DL/T 5729—2023《配电网规划设计技术导则》以负荷发展、供电安全和技术经济分析为基础确定容载比，并要求重视下级网络联络与转供能力[5]。DL/T 2041—2025《分布式电源接入电力系统承载力评估导则》规定系统级及设备级承载力计算、结果校核和可开放容量评估方法[9]。GB/T 45418—2025《配电网通用技术导则》为下级配电网技术分析提供补充依据[17]。《配电网规划设计技术导则（修订稿，2025年4月）》提出分布式电源装机渗透率和电量渗透率指标，用于判断源荷发展水平及反向容量校核需求[7]。</w:t>
      </w:r>
    </w:p>
    <w:p>
      <w:pPr>
        <w:pStyle w:val="2"/>
        <w:widowControl/>
        <w:spacing w:line="300" w:lineRule="auto" w:before="0" w:after="0"/>
        <w:ind w:firstLine="480"/>
        <w:jc w:val="both"/>
      </w:pPr>
      <w:r>
        <w:rPr>
          <w:rFonts w:ascii="Times New Roman" w:hAnsi="Times New Roman" w:eastAsia="方正仿宋_GBK"/>
          <w:b w:val="0"/>
          <w:sz w:val="24"/>
        </w:rPr>
        <w:t xml:space="preserve">政策层面，发改能源〔2024〕187号提出完善配电网承载力评估，适应分布式新能源和多元负荷接入，推进源网荷储协同[6]。发改能源〔2025〕1360号提出分档设置新能源利用率目标，并完善综合评价体系[79]。发改能源规〔2025〕624号将办电服务和配套电网建设衔接，为建设时序提供政策要求[80]。相关政策强调根据地区条件组织规划和投资。</w:t>
      </w:r>
    </w:p>
    <w:p>
      <w:pPr>
        <w:pStyle w:val="2"/>
        <w:widowControl/>
        <w:spacing w:line="300" w:lineRule="auto" w:before="0" w:after="0"/>
        <w:ind w:firstLine="480"/>
        <w:jc w:val="both"/>
      </w:pPr>
      <w:r>
        <w:rPr>
          <w:rFonts w:ascii="Times New Roman" w:hAnsi="Times New Roman" w:eastAsia="方正仿宋_GBK"/>
          <w:b w:val="0"/>
          <w:sz w:val="24"/>
        </w:rPr>
        <w:t xml:space="preserve">《加快构建新型电力系统行动方案（2024—2027年）》及《配电网高质量发展行动实施方案（2024—2027年）》提出配电网规划统筹、承载力提升及灵活资源应用任务[81][82]。《分布式光伏接入电网承载力及提升措施评估试点实施方案》与省级研究分析报告大纲规范了承载力测算和资料组织[83][84]。这些文件为片区源荷分析、容量校核和提升措施比较提供了工作依据。</w:t>
      </w:r>
    </w:p>
    <w:p>
      <w:pPr>
        <w:pStyle w:val="5"/>
        <w:keepNext/>
        <w:numPr>
          <w:numId w:val="0"/>
        </w:numPr>
        <w:spacing w:line="360" w:lineRule="auto" w:before="160" w:after="120"/>
        <w:ind w:firstLine="0"/>
      </w:pPr>
      <w:bookmarkStart w:id="60" w:name="国内研究小结"/>
      <w:r>
        <w:rPr>
          <w:rFonts w:ascii="Times New Roman" w:hAnsi="Times New Roman" w:eastAsia="方正仿宋_GBK"/>
          <w:b/>
          <w:sz w:val="26"/>
        </w:rPr>
        <w:t xml:space="preserve">2.2.10 国内研究小结</w:t>
      </w:r>
      <w:bookmarkEnd w:id="60"/>
    </w:p>
    <w:p>
      <w:pPr>
        <w:pStyle w:val="FirstParagraph"/>
        <w:widowControl/>
        <w:spacing w:line="300" w:lineRule="auto" w:before="0" w:after="0"/>
        <w:ind w:firstLine="480"/>
        <w:jc w:val="both"/>
      </w:pPr>
      <w:r>
        <w:rPr>
          <w:rFonts w:ascii="Times New Roman" w:hAnsi="Times New Roman" w:eastAsia="方正仿宋_GBK"/>
          <w:b w:val="0"/>
          <w:sz w:val="24"/>
        </w:rPr>
        <w:t xml:space="preserve">国内研究已形成多电压等级容量协同与下级网络供电能力分析，以及分层承载力评估和源网储联合规划等方法。工程应用逐步将容量储备与实际负荷分布、网络互济及投资费用联系起来，为按片区条件确定容载比提供了依据。</w:t>
      </w:r>
    </w:p>
    <w:p>
      <w:bookmarkStart w:id="1140" w:name="h140"/>
      <w:pPr>
        <w:pStyle w:val="4"/>
        <w:keepNext/>
        <w:numPr>
          <w:numId w:val="0"/>
        </w:numPr>
        <w:spacing w:line="360" w:lineRule="auto" w:before="160" w:after="120"/>
        <w:ind w:firstLine="0"/>
      </w:pPr>
      <w:bookmarkStart w:id="61" w:name="国内外研究对比与述评"/>
      <w:r>
        <w:rPr>
          <w:rFonts w:ascii="Times New Roman" w:hAnsi="Times New Roman" w:eastAsia="方正仿宋_GBK"/>
          <w:b/>
          <w:sz w:val="32"/>
        </w:rPr>
        <w:t xml:space="preserve">2.3 国内外研究对比与述评</w:t>
      </w:r>
      <w:bookmarkEnd w:id="61"/>
      <w:bookmarkEnd w:id="1140"/>
    </w:p>
    <w:p>
      <w:pPr>
        <w:pStyle w:val="FirstParagraph"/>
        <w:widowControl/>
        <w:spacing w:line="300" w:lineRule="auto" w:before="0" w:after="0"/>
        <w:ind w:firstLine="480"/>
        <w:jc w:val="both"/>
      </w:pPr>
      <w:r>
        <w:rPr>
          <w:rFonts w:ascii="Times New Roman" w:hAnsi="Times New Roman" w:eastAsia="方正仿宋_GBK"/>
          <w:b w:val="0"/>
          <w:sz w:val="24"/>
        </w:rPr>
        <w:t xml:space="preserve">国外研究侧重源荷不确定性、动态控制及灵活资源与网络扩建的经济比较；国内研究围绕容载比、供电能力、分层承载力和区域投资组织方法展开。两类研究都强调设备、网络和运行场景共同决定规划方案，费用比较需要统一评价期与费用科目。</w:t>
      </w:r>
    </w:p>
    <w:p>
      <w:pPr>
        <w:pStyle w:val="2"/>
        <w:widowControl/>
        <w:spacing w:line="300" w:lineRule="auto" w:before="0" w:after="0"/>
        <w:ind w:firstLine="480"/>
        <w:jc w:val="both"/>
      </w:pPr>
      <w:r>
        <w:rPr>
          <w:rFonts w:ascii="Times New Roman" w:hAnsi="Times New Roman" w:eastAsia="方正仿宋_GBK"/>
          <w:b w:val="0"/>
          <w:sz w:val="24"/>
        </w:rPr>
        <w:t xml:space="preserve">国内外研究主题与本项目的工程关注点见表2-1。</w:t>
      </w:r>
    </w:p>
    <w:p>
      <w:pPr>
        <w:pStyle w:val="2"/>
        <w:keepNext/>
        <w:spacing w:line="300" w:lineRule="auto" w:before="120" w:after="80"/>
        <w:ind w:firstLine="0"/>
        <w:jc w:val="center"/>
      </w:pPr>
      <w:r>
        <w:rPr>
          <w:rFonts w:ascii="Times New Roman" w:hAnsi="Times New Roman" w:eastAsia="宋体"/>
          <w:b w:val="0"/>
          <w:sz w:val="21"/>
        </w:rPr>
        <w:t xml:space="preserve">表2-1 国内外研究主题与工程应用关注点</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研究主题</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本章对应小节</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工程关注点</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本课题研究内容</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承载力评价</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2.1.1、2.2.2</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接入容量、网络条件与评价边界</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结合110 kV容量配置开展规划比选</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运行特征</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2.1.2、2.2.3</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净负荷、反向潮流与电压问题</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区分区域正向净峰与站级反向峰</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灵活资源与网架</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2.1.3、2.2.4</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储能、网络增强及协同配置</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比较主变、储能及已具备资料的局部互济</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费用与决策</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2.1.4、2.2.5及2.2.6</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投资、更新、运维与差异化投资</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以统一评价期费用比较完整规划路径</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区域案例</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2.2.7、2.3</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研究尺度与案例应用</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分析邳州20站及市区29站的配置差异</w:t>
            </w:r>
          </w:p>
        </w:tc>
      </w:tr>
    </w:tbl>
    <w:p>
      <w:pPr>
        <w:pStyle w:val="2"/>
        <w:widowControl/>
        <w:spacing w:line="300" w:lineRule="auto" w:before="0" w:after="0"/>
        <w:ind w:firstLine="480"/>
        <w:jc w:val="both"/>
      </w:pPr>
      <w:r>
        <w:rPr>
          <w:rFonts w:ascii="Times New Roman" w:hAnsi="Times New Roman" w:eastAsia="方正仿宋_GBK"/>
          <w:b w:val="0"/>
          <w:sz w:val="24"/>
        </w:rPr>
        <w:t xml:space="preserve">在110 kV区域规划中，容载比选取需要同时联系正向供电、局部反向压力和下级网络支撑。已有研究提供了指标定义、场景处理和协同配置方法；结合徐州设备台账、站级时序和工程价格，可进一步形成适合本地条件的年度配置与投资建议。</w:t>
      </w:r>
    </w:p>
    <w:p>
      <w:pPr>
        <w:pStyle w:val="5"/>
        <w:keepNext/>
        <w:numPr>
          <w:numId w:val="0"/>
        </w:numPr>
        <w:spacing w:line="360" w:lineRule="auto" w:before="160" w:after="120"/>
        <w:ind w:firstLine="0"/>
      </w:pPr>
      <w:bookmarkStart w:id="62" w:name="承载力评估与容量规划的侧重点"/>
      <w:r>
        <w:rPr>
          <w:rFonts w:ascii="Times New Roman" w:hAnsi="Times New Roman" w:eastAsia="方正仿宋_GBK"/>
          <w:b/>
          <w:sz w:val="26"/>
        </w:rPr>
        <w:t xml:space="preserve">2.3.1 承载力评估与容量规划的侧重点</w:t>
      </w:r>
      <w:bookmarkEnd w:id="62"/>
    </w:p>
    <w:p>
      <w:pPr>
        <w:pStyle w:val="FirstParagraph"/>
        <w:widowControl/>
        <w:spacing w:line="300" w:lineRule="auto" w:before="0" w:after="0"/>
        <w:ind w:firstLine="480"/>
        <w:jc w:val="both"/>
      </w:pPr>
      <w:r>
        <w:rPr>
          <w:rFonts w:ascii="Times New Roman" w:hAnsi="Times New Roman" w:eastAsia="方正仿宋_GBK"/>
          <w:b w:val="0"/>
          <w:sz w:val="24"/>
        </w:rPr>
        <w:t xml:space="preserve">国外文献较多从光伏接入上限出发，采用概率、鲁棒优化或主动控制判断电压和设备约束；国内文献同时积累了容载比、最大供电能力、供电区域分类和工程造价研究。两类研究在数据和约束层面可以衔接：分布式电源发展决定站级正反向净负荷，变电容量与下级网络决定可供负荷，储能及联络措施在技术可行范围内影响费用。</w:t>
      </w:r>
    </w:p>
    <w:p>
      <w:pPr>
        <w:pStyle w:val="2"/>
        <w:widowControl/>
        <w:spacing w:line="300" w:lineRule="auto" w:before="0" w:after="0"/>
        <w:ind w:firstLine="480"/>
        <w:jc w:val="both"/>
      </w:pPr>
      <w:r>
        <w:rPr>
          <w:rFonts w:ascii="Times New Roman" w:hAnsi="Times New Roman" w:eastAsia="方正仿宋_GBK"/>
          <w:b w:val="0"/>
          <w:sz w:val="24"/>
        </w:rPr>
        <w:t xml:space="preserve">“</w:t>
      </w:r>
      <w:r>
        <w:rPr>
          <w:rFonts w:ascii="Times New Roman" w:hAnsi="Times New Roman" w:eastAsia="方正仿宋_GBK"/>
          <w:b w:val="0"/>
          <w:sz w:val="24"/>
        </w:rPr>
        <w:t xml:space="preserve">承载力提高</w:t>
      </w:r>
      <w:r>
        <w:rPr>
          <w:rFonts w:ascii="Times New Roman" w:hAnsi="Times New Roman" w:eastAsia="方正仿宋_GBK"/>
          <w:b w:val="0"/>
          <w:sz w:val="24"/>
        </w:rPr>
        <w:t xml:space="preserve">”</w:t>
      </w:r>
      <w:r>
        <w:rPr>
          <w:rFonts w:ascii="Times New Roman" w:hAnsi="Times New Roman" w:eastAsia="方正仿宋_GBK"/>
          <w:b w:val="0"/>
          <w:sz w:val="24"/>
        </w:rPr>
        <w:t xml:space="preserve">与</w:t>
      </w:r>
      <w:r>
        <w:rPr>
          <w:rFonts w:ascii="Times New Roman" w:hAnsi="Times New Roman" w:eastAsia="方正仿宋_GBK"/>
          <w:b w:val="0"/>
          <w:sz w:val="24"/>
        </w:rPr>
        <w:t xml:space="preserve">“</w:t>
      </w:r>
      <w:r>
        <w:rPr>
          <w:rFonts w:ascii="Times New Roman" w:hAnsi="Times New Roman" w:eastAsia="方正仿宋_GBK"/>
          <w:b w:val="0"/>
          <w:sz w:val="24"/>
        </w:rPr>
        <w:t xml:space="preserve">容载比提高</w:t>
      </w:r>
      <w:r>
        <w:rPr>
          <w:rFonts w:ascii="Times New Roman" w:hAnsi="Times New Roman" w:eastAsia="方正仿宋_GBK"/>
          <w:b w:val="0"/>
          <w:sz w:val="24"/>
        </w:rPr>
        <w:t xml:space="preserve">”</w:t>
      </w:r>
      <w:r>
        <w:rPr>
          <w:rFonts w:ascii="Times New Roman" w:hAnsi="Times New Roman" w:eastAsia="方正仿宋_GBK"/>
          <w:b w:val="0"/>
          <w:sz w:val="24"/>
        </w:rPr>
        <w:t xml:space="preserve">描述不同结果。承载力提高表现为在相应网络和运行条件下可接纳更多电源；容载比提高表现为主变容量相对年网供最大负荷增加。配电网优化可能通过增强转供降低所需容量，也可能通过增加主变容量减少持续峰段储能。取值方向由约束和费用共同决定。</w:t>
      </w:r>
    </w:p>
    <w:p>
      <w:pPr>
        <w:pStyle w:val="5"/>
        <w:keepNext/>
        <w:numPr>
          <w:numId w:val="0"/>
        </w:numPr>
        <w:spacing w:line="360" w:lineRule="auto" w:before="160" w:after="120"/>
        <w:ind w:firstLine="0"/>
      </w:pPr>
      <w:bookmarkStart w:id="63" w:name="储能与网架建设的经济比较"/>
      <w:r>
        <w:rPr>
          <w:rFonts w:ascii="Times New Roman" w:hAnsi="Times New Roman" w:eastAsia="方正仿宋_GBK"/>
          <w:b/>
          <w:sz w:val="26"/>
        </w:rPr>
        <w:t xml:space="preserve">2.3.2 储能与网架建设的经济比较</w:t>
      </w:r>
      <w:bookmarkEnd w:id="63"/>
    </w:p>
    <w:p>
      <w:pPr>
        <w:pStyle w:val="FirstParagraph"/>
        <w:widowControl/>
        <w:spacing w:line="300" w:lineRule="auto" w:before="0" w:after="0"/>
        <w:ind w:firstLine="480"/>
        <w:jc w:val="both"/>
      </w:pPr>
      <w:r>
        <w:rPr>
          <w:rFonts w:ascii="Times New Roman" w:hAnsi="Times New Roman" w:eastAsia="方正仿宋_GBK"/>
          <w:b w:val="0"/>
          <w:sz w:val="24"/>
        </w:rPr>
        <w:t xml:space="preserve">储能与扩网研究表明，经济比较需要同时考虑支撑时长、寿命更新和负荷增长。短时且低频的容量缺口可由较少储能能量覆盖；连续时间较长或增长较快的负荷可能需要长期在役容量。实际线路既有余量和相邻站剩余容量也会改变替代关系。</w:t>
      </w:r>
    </w:p>
    <w:p>
      <w:pPr>
        <w:pStyle w:val="2"/>
        <w:widowControl/>
        <w:spacing w:line="300" w:lineRule="auto" w:before="0" w:after="0"/>
        <w:ind w:firstLine="480"/>
        <w:jc w:val="both"/>
      </w:pPr>
      <w:r>
        <w:rPr>
          <w:rFonts w:ascii="Times New Roman" w:hAnsi="Times New Roman" w:eastAsia="方正仿宋_GBK"/>
          <w:b w:val="0"/>
          <w:sz w:val="24"/>
        </w:rPr>
        <w:t xml:space="preserve">本项目将这些关系用于三类措施的共同寻优。主变和储能按购置规模计算投资，联络按可转负荷预算及独立工程计价；既有能力调整负荷归属时新增建设投资为零。不同措施使用同一评价期，并同步校核主变退出后的供电需求，费用结果因而能够对应明确的设备配置。</w:t>
      </w:r>
    </w:p>
    <w:p>
      <w:pPr>
        <w:pStyle w:val="5"/>
        <w:keepNext/>
        <w:numPr>
          <w:numId w:val="0"/>
        </w:numPr>
        <w:spacing w:line="360" w:lineRule="auto" w:before="160" w:after="120"/>
        <w:ind w:firstLine="0"/>
      </w:pPr>
      <w:bookmarkStart w:id="64" w:name="区域案例与参数推荐表的联系"/>
      <w:r>
        <w:rPr>
          <w:rFonts w:ascii="Times New Roman" w:hAnsi="Times New Roman" w:eastAsia="方正仿宋_GBK"/>
          <w:b/>
          <w:sz w:val="26"/>
        </w:rPr>
        <w:t xml:space="preserve">2.3.3 区域案例与参数推荐表的联系</w:t>
      </w:r>
      <w:bookmarkEnd w:id="64"/>
    </w:p>
    <w:p>
      <w:pPr>
        <w:pStyle w:val="FirstParagraph"/>
        <w:widowControl/>
        <w:spacing w:line="300" w:lineRule="auto" w:before="0" w:after="0"/>
        <w:ind w:firstLine="480"/>
        <w:jc w:val="both"/>
      </w:pPr>
      <w:r>
        <w:rPr>
          <w:rFonts w:ascii="Times New Roman" w:hAnsi="Times New Roman" w:eastAsia="方正仿宋_GBK"/>
          <w:b w:val="0"/>
          <w:sz w:val="24"/>
        </w:rPr>
        <w:t xml:space="preserve">王凯亮等的差异化取值表、刘文霞等的容载比色带以及谢天祥等的三级弹性案例，都通过区域条件解释容量配置差异[44][45][73]。本项目从邳州与市区案例出发，将地区名称和规模转换为五站仿真模板结构，保留装机渗透率、负荷增长、持续时间及相对工程费用作为可比较参数。</w:t>
      </w:r>
    </w:p>
    <w:p>
      <w:pPr>
        <w:pStyle w:val="2"/>
        <w:widowControl/>
        <w:spacing w:line="300" w:lineRule="auto" w:before="0" w:after="0"/>
        <w:ind w:firstLine="480"/>
        <w:jc w:val="both"/>
      </w:pPr>
      <w:r>
        <w:rPr>
          <w:rFonts w:ascii="Times New Roman" w:hAnsi="Times New Roman" w:eastAsia="方正仿宋_GBK"/>
          <w:b w:val="0"/>
          <w:sz w:val="24"/>
        </w:rPr>
        <w:t xml:space="preserve">推荐矩阵按上述参数分档归纳容载比上限参考档，并保留同档占比和计算范围；逐站方案说明容量取值与建设措施的联系。片区源荷条件或费用发生变化时，可以先调整对应参数档，再通过实际设备和网络条件重新确定主变、储能与联络组合。</w:t>
      </w:r>
    </w:p>
    <w:p>
      <w:bookmarkStart w:id="1154" w:name="h154"/>
      <w:pPr>
        <w:pStyle w:val="4"/>
        <w:keepNext/>
        <w:numPr>
          <w:numId w:val="0"/>
        </w:numPr>
        <w:spacing w:line="360" w:lineRule="auto" w:before="160" w:after="120"/>
        <w:ind w:firstLine="0"/>
      </w:pPr>
      <w:bookmarkStart w:id="65" w:name="容载比与供电能力的理论联系"/>
      <w:r>
        <w:rPr>
          <w:rFonts w:ascii="Times New Roman" w:hAnsi="Times New Roman" w:eastAsia="方正仿宋_GBK"/>
          <w:b/>
          <w:sz w:val="32"/>
        </w:rPr>
        <w:t xml:space="preserve">2.4 容载比与供电能力的理论联系</w:t>
      </w:r>
      <w:bookmarkEnd w:id="65"/>
      <w:bookmarkEnd w:id="1154"/>
    </w:p>
    <w:p>
      <w:pPr>
        <w:pStyle w:val="5"/>
        <w:keepNext/>
        <w:numPr>
          <w:numId w:val="0"/>
        </w:numPr>
        <w:spacing w:line="360" w:lineRule="auto" w:before="160" w:after="120"/>
        <w:ind w:firstLine="0"/>
      </w:pPr>
      <w:bookmarkStart w:id="66" w:name="区域容量储备与局部容量分布"/>
      <w:r>
        <w:rPr>
          <w:rFonts w:ascii="Times New Roman" w:hAnsi="Times New Roman" w:eastAsia="方正仿宋_GBK"/>
          <w:b/>
          <w:sz w:val="26"/>
        </w:rPr>
        <w:t xml:space="preserve">2.4.1 区域容量储备与局部容量分布</w:t>
      </w:r>
      <w:bookmarkEnd w:id="66"/>
    </w:p>
    <w:p>
      <w:pPr>
        <w:pStyle w:val="FirstParagraph"/>
        <w:widowControl/>
        <w:spacing w:line="300" w:lineRule="auto" w:before="0" w:after="0"/>
        <w:ind w:firstLine="480"/>
        <w:jc w:val="both"/>
      </w:pPr>
      <w:r>
        <w:rPr>
          <w:rFonts w:ascii="Times New Roman" w:hAnsi="Times New Roman" w:eastAsia="方正仿宋_GBK"/>
          <w:b w:val="0"/>
          <w:sz w:val="24"/>
        </w:rPr>
        <w:t xml:space="preserve">容载比用区域主变容量和年度网供峰值构造，适于观察容量总量与发展储备。主变供电能力则取决于具体站点和接线方式，在设备退出时还需考虑剩余主变、可转负荷与相邻站剩余容量[5][8]。区域内即使有较多空余容量，若下级网络不能把重载站的负荷转接出去，仍可能需要局部增容。容载比相同的两个地区，其局部供电能力和工程需求仍受站级结构影响。</w:t>
      </w:r>
    </w:p>
    <w:p>
      <w:pPr>
        <w:pStyle w:val="2"/>
        <w:widowControl/>
        <w:spacing w:line="300" w:lineRule="auto" w:before="0" w:after="0"/>
        <w:ind w:firstLine="480"/>
        <w:jc w:val="both"/>
      </w:pPr>
      <w:r>
        <w:rPr>
          <w:rFonts w:ascii="Times New Roman" w:hAnsi="Times New Roman" w:eastAsia="方正仿宋_GBK"/>
          <w:b w:val="0"/>
          <w:sz w:val="24"/>
        </w:rPr>
        <w:t xml:space="preserve">在多主变站中，容量总和不能直接替代主变N-1后的剩余容量。两台容量相同的主变退出其中一台，站内剩余容量为原总容量的一半；三台同规格主变退出一台，剩余比例为三分之二。扩建主变可以同时改变总容量和退出后的剩余容量，其作用需要结合主变规格和供电需求分析。本研究将主变扩建作为独立建设变量，根据预留位置确定扩建条件，并计入相应工程费用。</w:t>
      </w:r>
    </w:p>
    <w:p>
      <w:pPr>
        <w:pStyle w:val="2"/>
        <w:widowControl/>
        <w:spacing w:line="300" w:lineRule="auto" w:before="0" w:after="0"/>
        <w:ind w:firstLine="480"/>
        <w:jc w:val="both"/>
      </w:pPr>
      <w:r>
        <w:rPr>
          <w:rFonts w:ascii="Times New Roman" w:hAnsi="Times New Roman" w:eastAsia="方正仿宋_GBK"/>
          <w:b w:val="0"/>
          <w:sz w:val="24"/>
        </w:rPr>
        <w:t xml:space="preserve">区域容量配置还受主变规格的离散性影响。某站需要增加的有效供电能力可能小于一个推荐规格的容量增量，采购整台设备后出现一定容量储备。随着负荷增加，储备被逐步使用，年度容载比下降。若直接求解连续容量再按最邻近规格取整，取整后的供电安全或费用最优性可能不成立。本项目将可选规格直接纳入整数模型，年度指标从实际规格合计得到。</w:t>
      </w:r>
    </w:p>
    <w:p>
      <w:pPr>
        <w:pStyle w:val="5"/>
        <w:keepNext/>
        <w:numPr>
          <w:numId w:val="0"/>
        </w:numPr>
        <w:spacing w:line="360" w:lineRule="auto" w:before="160" w:after="120"/>
        <w:ind w:firstLine="0"/>
      </w:pPr>
      <w:bookmarkStart w:id="67" w:name="中压联络对容量配置的作用"/>
      <w:r>
        <w:rPr>
          <w:rFonts w:ascii="Times New Roman" w:hAnsi="Times New Roman" w:eastAsia="方正仿宋_GBK"/>
          <w:b/>
          <w:sz w:val="26"/>
        </w:rPr>
        <w:t xml:space="preserve">2.4.2 中压联络对容量配置的作用</w:t>
      </w:r>
      <w:bookmarkEnd w:id="67"/>
    </w:p>
    <w:p>
      <w:pPr>
        <w:pStyle w:val="FirstParagraph"/>
        <w:widowControl/>
        <w:spacing w:line="300" w:lineRule="auto" w:before="0" w:after="0"/>
        <w:ind w:firstLine="480"/>
        <w:jc w:val="both"/>
      </w:pPr>
      <w:r>
        <w:rPr>
          <w:rFonts w:ascii="Times New Roman" w:hAnsi="Times New Roman" w:eastAsia="方正仿宋_GBK"/>
          <w:b w:val="0"/>
          <w:sz w:val="24"/>
        </w:rPr>
        <w:t xml:space="preserve">肖峻等研究指出，变电容载比与下一级中压网络供电能力之间存在量化联系，联络位置和负荷分布影响转带能力[8]。工程上需要分别核实负荷是否可分段、通道是否可用、受端主变是否有余量。可转负荷由通道条件与两端容量共同确定。</w:t>
      </w:r>
    </w:p>
    <w:p>
      <w:pPr>
        <w:pStyle w:val="2"/>
        <w:widowControl/>
        <w:spacing w:line="300" w:lineRule="auto" w:before="0" w:after="0"/>
        <w:ind w:firstLine="480"/>
        <w:jc w:val="both"/>
      </w:pPr>
      <w:r>
        <w:rPr>
          <w:rFonts w:ascii="Times New Roman" w:hAnsi="Times New Roman" w:eastAsia="方正仿宋_GBK"/>
          <w:b w:val="0"/>
          <w:sz w:val="24"/>
        </w:rPr>
        <w:t xml:space="preserve">正常负荷转接改变站级供电任务，可以使部分站原有储备承担邻站负荷，减少局部新增容量或储能。对区县整体而言，用户需求保持不变，送出和接收应成对计量。忽略线路损耗时，区域负荷总量守恒；联络容量也不属于主变铭牌容量。本研究在模型中保留两端约束，使联络收益表现为设备配置变化，而非容载比分母的人为下降。</w:t>
      </w:r>
    </w:p>
    <w:p>
      <w:pPr>
        <w:pStyle w:val="2"/>
        <w:widowControl/>
        <w:spacing w:line="300" w:lineRule="auto" w:before="0" w:after="0"/>
        <w:ind w:firstLine="480"/>
        <w:jc w:val="both"/>
      </w:pPr>
      <w:r>
        <w:rPr>
          <w:rFonts w:ascii="Times New Roman" w:hAnsi="Times New Roman" w:eastAsia="方正仿宋_GBK"/>
          <w:b w:val="0"/>
          <w:sz w:val="24"/>
        </w:rPr>
        <w:t xml:space="preserve">故障转供需要对应故障状态、恢复要求和操作条件。DL/T 5729—2023对供电区域类别及恢复供电提出不同要求，站间转移比例处于相关故障或检修语境[5]。本报告采用市区50%、邳州28.29%的初始能力参数，用于区县内部负荷配置。负荷经正常转接后，主变N-1容量按调整后的站级任务校核，校核中采用相应剩余主变容量和储能支撑能力。</w:t>
      </w:r>
    </w:p>
    <w:p>
      <w:pPr>
        <w:pStyle w:val="2"/>
        <w:widowControl/>
        <w:spacing w:line="300" w:lineRule="auto" w:before="0" w:after="0"/>
        <w:ind w:firstLine="480"/>
        <w:jc w:val="both"/>
      </w:pPr>
      <w:r>
        <w:rPr>
          <w:rFonts w:ascii="Times New Roman" w:hAnsi="Times New Roman" w:eastAsia="方正仿宋_GBK"/>
          <w:b w:val="0"/>
          <w:sz w:val="24"/>
        </w:rPr>
        <w:t xml:space="preserve">本研究分别建立既有与新增转供能力预算。既有能力按初始转供率计取，新建联络按项目提高能力；送端可转负荷、受端容量及反向压力共同限制其使用量。工程费用决定能力不足时采用新建联络、增容或储能的组合。</w:t>
      </w:r>
    </w:p>
    <w:p>
      <w:pPr>
        <w:pStyle w:val="5"/>
        <w:keepNext/>
        <w:numPr>
          <w:numId w:val="0"/>
        </w:numPr>
        <w:spacing w:line="360" w:lineRule="auto" w:before="160" w:after="120"/>
        <w:ind w:firstLine="0"/>
      </w:pPr>
      <w:bookmarkStart w:id="68" w:name="负荷发展储备的时间特征"/>
      <w:r>
        <w:rPr>
          <w:rFonts w:ascii="Times New Roman" w:hAnsi="Times New Roman" w:eastAsia="方正仿宋_GBK"/>
          <w:b/>
          <w:sz w:val="26"/>
        </w:rPr>
        <w:t xml:space="preserve">2.4.3 负荷发展储备的时间特征</w:t>
      </w:r>
      <w:bookmarkEnd w:id="68"/>
    </w:p>
    <w:p>
      <w:pPr>
        <w:pStyle w:val="FirstParagraph"/>
        <w:widowControl/>
        <w:spacing w:line="300" w:lineRule="auto" w:before="0" w:after="0"/>
        <w:ind w:firstLine="480"/>
        <w:jc w:val="both"/>
      </w:pPr>
      <w:r>
        <w:rPr>
          <w:rFonts w:ascii="Times New Roman" w:hAnsi="Times New Roman" w:eastAsia="方正仿宋_GBK"/>
          <w:b w:val="0"/>
          <w:sz w:val="24"/>
        </w:rPr>
        <w:t xml:space="preserve">负荷发展储备与规划年份直接相关。建设一台主变通常不能按年度自由缩减，负荷则可能在不同年份上升或下降。年度规划路径因此需要处理资产持续在役和负荷波动的共同影响。用一个规划末年容量倒推全部年度，会遗漏提前建设费用与中间年份的容量约束。</w:t>
      </w:r>
    </w:p>
    <w:p>
      <w:pPr>
        <w:pStyle w:val="2"/>
        <w:widowControl/>
        <w:spacing w:line="300" w:lineRule="auto" w:before="0" w:after="0"/>
        <w:ind w:firstLine="480"/>
        <w:jc w:val="both"/>
      </w:pPr>
      <w:r>
        <w:rPr>
          <w:rFonts w:ascii="Times New Roman" w:hAnsi="Times New Roman" w:eastAsia="方正仿宋_GBK"/>
          <w:b w:val="0"/>
          <w:sz w:val="24"/>
        </w:rPr>
        <w:t xml:space="preserve">DL/T 5729—2023按年负荷平均增长水平给出容载比建议档位[5]。对本项目四个同比增长率采用近年权重较高的平均值，可以减弱单一年度作为判断依据的影响，规划预测结合统计范围、气象条件、新增用户、产业计划及负荷兑现情况确定。本研究将年负荷平均增长率用于容载比2.00起点后的四年需求推演，历史年度数据用于现状分析。</w:t>
      </w:r>
    </w:p>
    <w:p>
      <w:pPr>
        <w:pStyle w:val="2"/>
        <w:widowControl/>
        <w:spacing w:line="300" w:lineRule="auto" w:before="0" w:after="0"/>
        <w:ind w:firstLine="480"/>
        <w:jc w:val="both"/>
      </w:pPr>
      <w:r>
        <w:rPr>
          <w:rFonts w:ascii="Times New Roman" w:hAnsi="Times New Roman" w:eastAsia="方正仿宋_GBK"/>
          <w:b w:val="0"/>
          <w:sz w:val="24"/>
        </w:rPr>
        <w:t xml:space="preserve">增长参数影响供电需求，同时影响容载比分母。在资产非减条件下，较低增长可能使已配置容量对应的容载比较高；较高增长可能触发新的主变或储能建设。离散措施使变化呈台阶形态，推荐矩阵按分档情景归纳容量变化。</w:t>
      </w:r>
    </w:p>
    <w:p>
      <w:bookmarkStart w:id="1168" w:name="h168"/>
      <w:pPr>
        <w:pStyle w:val="4"/>
        <w:keepNext/>
        <w:numPr>
          <w:numId w:val="0"/>
        </w:numPr>
        <w:spacing w:line="360" w:lineRule="auto" w:before="160" w:after="120"/>
        <w:ind w:firstLine="0"/>
      </w:pPr>
      <w:bookmarkStart w:id="69" w:name="高渗透率下的源荷特征与容量压力"/>
      <w:r>
        <w:rPr>
          <w:rFonts w:ascii="Times New Roman" w:hAnsi="Times New Roman" w:eastAsia="方正仿宋_GBK"/>
          <w:b/>
          <w:sz w:val="32"/>
        </w:rPr>
        <w:t xml:space="preserve">2.5 高渗透率下的源荷特征与容量压力</w:t>
      </w:r>
      <w:bookmarkEnd w:id="69"/>
      <w:bookmarkEnd w:id="1168"/>
    </w:p>
    <w:p>
      <w:pPr>
        <w:pStyle w:val="5"/>
        <w:keepNext/>
        <w:numPr>
          <w:numId w:val="0"/>
        </w:numPr>
        <w:spacing w:line="360" w:lineRule="auto" w:before="160" w:after="120"/>
        <w:ind w:firstLine="0"/>
      </w:pPr>
      <w:bookmarkStart w:id="70" w:name="用户负荷网供负荷与净负荷"/>
      <w:r>
        <w:rPr>
          <w:rFonts w:ascii="Times New Roman" w:hAnsi="Times New Roman" w:eastAsia="方正仿宋_GBK"/>
          <w:b/>
          <w:sz w:val="26"/>
        </w:rPr>
        <w:t xml:space="preserve">2.5.1 用户负荷、网供负荷与净负荷</w:t>
      </w:r>
      <w:bookmarkEnd w:id="70"/>
    </w:p>
    <w:p>
      <w:pPr>
        <w:pStyle w:val="FirstParagraph"/>
        <w:widowControl/>
        <w:spacing w:line="300" w:lineRule="auto" w:before="0" w:after="0"/>
        <w:ind w:firstLine="480"/>
        <w:jc w:val="both"/>
      </w:pPr>
      <w:r>
        <w:rPr>
          <w:rFonts w:ascii="Times New Roman" w:hAnsi="Times New Roman" w:eastAsia="方正仿宋_GBK"/>
          <w:b w:val="0"/>
          <w:sz w:val="24"/>
        </w:rPr>
        <w:t xml:space="preserve">用户负荷表达用户实际用电需求，网供负荷表达电网向用户供电的剩余任务。分布式电源参与本地供电后，二者需要通过同一范围的发电和交换功率对应。在忽略损耗的简化关系中，净负荷为用户用电功率减去本地发电功率。正值表示受电，负值表示反送。源荷平衡按同一时段和统计范围建立。</w:t>
      </w:r>
    </w:p>
    <w:p>
      <w:pPr>
        <w:pStyle w:val="2"/>
        <w:widowControl/>
        <w:spacing w:line="300" w:lineRule="auto" w:before="0" w:after="0"/>
        <w:ind w:firstLine="480"/>
        <w:jc w:val="both"/>
      </w:pPr>
      <w:r>
        <w:rPr>
          <w:rFonts w:ascii="Times New Roman" w:hAnsi="Times New Roman" w:eastAsia="方正仿宋_GBK"/>
          <w:b w:val="0"/>
          <w:sz w:val="24"/>
        </w:rPr>
        <w:t xml:space="preserve">分布式电源装机渗透率的分母是用户最大用电负荷，容载比的分母是年网供最大负荷；前者用于表达装机与用电规模，后者用于表达主变容量与区域供电峰值[5][7]。光伏增长时，两种分母可能发生不同变化。如果把降压负荷直接作为用户最大负荷，日间光伏供电作用可能被重复计入分布式电源装机渗透率，导致不同地区比较失真。</w:t>
      </w:r>
    </w:p>
    <w:p>
      <w:pPr>
        <w:pStyle w:val="2"/>
        <w:widowControl/>
        <w:spacing w:line="300" w:lineRule="auto" w:before="0" w:after="0"/>
        <w:ind w:firstLine="480"/>
        <w:jc w:val="both"/>
      </w:pPr>
      <w:r>
        <w:rPr>
          <w:rFonts w:ascii="Times New Roman" w:hAnsi="Times New Roman" w:eastAsia="方正仿宋_GBK"/>
          <w:b w:val="0"/>
          <w:sz w:val="24"/>
        </w:rPr>
        <w:t xml:space="preserve">分布式电源电量渗透率按分布式电源发电量与用户年用电量构造，具有全年积分含义。净交换年电量按受电与反送的代数积分计算。重建用户用电量时，应将本地发电量加回同范围净交换电量，并核对其他电源、跨层级交换和损耗。第三章明确本项目估计式及其限制。</w:t>
      </w:r>
    </w:p>
    <w:p>
      <w:pPr>
        <w:pStyle w:val="5"/>
        <w:keepNext/>
        <w:numPr>
          <w:numId w:val="0"/>
        </w:numPr>
        <w:spacing w:line="360" w:lineRule="auto" w:before="160" w:after="120"/>
        <w:ind w:firstLine="0"/>
      </w:pPr>
      <w:bookmarkStart w:id="71" w:name="正反向极值的设备含义"/>
      <w:r>
        <w:rPr>
          <w:rFonts w:ascii="Times New Roman" w:hAnsi="Times New Roman" w:eastAsia="方正仿宋_GBK"/>
          <w:b/>
          <w:sz w:val="26"/>
        </w:rPr>
        <w:t xml:space="preserve">2.5.2 正反向极值的设备含义</w:t>
      </w:r>
      <w:bookmarkEnd w:id="71"/>
    </w:p>
    <w:p>
      <w:pPr>
        <w:pStyle w:val="FirstParagraph"/>
        <w:widowControl/>
        <w:spacing w:line="300" w:lineRule="auto" w:before="0" w:after="0"/>
        <w:ind w:firstLine="480"/>
        <w:jc w:val="both"/>
      </w:pPr>
      <w:r>
        <w:rPr>
          <w:rFonts w:ascii="Times New Roman" w:hAnsi="Times New Roman" w:eastAsia="方正仿宋_GBK"/>
          <w:b w:val="0"/>
          <w:sz w:val="24"/>
        </w:rPr>
        <w:t xml:space="preserve">从额定容量和电流热效应角度，正反向同幅值功率均会占用主变容量。容量压力比较可以取净负荷峰值绝对值，但电流仍取决于无功功率和电压。本研究使用0.95功率因数进行有功与视在容量折算，该值作为统一筛查假定；实际设备负载率应以同一时刻视在功率或电流资料核定[4][5]。</w:t>
      </w:r>
    </w:p>
    <w:p>
      <w:pPr>
        <w:pStyle w:val="2"/>
        <w:widowControl/>
        <w:spacing w:line="300" w:lineRule="auto" w:before="0" w:after="0"/>
        <w:ind w:firstLine="480"/>
        <w:jc w:val="both"/>
      </w:pPr>
      <w:r>
        <w:rPr>
          <w:rFonts w:ascii="Times New Roman" w:hAnsi="Times New Roman" w:eastAsia="方正仿宋_GBK"/>
          <w:b w:val="0"/>
          <w:sz w:val="24"/>
        </w:rPr>
        <w:t xml:space="preserve">正向与反向场景的网络和保护条件可能不同。正向供电安全涉及用户恢复供电，反向接入还涉及上级网络、电压和保护配合。把两个方向压缩为绝对峰值后，仍需分别保存方向及对应场景。正反向净负荷分别对应相应技术约束。</w:t>
      </w:r>
    </w:p>
    <w:p>
      <w:pPr>
        <w:pStyle w:val="2"/>
        <w:widowControl/>
        <w:spacing w:line="300" w:lineRule="auto" w:before="0" w:after="0"/>
        <w:ind w:firstLine="480"/>
        <w:jc w:val="both"/>
      </w:pPr>
      <w:r>
        <w:rPr>
          <w:rFonts w:ascii="Times New Roman" w:hAnsi="Times New Roman" w:eastAsia="方正仿宋_GBK"/>
          <w:b w:val="0"/>
          <w:sz w:val="24"/>
        </w:rPr>
        <w:t xml:space="preserve">站级各自最大反送功率相加，一般不等于区域同步反送峰值。若不同时刻的站峰相加，结果只能作为上侧压力指标；形成区域峰值时，应先在同一时间轴上逐时汇总，再取极值。本项目站级技术约束和区县容载比分母分开设置，避免将各站独立最大值之和写作区域年最大负荷。</w:t>
      </w:r>
    </w:p>
    <w:p>
      <w:pPr>
        <w:pStyle w:val="5"/>
        <w:keepNext/>
        <w:numPr>
          <w:numId w:val="0"/>
        </w:numPr>
        <w:spacing w:line="360" w:lineRule="auto" w:before="160" w:after="120"/>
        <w:ind w:firstLine="0"/>
      </w:pPr>
      <w:bookmarkStart w:id="72" w:name="峰值持续时间与尖峰能量"/>
      <w:r>
        <w:rPr>
          <w:rFonts w:ascii="Times New Roman" w:hAnsi="Times New Roman" w:eastAsia="方正仿宋_GBK"/>
          <w:b/>
          <w:sz w:val="26"/>
        </w:rPr>
        <w:t xml:space="preserve">2.5.3 峰值持续时间与尖峰能量</w:t>
      </w:r>
      <w:bookmarkEnd w:id="72"/>
    </w:p>
    <w:p>
      <w:pPr>
        <w:pStyle w:val="FirstParagraph"/>
        <w:widowControl/>
        <w:spacing w:line="300" w:lineRule="auto" w:before="0" w:after="0"/>
        <w:ind w:firstLine="480"/>
        <w:jc w:val="both"/>
      </w:pPr>
      <w:r>
        <w:rPr>
          <w:rFonts w:ascii="Times New Roman" w:hAnsi="Times New Roman" w:eastAsia="方正仿宋_GBK"/>
          <w:b w:val="0"/>
          <w:sz w:val="24"/>
        </w:rPr>
        <w:t xml:space="preserve">95%峰值持续时间在本项目中指功率达到相应方向峰值95%以上的连续时段长度。95%是相对幅值门槛，不表示全年功率样本的第95百分位，也不表示95%的保障概率。采用最长连续峰段，可以表达单次尖峰对持续支撑能力的要求；全年达到门槛的累计小时则反映出现频度，两者用途不同。</w:t>
      </w:r>
    </w:p>
    <w:p>
      <w:pPr>
        <w:pStyle w:val="2"/>
        <w:widowControl/>
        <w:spacing w:line="300" w:lineRule="auto" w:before="0" w:after="0"/>
        <w:ind w:firstLine="480"/>
        <w:jc w:val="both"/>
      </w:pPr>
      <w:r>
        <w:rPr>
          <w:rFonts w:ascii="Times New Roman" w:hAnsi="Times New Roman" w:eastAsia="方正仿宋_GBK"/>
          <w:b w:val="0"/>
          <w:sz w:val="24"/>
        </w:rPr>
        <w:t xml:space="preserve">对储能配置，仅有年度峰值幅度还不够。相同的5 MW缺口若持续1</w:t>
      </w:r>
      <w:r>
        <w:rPr>
          <w:rFonts w:ascii="Times New Roman" w:hAnsi="Times New Roman" w:eastAsia="方正仿宋_GBK"/>
          <w:b w:val="0"/>
          <w:sz w:val="24"/>
        </w:rPr>
        <w:t xml:space="preserve"> </w:t>
      </w:r>
      <m:oMath>
        <m:r>
          <m:t>h</m:t>
        </m:r>
      </m:oMath>
      <w:r>
        <w:rPr>
          <w:rFonts w:ascii="Times New Roman" w:hAnsi="Times New Roman" w:eastAsia="方正仿宋_GBK"/>
          <w:b w:val="0"/>
          <w:sz w:val="24"/>
        </w:rPr>
        <w:t xml:space="preserve">，最低理想放电能量为5 MWh；若持续5</w:t>
      </w:r>
      <w:r>
        <w:rPr>
          <w:rFonts w:ascii="Times New Roman" w:hAnsi="Times New Roman" w:eastAsia="方正仿宋_GBK"/>
          <w:b w:val="0"/>
          <w:sz w:val="24"/>
        </w:rPr>
        <w:t xml:space="preserve"> </w:t>
      </w:r>
      <m:oMath>
        <m:r>
          <m:t>h</m:t>
        </m:r>
      </m:oMath>
      <w:r>
        <w:rPr>
          <w:rFonts w:ascii="Times New Roman" w:hAnsi="Times New Roman" w:eastAsia="方正仿宋_GBK"/>
          <w:b w:val="0"/>
          <w:sz w:val="24"/>
        </w:rPr>
        <w:t xml:space="preserve">，所需能量相应增加。这是功率与能量的直接关系，实际工程还需考虑效率、可用荷电状态及容量衰减[28][10]。本项目静态模型以铭牌功率和峰段可持续能量共同限制储能支撑。</w:t>
      </w:r>
    </w:p>
    <w:p>
      <w:pPr>
        <w:pStyle w:val="2"/>
        <w:widowControl/>
        <w:spacing w:line="300" w:lineRule="auto" w:before="0" w:after="0"/>
        <w:ind w:firstLine="480"/>
        <w:jc w:val="both"/>
      </w:pPr>
      <w:r>
        <w:rPr>
          <w:rFonts w:ascii="Times New Roman" w:hAnsi="Times New Roman" w:eastAsia="方正仿宋_GBK"/>
          <w:b w:val="0"/>
          <w:sz w:val="24"/>
        </w:rPr>
        <w:t xml:space="preserve">峰值持续时间对缺测处理较敏感。缺失小时落在尖峰区间内，可能把同一连续事件拆成两段，也可能因插值而人为连接两个事件。年度时序存在较长缺口时，应保留缺测状态，报告统计的是已观测峰段或有明确补值规则的估计峰段。持续时间分析采用同一缺测处理规则。</w:t>
      </w:r>
    </w:p>
    <w:p>
      <w:pPr>
        <w:pStyle w:val="5"/>
        <w:keepNext/>
        <w:numPr>
          <w:numId w:val="0"/>
        </w:numPr>
        <w:spacing w:line="360" w:lineRule="auto" w:before="160" w:after="120"/>
        <w:ind w:firstLine="0"/>
      </w:pPr>
      <w:bookmarkStart w:id="73" w:name="分布式电源电量渗透率与负载率的相关性"/>
      <w:r>
        <w:rPr>
          <w:rFonts w:ascii="Times New Roman" w:hAnsi="Times New Roman" w:eastAsia="方正仿宋_GBK"/>
          <w:b/>
          <w:sz w:val="26"/>
        </w:rPr>
        <w:t xml:space="preserve">2.5.4 分布式电源电量渗透率与负载率的相关性</w:t>
      </w:r>
      <w:bookmarkEnd w:id="73"/>
    </w:p>
    <w:p>
      <w:pPr>
        <w:pStyle w:val="FirstParagraph"/>
        <w:widowControl/>
        <w:spacing w:line="300" w:lineRule="auto" w:before="0" w:after="0"/>
        <w:ind w:firstLine="480"/>
        <w:jc w:val="both"/>
      </w:pPr>
      <w:r>
        <w:rPr>
          <w:rFonts w:ascii="Times New Roman" w:hAnsi="Times New Roman" w:eastAsia="方正仿宋_GBK"/>
          <w:b w:val="0"/>
          <w:sz w:val="24"/>
        </w:rPr>
        <w:t xml:space="preserve">光伏增加可能降低部分日间净负荷，而年度设备最大负载率还可能由晚间高峰或局部反送决定。分布式电源电量渗透率提高与最大负载率下降因此不存在无条件对应关系[3][4][58]。容量配置、负荷时段和统计边界都会影响两者的相关方向。</w:t>
      </w:r>
    </w:p>
    <w:p>
      <w:pPr>
        <w:pStyle w:val="2"/>
        <w:widowControl/>
        <w:spacing w:line="300" w:lineRule="auto" w:before="0" w:after="0"/>
        <w:ind w:firstLine="480"/>
        <w:jc w:val="both"/>
      </w:pPr>
      <w:r>
        <w:rPr>
          <w:rFonts w:ascii="Times New Roman" w:hAnsi="Times New Roman" w:eastAsia="方正仿宋_GBK"/>
          <w:b w:val="0"/>
          <w:sz w:val="24"/>
        </w:rPr>
        <w:t xml:space="preserve">容量／负荷比与负载率还共享容量和峰值成分。若容载比固定按区域峰值计算，负载率也按同一峰值与总容量构造，二者具有代数反比关系，该相关性源于指标的计算关系。原表逐台主变负载率的中位数与区域容载比范围不同，分别反映设备分布和区域容量储备。</w:t>
      </w:r>
    </w:p>
    <w:p>
      <w:pPr>
        <w:pStyle w:val="2"/>
        <w:widowControl/>
        <w:spacing w:line="300" w:lineRule="auto" w:before="0" w:after="0"/>
        <w:ind w:firstLine="480"/>
        <w:jc w:val="both"/>
      </w:pPr>
      <w:r>
        <w:rPr>
          <w:rFonts w:ascii="Times New Roman" w:hAnsi="Times New Roman" w:eastAsia="方正仿宋_GBK"/>
          <w:b w:val="0"/>
          <w:sz w:val="24"/>
        </w:rPr>
        <w:t xml:space="preserve">邳州和市区的资料分别反映县域与市区的源荷条件。年度地区指标用于比较相对水平。对具有月度同范围资料的地区，可计算月度关联并说明样本内性质，为后续扩大实际数据样本提供依据。</w:t>
      </w:r>
    </w:p>
    <w:p>
      <w:bookmarkStart w:id="1185" w:name="h185"/>
      <w:pPr>
        <w:pStyle w:val="4"/>
        <w:keepNext/>
        <w:numPr>
          <w:numId w:val="0"/>
        </w:numPr>
        <w:spacing w:line="360" w:lineRule="auto" w:before="160" w:after="120"/>
        <w:ind w:firstLine="0"/>
      </w:pPr>
      <w:bookmarkStart w:id="74" w:name="主变联络与储能的经济替代条件"/>
      <w:r>
        <w:rPr>
          <w:rFonts w:ascii="Times New Roman" w:hAnsi="Times New Roman" w:eastAsia="方正仿宋_GBK"/>
          <w:b/>
          <w:sz w:val="32"/>
        </w:rPr>
        <w:t xml:space="preserve">2.6 主变、联络与储能的经济替代条件</w:t>
      </w:r>
      <w:bookmarkEnd w:id="74"/>
      <w:bookmarkEnd w:id="1185"/>
    </w:p>
    <w:p>
      <w:pPr>
        <w:pStyle w:val="5"/>
        <w:keepNext/>
        <w:numPr>
          <w:numId w:val="0"/>
        </w:numPr>
        <w:spacing w:line="360" w:lineRule="auto" w:before="160" w:after="120"/>
        <w:ind w:firstLine="0"/>
      </w:pPr>
      <w:bookmarkStart w:id="75" w:name="共同服务能力与费用分母"/>
      <w:r>
        <w:rPr>
          <w:rFonts w:ascii="Times New Roman" w:hAnsi="Times New Roman" w:eastAsia="方正仿宋_GBK"/>
          <w:b/>
          <w:sz w:val="26"/>
        </w:rPr>
        <w:t xml:space="preserve">2.6.1 共同服务能力与费用分母</w:t>
      </w:r>
      <w:bookmarkEnd w:id="75"/>
    </w:p>
    <w:p>
      <w:pPr>
        <w:pStyle w:val="FirstParagraph"/>
        <w:widowControl/>
        <w:spacing w:line="300" w:lineRule="auto" w:before="0" w:after="0"/>
        <w:ind w:firstLine="480"/>
        <w:jc w:val="both"/>
      </w:pPr>
      <w:r>
        <w:rPr>
          <w:rFonts w:ascii="Times New Roman" w:hAnsi="Times New Roman" w:eastAsia="方正仿宋_GBK"/>
          <w:b w:val="0"/>
          <w:sz w:val="24"/>
        </w:rPr>
        <w:t xml:space="preserve">三类措施按场景中的有效服务功率进行比较。主变以MVA标示视在容量，线路以长度和通道热限构造，储能同时具有MW与MWh。构造价格比时，需要先给出相应场景下的有效MW，再分别计算单位服务能力费用。统一单位用于比较单位服务功率投资，技术替代关系由容量、持续时间与转供约束确定。</w:t>
      </w:r>
    </w:p>
    <w:p>
      <w:pPr>
        <w:pStyle w:val="2"/>
        <w:widowControl/>
        <w:spacing w:line="300" w:lineRule="auto" w:before="0" w:after="0"/>
        <w:ind w:firstLine="480"/>
        <w:jc w:val="both"/>
      </w:pPr>
      <w:r>
        <w:rPr>
          <w:rFonts w:ascii="Times New Roman" w:hAnsi="Times New Roman" w:eastAsia="方正仿宋_GBK"/>
          <w:b w:val="0"/>
          <w:sz w:val="24"/>
        </w:rPr>
        <w:t xml:space="preserve">主变替换工程采购50 MVA、退出20 MVA时，新增容量为30 MVA。如果目标函数按新购容量计价，价格比应与新购有效MW对应；若说明工程每净增MW的投资，则需另按30 MVA计算。工程费用按新购容量计算，净增MW费用另用于说明替换项目的增量效果。本报告对这两种用途分别给出算式[85]。</w:t>
      </w:r>
    </w:p>
    <w:p>
      <w:pPr>
        <w:pStyle w:val="2"/>
        <w:widowControl/>
        <w:spacing w:line="300" w:lineRule="auto" w:before="0" w:after="0"/>
        <w:ind w:firstLine="480"/>
        <w:jc w:val="both"/>
      </w:pPr>
      <w:r>
        <w:rPr>
          <w:rFonts w:ascii="Times New Roman" w:hAnsi="Times New Roman" w:eastAsia="方正仿宋_GBK"/>
          <w:b w:val="0"/>
          <w:sz w:val="24"/>
        </w:rPr>
        <w:t xml:space="preserve">新增联络线的有效支撑量还取决于受端剩余容量。线路热限充足而受端没有容量，通道无法完成所设负荷任务；受端空余充足而负荷不能分段，同样不能按整条线路额定能力计收益。公开线路单位造价能够提供价格参考，实际可转任务需要网络资料支撑[8]。</w:t>
      </w:r>
    </w:p>
    <w:p>
      <w:pPr>
        <w:pStyle w:val="2"/>
        <w:widowControl/>
        <w:spacing w:line="300" w:lineRule="auto" w:before="0" w:after="0"/>
        <w:ind w:firstLine="480"/>
        <w:jc w:val="both"/>
      </w:pPr>
      <w:r>
        <w:rPr>
          <w:rFonts w:ascii="Times New Roman" w:hAnsi="Times New Roman" w:eastAsia="方正仿宋_GBK"/>
          <w:b w:val="0"/>
          <w:sz w:val="24"/>
        </w:rPr>
        <w:t xml:space="preserve">储能单位有效MW费用随峰段持续时间增加。将10柜包的投资除以1 MW，只适用于允许额定功率持续输出的时段条件。持续时间为3</w:t>
      </w:r>
      <w:r>
        <w:rPr>
          <w:rFonts w:ascii="Times New Roman" w:hAnsi="Times New Roman" w:eastAsia="方正仿宋_GBK"/>
          <w:b w:val="0"/>
          <w:sz w:val="24"/>
        </w:rPr>
        <w:t xml:space="preserve"> </w:t>
      </w:r>
      <m:oMath>
        <m:r>
          <m:t>h</m:t>
        </m:r>
      </m:oMath>
      <w:r>
        <w:rPr>
          <w:rFonts w:ascii="Times New Roman" w:hAnsi="Times New Roman" w:eastAsia="方正仿宋_GBK"/>
          <w:b w:val="0"/>
          <w:sz w:val="24"/>
        </w:rPr>
        <w:t xml:space="preserve">时，2.15 MWh能量对应的理想持续功率仅为0.72 MW，单位有效MW费用相应提高。成本比例按各场景持续时间计算[10][86]。</w:t>
      </w:r>
    </w:p>
    <w:p>
      <w:pPr>
        <w:pStyle w:val="5"/>
        <w:keepNext/>
        <w:numPr>
          <w:numId w:val="0"/>
        </w:numPr>
        <w:spacing w:line="360" w:lineRule="auto" w:before="160" w:after="120"/>
        <w:ind w:firstLine="0"/>
      </w:pPr>
      <w:bookmarkStart w:id="76" w:name="统一评价期与更新费用"/>
      <w:r>
        <w:rPr>
          <w:rFonts w:ascii="Times New Roman" w:hAnsi="Times New Roman" w:eastAsia="方正仿宋_GBK"/>
          <w:b/>
          <w:sz w:val="26"/>
        </w:rPr>
        <w:t xml:space="preserve">2.6.2 统一评价期与更新费用</w:t>
      </w:r>
      <w:bookmarkEnd w:id="76"/>
    </w:p>
    <w:p>
      <w:pPr>
        <w:pStyle w:val="FirstParagraph"/>
        <w:widowControl/>
        <w:spacing w:line="300" w:lineRule="auto" w:before="0" w:after="0"/>
        <w:ind w:firstLine="480"/>
        <w:jc w:val="both"/>
      </w:pPr>
      <w:r>
        <w:rPr>
          <w:rFonts w:ascii="Times New Roman" w:hAnsi="Times New Roman" w:eastAsia="方正仿宋_GBK"/>
          <w:b w:val="0"/>
          <w:sz w:val="24"/>
        </w:rPr>
        <w:t xml:space="preserve">全寿命费用方法将初始投资、固定运维及寿命更新纳入同一评价基准[10][11][12]。如果储能寿命短于网架设备，评价期内可能出现更新投资。只比较初始造价会遗漏这一差异，并高估储能替代长期容量建设的经济性。相反，延后投运减少早期资金占用，也可能影响费用现值。</w:t>
      </w:r>
    </w:p>
    <w:p>
      <w:pPr>
        <w:pStyle w:val="2"/>
        <w:widowControl/>
        <w:spacing w:line="300" w:lineRule="auto" w:before="0" w:after="0"/>
        <w:ind w:firstLine="480"/>
        <w:jc w:val="both"/>
      </w:pPr>
      <w:r>
        <w:rPr>
          <w:rFonts w:ascii="Times New Roman" w:hAnsi="Times New Roman" w:eastAsia="方正仿宋_GBK"/>
          <w:b w:val="0"/>
          <w:sz w:val="24"/>
        </w:rPr>
        <w:t xml:space="preserve">在跨措施比较中，价格水平和工程范围应统一。徐州主变案例包含配套出线等内容，外地用户侧储能成交项目与电网侧成套工程范围不完全相同，线路价格又来自历史规划资料。模型按案例范围形成参考费用，敏感性分析检验价格变化对选择的影响，实际项目采用核定概算。</w:t>
      </w:r>
    </w:p>
    <w:p>
      <w:pPr>
        <w:pStyle w:val="2"/>
        <w:widowControl/>
        <w:spacing w:line="300" w:lineRule="auto" w:before="0" w:after="0"/>
        <w:ind w:firstLine="480"/>
        <w:jc w:val="both"/>
      </w:pPr>
      <w:r>
        <w:rPr>
          <w:rFonts w:ascii="Times New Roman" w:hAnsi="Times New Roman" w:eastAsia="方正仿宋_GBK"/>
          <w:b w:val="0"/>
          <w:sz w:val="24"/>
        </w:rPr>
        <w:t xml:space="preserve">本项目采用固定实价和固定运维比例，未另设价格通胀。折现率与实价口径相匹配，储能更新按相同实价计算。为简化参数分析，价格变化集中于主变／线路和主变／储能两个比例。未来储能价格下降通过储能初始及更新价格共同降低的情景表达，价格情景用于比较措施的相对费用。</w:t>
      </w:r>
    </w:p>
    <w:p>
      <w:pPr>
        <w:pStyle w:val="5"/>
        <w:keepNext/>
        <w:numPr>
          <w:numId w:val="0"/>
        </w:numPr>
        <w:spacing w:line="360" w:lineRule="auto" w:before="160" w:after="120"/>
        <w:ind w:firstLine="0"/>
      </w:pPr>
      <w:bookmarkStart w:id="77" w:name="技术约束先于经济优选"/>
      <w:r>
        <w:rPr>
          <w:rFonts w:ascii="Times New Roman" w:hAnsi="Times New Roman" w:eastAsia="方正仿宋_GBK"/>
          <w:b/>
          <w:sz w:val="26"/>
        </w:rPr>
        <w:t xml:space="preserve">2.6.3 技术约束先于经济优选</w:t>
      </w:r>
      <w:bookmarkEnd w:id="77"/>
    </w:p>
    <w:p>
      <w:pPr>
        <w:pStyle w:val="FirstParagraph"/>
        <w:widowControl/>
        <w:spacing w:line="300" w:lineRule="auto" w:before="0" w:after="0"/>
        <w:ind w:firstLine="480"/>
        <w:jc w:val="both"/>
      </w:pPr>
      <w:r>
        <w:rPr>
          <w:rFonts w:ascii="Times New Roman" w:hAnsi="Times New Roman" w:eastAsia="方正仿宋_GBK"/>
          <w:b w:val="0"/>
          <w:sz w:val="24"/>
        </w:rPr>
        <w:t xml:space="preserve">经济模型只在技术可行集合内选择措施。供电安全容量不足的方案即使费用较低，也不能与可行方案并列推荐。因而，首先要明确正反向和主变退出容量的计算方法，再比较设备采购和投运年份。</w:t>
      </w:r>
    </w:p>
    <w:p>
      <w:pPr>
        <w:pStyle w:val="2"/>
        <w:widowControl/>
        <w:spacing w:line="300" w:lineRule="auto" w:before="0" w:after="0"/>
        <w:ind w:firstLine="480"/>
        <w:jc w:val="both"/>
      </w:pPr>
      <w:r>
        <w:rPr>
          <w:rFonts w:ascii="Times New Roman" w:hAnsi="Times New Roman" w:eastAsia="方正仿宋_GBK"/>
          <w:b w:val="0"/>
          <w:sz w:val="24"/>
        </w:rPr>
        <w:t xml:space="preserve">多准则评价适于对已通过技术筛查的方案比较实施条件和规划适应性[14][15][16]。本报告以费用最小形成计算推荐，供电安全和设备规格作为硬约束，工程实施条件作为应用前核对项。</w:t>
      </w:r>
    </w:p>
    <w:p>
      <w:pPr>
        <w:pStyle w:val="2"/>
        <w:widowControl/>
        <w:spacing w:line="300" w:lineRule="auto" w:before="0" w:after="0"/>
        <w:ind w:firstLine="480"/>
        <w:jc w:val="both"/>
      </w:pPr>
      <w:r>
        <w:rPr>
          <w:rFonts w:ascii="Times New Roman" w:hAnsi="Times New Roman" w:eastAsia="方正仿宋_GBK"/>
          <w:b w:val="0"/>
          <w:sz w:val="24"/>
        </w:rPr>
        <w:t xml:space="preserve">在矩阵中，推荐值应与价格比、峰段时间和负荷条件一起给出。同一推荐容载比可对应不同设备布局，费用相同也可能出现多组可行配置。报告保存代表方案的设备规模、建设时点与负荷转接安排，使推荐区间能够对应到所选规划方案。</w:t>
      </w:r>
    </w:p>
    <w:p>
      <w:bookmarkStart w:id="1199" w:name="h199"/>
      <w:pPr>
        <w:pStyle w:val="4"/>
        <w:keepNext/>
        <w:numPr>
          <w:numId w:val="0"/>
        </w:numPr>
        <w:spacing w:line="360" w:lineRule="auto" w:before="160" w:after="120"/>
        <w:ind w:firstLine="0"/>
      </w:pPr>
      <w:bookmarkStart w:id="78" w:name="规划寻优方法与本项目选型"/>
      <w:r>
        <w:rPr>
          <w:rFonts w:ascii="Times New Roman" w:hAnsi="Times New Roman" w:eastAsia="方正仿宋_GBK"/>
          <w:b/>
          <w:sz w:val="32"/>
        </w:rPr>
        <w:t xml:space="preserve">2.7 规划寻优方法与本项目选型</w:t>
      </w:r>
      <w:bookmarkEnd w:id="78"/>
      <w:bookmarkEnd w:id="1199"/>
    </w:p>
    <w:p>
      <w:pPr>
        <w:pStyle w:val="5"/>
        <w:keepNext/>
        <w:numPr>
          <w:numId w:val="0"/>
        </w:numPr>
        <w:spacing w:line="360" w:lineRule="auto" w:before="160" w:after="120"/>
        <w:ind w:firstLine="0"/>
      </w:pPr>
      <w:bookmarkStart w:id="79" w:name="整数规划与离散工程决策"/>
      <w:r>
        <w:rPr>
          <w:rFonts w:ascii="Times New Roman" w:hAnsi="Times New Roman" w:eastAsia="方正仿宋_GBK"/>
          <w:b/>
          <w:sz w:val="26"/>
        </w:rPr>
        <w:t xml:space="preserve">2.7.1 整数规划与离散工程决策</w:t>
      </w:r>
      <w:bookmarkEnd w:id="79"/>
    </w:p>
    <w:p>
      <w:pPr>
        <w:pStyle w:val="FirstParagraph"/>
        <w:widowControl/>
        <w:spacing w:line="300" w:lineRule="auto" w:before="0" w:after="0"/>
        <w:ind w:firstLine="480"/>
        <w:jc w:val="both"/>
      </w:pPr>
      <w:r>
        <w:rPr>
          <w:rFonts w:ascii="Times New Roman" w:hAnsi="Times New Roman" w:eastAsia="方正仿宋_GBK"/>
          <w:b w:val="0"/>
          <w:sz w:val="24"/>
        </w:rPr>
        <w:t xml:space="preserve">主变规格、台数和建设年份属于离散工程决策，储能柜数也受成套采购规格限制。线路投运状态由未建转为已建，不能按连续比例逐年撤销。这类状态和阶段关系适合采用混合整数规划描述。连续变量用于站间转接功率，整数变量用于配置与投运决策。</w:t>
      </w:r>
    </w:p>
    <w:p>
      <w:pPr>
        <w:pStyle w:val="2"/>
        <w:widowControl/>
        <w:spacing w:line="300" w:lineRule="auto" w:before="0" w:after="0"/>
        <w:ind w:firstLine="480"/>
        <w:jc w:val="both"/>
      </w:pPr>
      <w:r>
        <w:rPr>
          <w:rFonts w:ascii="Times New Roman" w:hAnsi="Times New Roman" w:eastAsia="方正仿宋_GBK"/>
          <w:b w:val="0"/>
          <w:sz w:val="24"/>
        </w:rPr>
        <w:t xml:space="preserve">对给定峰值持续时间，储能功率与能量折算为已知系数；主变有功承载力按统一功率因数折算；线路负荷转接保持线性守恒。技术条件因此可以写成线性约束。本研究统一按主变N-1后满足全部转接负荷校核，供电区域类别用于确定候选设备规格和转供能力范围。</w:t>
      </w:r>
    </w:p>
    <w:p>
      <w:pPr>
        <w:pStyle w:val="2"/>
        <w:widowControl/>
        <w:spacing w:line="300" w:lineRule="auto" w:before="0" w:after="0"/>
        <w:ind w:firstLine="480"/>
        <w:jc w:val="both"/>
      </w:pPr>
      <w:r>
        <w:rPr>
          <w:rFonts w:ascii="Times New Roman" w:hAnsi="Times New Roman" w:eastAsia="方正仿宋_GBK"/>
          <w:b w:val="0"/>
          <w:sz w:val="24"/>
        </w:rPr>
        <w:t xml:space="preserve">整数规划将设备规格与工程数量直接作为决策变量，在正常运行和供电安全约束下比较措施费用。年度设备状态连续衔接，避免容量连续求解后取整造成的配置偏差。</w:t>
      </w:r>
    </w:p>
    <w:p>
      <w:pPr>
        <w:pStyle w:val="5"/>
        <w:keepNext/>
        <w:numPr>
          <w:numId w:val="0"/>
        </w:numPr>
        <w:spacing w:line="360" w:lineRule="auto" w:before="160" w:after="120"/>
        <w:ind w:firstLine="0"/>
      </w:pPr>
      <w:bookmarkStart w:id="80" w:name="全寿命费用比选与方案形成"/>
      <w:r>
        <w:rPr>
          <w:rFonts w:ascii="Times New Roman" w:hAnsi="Times New Roman" w:eastAsia="方正仿宋_GBK"/>
          <w:b/>
          <w:sz w:val="26"/>
        </w:rPr>
        <w:t xml:space="preserve">2.7.2 全寿命费用比选与方案形成</w:t>
      </w:r>
      <w:bookmarkEnd w:id="80"/>
    </w:p>
    <w:p>
      <w:pPr>
        <w:pStyle w:val="FirstParagraph"/>
        <w:widowControl/>
        <w:spacing w:line="300" w:lineRule="auto" w:before="0" w:after="0"/>
        <w:ind w:firstLine="480"/>
        <w:jc w:val="both"/>
      </w:pPr>
      <w:r>
        <w:rPr>
          <w:rFonts w:ascii="Times New Roman" w:hAnsi="Times New Roman" w:eastAsia="方正仿宋_GBK"/>
          <w:b w:val="0"/>
          <w:sz w:val="24"/>
        </w:rPr>
        <w:t xml:space="preserve">全寿命费用比选在满足技术约束的可行配置中进行。主变增容、储能配置和10 kV联络采用同一评价期，建设投资、运维和设备更新按投运年份折现，设备状态与站间负荷转接共同进入规划期优化。</w:t>
      </w:r>
    </w:p>
    <w:p>
      <w:pPr>
        <w:pStyle w:val="2"/>
        <w:widowControl/>
        <w:spacing w:line="300" w:lineRule="auto" w:before="0" w:after="0"/>
        <w:ind w:firstLine="480"/>
        <w:jc w:val="both"/>
      </w:pPr>
      <w:r>
        <w:rPr>
          <w:rFonts w:ascii="Times New Roman" w:hAnsi="Times New Roman" w:eastAsia="方正仿宋_GBK"/>
          <w:b w:val="0"/>
          <w:sz w:val="24"/>
        </w:rPr>
        <w:t xml:space="preserve">刚性与弹性方案采用相同的初始资产、负荷情景和措施集合，分别满足各自容载比范围。比较结果同时列示设备配置、负荷转接与费用，使推荐容载比能够对应到具体建设方案。</w:t>
      </w:r>
    </w:p>
    <w:p>
      <w:pPr>
        <w:pStyle w:val="2"/>
        <w:widowControl/>
        <w:spacing w:line="300" w:lineRule="auto" w:before="0" w:after="0"/>
        <w:ind w:firstLine="480"/>
        <w:jc w:val="both"/>
      </w:pPr>
      <w:r>
        <w:rPr>
          <w:rFonts w:ascii="Times New Roman" w:hAnsi="Times New Roman" w:eastAsia="方正仿宋_GBK"/>
          <w:b w:val="0"/>
          <w:sz w:val="24"/>
        </w:rPr>
        <w:t xml:space="preserve">费用相近时可以出现多组可行配置。代表方案的确定兼顾弹性容量储备与负荷转接需求，逐年设备和站级转接记录作为相应规划结果的计算依据。</w:t>
      </w:r>
    </w:p>
    <w:p>
      <w:pPr>
        <w:pStyle w:val="5"/>
        <w:keepNext/>
        <w:numPr>
          <w:numId w:val="0"/>
        </w:numPr>
        <w:spacing w:line="360" w:lineRule="auto" w:before="160" w:after="120"/>
        <w:ind w:firstLine="0"/>
      </w:pPr>
      <w:bookmarkStart w:id="81" w:name="参数矩阵的适用范围"/>
      <w:r>
        <w:rPr>
          <w:rFonts w:ascii="Times New Roman" w:hAnsi="Times New Roman" w:eastAsia="方正仿宋_GBK"/>
          <w:b/>
          <w:sz w:val="26"/>
        </w:rPr>
        <w:t xml:space="preserve">2.7.3 参数矩阵的适用范围</w:t>
      </w:r>
      <w:bookmarkEnd w:id="81"/>
    </w:p>
    <w:p>
      <w:pPr>
        <w:pStyle w:val="FirstParagraph"/>
        <w:widowControl/>
        <w:spacing w:line="300" w:lineRule="auto" w:before="0" w:after="0"/>
        <w:ind w:firstLine="480"/>
        <w:jc w:val="both"/>
      </w:pPr>
      <w:r>
        <w:rPr>
          <w:rFonts w:ascii="Times New Roman" w:hAnsi="Times New Roman" w:eastAsia="方正仿宋_GBK"/>
          <w:b w:val="0"/>
          <w:sz w:val="24"/>
        </w:rPr>
        <w:t xml:space="preserve">连续参数变化与离散设备选择结合后，费用和容载比往往出现台阶。对已求解端点，插值得到中间价格下的费用可作描述；对设备配置和容载比推荐，中间点可能触发新的规格或储能柜数，仍需重新优化。参数外推按完整设备配置归纳推荐范围。</w:t>
      </w:r>
    </w:p>
    <w:p>
      <w:pPr>
        <w:pStyle w:val="2"/>
        <w:widowControl/>
        <w:spacing w:line="300" w:lineRule="auto" w:before="0" w:after="0"/>
        <w:ind w:firstLine="480"/>
        <w:jc w:val="both"/>
      </w:pPr>
      <w:r>
        <w:rPr>
          <w:rFonts w:ascii="Times New Roman" w:hAnsi="Times New Roman" w:eastAsia="方正仿宋_GBK"/>
          <w:b w:val="0"/>
          <w:sz w:val="24"/>
        </w:rPr>
        <w:t xml:space="preserve">本项目先以两地区资料分析运行与配置关系，再以两类五站仿真模板在合理参数范围内构造情景。推荐矩阵表达在这些结构和假定下的计算范围。应用于其他片区时，需要核对主变初态、供电类别及负荷分布等关键条件，再以矩阵作为扫描和比选依据。</w:t>
      </w:r>
    </w:p>
    <w:p>
      <w:pPr>
        <w:pStyle w:val="2"/>
        <w:widowControl/>
        <w:spacing w:line="300" w:lineRule="auto" w:before="0" w:after="0"/>
        <w:ind w:firstLine="480"/>
        <w:jc w:val="both"/>
      </w:pPr>
      <w:r>
        <w:rPr>
          <w:rFonts w:ascii="Times New Roman" w:hAnsi="Times New Roman" w:eastAsia="方正仿宋_GBK"/>
          <w:b w:val="0"/>
          <w:sz w:val="24"/>
        </w:rPr>
        <w:t xml:space="preserve">反向压力外推保留电源原站归属，并使用非负用户负荷的典型场景。光伏规模变化后，反送压力相应改变；正向高峰按夜间包络保持。该构造适于压力敏感性，尚不等同于完整年度光伏与负荷共同预测。分布式电源电量渗透率在此类情景中只作为条件标签，不宣称模型已经优化全年消纳电量。</w:t>
      </w:r>
    </w:p>
    <w:p>
      <w:bookmarkStart w:id="1212" w:name="h212"/>
      <w:pPr>
        <w:pStyle w:val="4"/>
        <w:keepNext/>
        <w:numPr>
          <w:numId w:val="0"/>
        </w:numPr>
        <w:spacing w:line="360" w:lineRule="auto" w:before="160" w:after="120"/>
        <w:ind w:firstLine="0"/>
      </w:pPr>
      <w:bookmarkStart w:id="82" w:name="本项目方法选择与工程衔接"/>
      <w:r>
        <w:rPr>
          <w:rFonts w:ascii="Times New Roman" w:hAnsi="Times New Roman" w:eastAsia="方正仿宋_GBK"/>
          <w:b/>
          <w:sz w:val="32"/>
        </w:rPr>
        <w:t xml:space="preserve">2.8 本项目方法选择与工程衔接</w:t>
      </w:r>
      <w:bookmarkEnd w:id="82"/>
      <w:bookmarkEnd w:id="1212"/>
    </w:p>
    <w:p>
      <w:pPr>
        <w:pStyle w:val="5"/>
        <w:keepNext/>
        <w:numPr>
          <w:numId w:val="0"/>
        </w:numPr>
        <w:spacing w:line="360" w:lineRule="auto" w:before="160" w:after="120"/>
        <w:ind w:firstLine="0"/>
      </w:pPr>
      <w:bookmarkStart w:id="83" w:name="运行特征与技术约束"/>
      <w:r>
        <w:rPr>
          <w:rFonts w:ascii="Times New Roman" w:hAnsi="Times New Roman" w:eastAsia="方正仿宋_GBK"/>
          <w:b/>
          <w:sz w:val="26"/>
        </w:rPr>
        <w:t xml:space="preserve">2.8.1 运行特征与技术约束</w:t>
      </w:r>
      <w:bookmarkEnd w:id="83"/>
    </w:p>
    <w:p>
      <w:pPr>
        <w:pStyle w:val="FirstParagraph"/>
        <w:widowControl/>
        <w:spacing w:line="300" w:lineRule="auto" w:before="0" w:after="0"/>
        <w:ind w:firstLine="480"/>
        <w:jc w:val="both"/>
      </w:pPr>
      <w:r>
        <w:rPr>
          <w:rFonts w:ascii="Times New Roman" w:hAnsi="Times New Roman" w:eastAsia="方正仿宋_GBK"/>
          <w:b w:val="0"/>
          <w:sz w:val="24"/>
        </w:rPr>
        <w:t xml:space="preserve">负荷与光伏研究强调日内、季节和空间分布[3][57]；供电能力研究强调主变结构及下级网络互济[8][45]。本项目据此分别提取最大正向、反向净负荷及95%峰值持续时间，构造正常运行和主变N-1容量约束。站间转接保持区县负荷总量，原站电源保留归属，转出负荷后的反向压力同步校核。</w:t>
      </w:r>
    </w:p>
    <w:p>
      <w:pPr>
        <w:pStyle w:val="5"/>
        <w:keepNext/>
        <w:numPr>
          <w:numId w:val="0"/>
        </w:numPr>
        <w:spacing w:line="360" w:lineRule="auto" w:before="160" w:after="120"/>
        <w:ind w:firstLine="0"/>
      </w:pPr>
      <w:bookmarkStart w:id="84" w:name="工程配置与费用寻优"/>
      <w:r>
        <w:rPr>
          <w:rFonts w:ascii="Times New Roman" w:hAnsi="Times New Roman" w:eastAsia="方正仿宋_GBK"/>
          <w:b/>
          <w:sz w:val="26"/>
        </w:rPr>
        <w:t xml:space="preserve">2.8.2 工程配置与费用寻优</w:t>
      </w:r>
      <w:bookmarkEnd w:id="84"/>
    </w:p>
    <w:p>
      <w:pPr>
        <w:pStyle w:val="FirstParagraph"/>
        <w:widowControl/>
        <w:spacing w:line="300" w:lineRule="auto" w:before="0" w:after="0"/>
        <w:ind w:firstLine="480"/>
        <w:jc w:val="both"/>
      </w:pPr>
      <w:r>
        <w:rPr>
          <w:rFonts w:ascii="Times New Roman" w:hAnsi="Times New Roman" w:eastAsia="方正仿宋_GBK"/>
          <w:b w:val="0"/>
          <w:sz w:val="24"/>
        </w:rPr>
        <w:t xml:space="preserve">主变规格、主变扩建位置、储能柜数和联络项目属于离散决策，站间转接功率属于连续决策，采用混合整数线性规划共同求解。工程费用按购置事件和投运年份形成现金流，以建设、固定运维与寿命更新的现值之和比较方案[10,11,12][43][44]。同一区县刚性、弹性方案使用相同仿真起点和措施集合，全部配置满足当年技术约束。</w:t>
      </w:r>
    </w:p>
    <w:p>
      <w:pPr>
        <w:pStyle w:val="5"/>
        <w:keepNext/>
        <w:numPr>
          <w:numId w:val="0"/>
        </w:numPr>
        <w:spacing w:line="360" w:lineRule="auto" w:before="160" w:after="120"/>
        <w:ind w:firstLine="0"/>
      </w:pPr>
      <w:bookmarkStart w:id="85" w:name="案例分析与通用矩阵"/>
      <w:r>
        <w:rPr>
          <w:rFonts w:ascii="Times New Roman" w:hAnsi="Times New Roman" w:eastAsia="方正仿宋_GBK"/>
          <w:b/>
          <w:sz w:val="26"/>
        </w:rPr>
        <w:t xml:space="preserve">2.8.3 案例分析与通用矩阵</w:t>
      </w:r>
      <w:bookmarkEnd w:id="85"/>
    </w:p>
    <w:p>
      <w:pPr>
        <w:pStyle w:val="FirstParagraph"/>
        <w:widowControl/>
        <w:spacing w:line="300" w:lineRule="auto" w:before="0" w:after="0"/>
        <w:ind w:firstLine="480"/>
        <w:jc w:val="both"/>
      </w:pPr>
      <w:r>
        <w:rPr>
          <w:rFonts w:ascii="Times New Roman" w:hAnsi="Times New Roman" w:eastAsia="方正仿宋_GBK"/>
          <w:b w:val="0"/>
          <w:sz w:val="24"/>
        </w:rPr>
        <w:t xml:space="preserve">案例按四年设备状态连续寻优，说明负荷增长、离散增容、峰段支撑及转供能力对容载比和费用的影响。通用矩阵依据这些计算关系设置两类五站仿真模板，在合理参数范围内进行25200组目标年静态比选。矩阵按源荷特征及工程成本比分档汇总推荐区间。</w:t>
      </w:r>
    </w:p>
    <w:p>
      <w:bookmarkStart w:id="1219" w:name="h219"/>
      <w:pPr>
        <w:pStyle w:val="4"/>
        <w:keepNext/>
        <w:numPr>
          <w:numId w:val="0"/>
        </w:numPr>
        <w:spacing w:line="360" w:lineRule="auto" w:before="160" w:after="120"/>
        <w:ind w:firstLine="0"/>
      </w:pPr>
      <w:bookmarkStart w:id="86" w:name="本章小结"/>
      <w:r>
        <w:rPr>
          <w:rFonts w:ascii="Times New Roman" w:hAnsi="Times New Roman" w:eastAsia="方正仿宋_GBK"/>
          <w:b/>
          <w:sz w:val="32"/>
        </w:rPr>
        <w:t xml:space="preserve">2.9 本章小结</w:t>
      </w:r>
      <w:bookmarkEnd w:id="86"/>
      <w:bookmarkEnd w:id="1219"/>
    </w:p>
    <w:p>
      <w:pPr>
        <w:pStyle w:val="FirstParagraph"/>
        <w:widowControl/>
        <w:spacing w:line="300" w:lineRule="auto" w:before="0" w:after="0"/>
        <w:ind w:firstLine="480"/>
        <w:jc w:val="both"/>
      </w:pPr>
      <w:r>
        <w:rPr>
          <w:rFonts w:ascii="Times New Roman" w:hAnsi="Times New Roman" w:eastAsia="方正仿宋_GBK"/>
          <w:b w:val="0"/>
          <w:sz w:val="24"/>
        </w:rPr>
        <w:t xml:space="preserve">相关研究为高渗透率地区容量规划提供了源荷场景、下级网络供电能力和灵活资源费用比较方法。本研究采用区县容载比与站级容量约束相结合的规划模型，以实际工程和采购案例标定费用，在统一起点后比较增容、储能与10 kV联络方案，并通过五站仿真模板的参数外推形成通用推荐矩阵。</w:t>
      </w:r>
    </w:p>
    <w:p>
      <w:bookmarkStart w:id="1221" w:name="h221"/>
      <w:pPr>
        <w:pStyle w:val="3"/>
        <w:keepNext/>
        <w:pageBreakBefore/>
        <w:numPr>
          <w:numId w:val="0"/>
        </w:numPr>
        <w:spacing w:line="360" w:lineRule="auto" w:before="0" w:after="120"/>
        <w:ind w:firstLine="0"/>
      </w:pPr>
      <w:bookmarkStart w:id="87" w:name="第三章-徐州典型地区运行特征分析"/>
      <w:r>
        <w:rPr>
          <w:rFonts w:ascii="Times New Roman" w:hAnsi="Times New Roman" w:eastAsia="方正仿宋_GBK"/>
          <w:b/>
          <w:sz w:val="36"/>
        </w:rPr>
        <w:t xml:space="preserve">第三章 徐州典型地区运行特征分析</w:t>
      </w:r>
      <w:bookmarkEnd w:id="87"/>
      <w:bookmarkEnd w:id="1221"/>
    </w:p>
    <w:p>
      <w:bookmarkStart w:id="1222" w:name="h222"/>
      <w:pPr>
        <w:pStyle w:val="4"/>
        <w:keepNext/>
        <w:numPr>
          <w:numId w:val="0"/>
        </w:numPr>
        <w:spacing w:line="360" w:lineRule="auto" w:before="160" w:after="120"/>
        <w:ind w:firstLine="0"/>
      </w:pPr>
      <w:bookmarkStart w:id="88" w:name="研究地区与原始资料"/>
      <w:r>
        <w:rPr>
          <w:rFonts w:ascii="Times New Roman" w:hAnsi="Times New Roman" w:eastAsia="方正仿宋_GBK"/>
          <w:b/>
          <w:sz w:val="32"/>
        </w:rPr>
        <w:t xml:space="preserve">3.1 研究地区与原始资料</w:t>
      </w:r>
      <w:bookmarkEnd w:id="88"/>
      <w:bookmarkEnd w:id="1222"/>
    </w:p>
    <w:p>
      <w:pPr>
        <w:pStyle w:val="5"/>
        <w:keepNext/>
        <w:numPr>
          <w:numId w:val="0"/>
        </w:numPr>
        <w:spacing w:line="360" w:lineRule="auto" w:before="160" w:after="120"/>
        <w:ind w:firstLine="0"/>
      </w:pPr>
      <w:bookmarkStart w:id="89" w:name="地区选择及比较范围"/>
      <w:r>
        <w:rPr>
          <w:rFonts w:ascii="Times New Roman" w:hAnsi="Times New Roman" w:eastAsia="方正仿宋_GBK"/>
          <w:b/>
          <w:sz w:val="26"/>
        </w:rPr>
        <w:t xml:space="preserve">3.1.1 地区选择及比较范围</w:t>
      </w:r>
      <w:bookmarkEnd w:id="89"/>
    </w:p>
    <w:p>
      <w:pPr>
        <w:pStyle w:val="FirstParagraph"/>
        <w:widowControl/>
        <w:spacing w:line="300" w:lineRule="auto" w:before="0" w:after="0"/>
        <w:ind w:firstLine="480"/>
        <w:jc w:val="both"/>
      </w:pPr>
      <w:r>
        <w:rPr>
          <w:rFonts w:ascii="Times New Roman" w:hAnsi="Times New Roman" w:eastAsia="方正仿宋_GBK"/>
          <w:b w:val="0"/>
          <w:sz w:val="24"/>
        </w:rPr>
        <w:t xml:space="preserve">本研究以邳州和市区为规划计算对象。两类规划方案在同一区县使用相同负荷及仿真起点，区县间保留各自设备结构、供电区域类别和负荷分布。</w:t>
      </w:r>
    </w:p>
    <w:p>
      <w:pPr>
        <w:pStyle w:val="2"/>
        <w:widowControl/>
        <w:spacing w:line="300" w:lineRule="auto" w:before="0" w:after="0"/>
        <w:ind w:firstLine="480"/>
        <w:jc w:val="both"/>
      </w:pPr>
      <w:r>
        <w:rPr>
          <w:rFonts w:ascii="Times New Roman" w:hAnsi="Times New Roman" w:eastAsia="方正仿宋_GBK"/>
          <w:b w:val="0"/>
          <w:sz w:val="24"/>
        </w:rPr>
        <w:t xml:space="preserve">邳州110 kV模型含20座站，市区含29座站级样本。市区样本按区县年度原表负荷标定，其中补充仿真站的设备配置与类别保留估计标记。区域容载比采用同电压等级区县口径，各站独立峰值用于局部容量校核[5]。</w:t>
      </w:r>
    </w:p>
    <w:p>
      <w:pPr>
        <w:pStyle w:val="5"/>
        <w:keepNext/>
        <w:numPr>
          <w:numId w:val="0"/>
        </w:numPr>
        <w:spacing w:line="360" w:lineRule="auto" w:before="160" w:after="120"/>
        <w:ind w:firstLine="0"/>
      </w:pPr>
      <w:bookmarkStart w:id="90" w:name="历史分析与规划参数的衔接"/>
      <w:r>
        <w:rPr>
          <w:rFonts w:ascii="Times New Roman" w:hAnsi="Times New Roman" w:eastAsia="方正仿宋_GBK"/>
          <w:b/>
          <w:sz w:val="26"/>
        </w:rPr>
        <w:t xml:space="preserve">3.1.2 历史分析与规划参数的衔接</w:t>
      </w:r>
      <w:bookmarkEnd w:id="90"/>
    </w:p>
    <w:p>
      <w:pPr>
        <w:pStyle w:val="FirstParagraph"/>
        <w:widowControl/>
        <w:spacing w:line="300" w:lineRule="auto" w:before="0" w:after="0"/>
        <w:ind w:firstLine="480"/>
        <w:jc w:val="both"/>
      </w:pPr>
      <w:r>
        <w:rPr>
          <w:rFonts w:ascii="Times New Roman" w:hAnsi="Times New Roman" w:eastAsia="方正仿宋_GBK"/>
          <w:b w:val="0"/>
          <w:sz w:val="24"/>
        </w:rPr>
        <w:t xml:space="preserve">本章分析历史负荷、光伏及设备结构，并说明规划仿真采用的参数。年度区域负荷统一换算为MW，作为年网供最大负荷估计值。规划站级正向、反向净负荷采用2025年分布，按仿真年度规模缩放。图表中2021—2022年光伏装机采用几何回推，2023—2025年采用月末记录。</w:t>
      </w:r>
    </w:p>
    <w:p>
      <w:pPr>
        <w:pStyle w:val="2"/>
        <w:widowControl/>
        <w:spacing w:line="300" w:lineRule="auto" w:before="0" w:after="0"/>
        <w:ind w:firstLine="480"/>
        <w:jc w:val="both"/>
      </w:pPr>
      <w:r>
        <w:rPr>
          <w:rFonts w:ascii="Times New Roman" w:hAnsi="Times New Roman" w:eastAsia="方正仿宋_GBK"/>
          <w:b w:val="0"/>
          <w:sz w:val="24"/>
        </w:rPr>
        <w:t xml:space="preserve">历史容量和负荷用于本章现状分析。第五章将两地区分别标定到容载比2.00的共同仿真起点，后续容量由逐年优化确定。设备统计形成允许规格、供电区域类别及主变扩建位置；正常负荷调整使用相同仿真通道。收资文件、原表行列、单位换算和映射记录集中列入独立数据来源说明。正文只保留影响模型含义的处理方式与关键计算依据。</w:t>
      </w:r>
    </w:p>
    <w:p>
      <w:pPr>
        <w:pStyle w:val="5"/>
        <w:keepNext/>
        <w:numPr>
          <w:numId w:val="0"/>
        </w:numPr>
        <w:spacing w:line="360" w:lineRule="auto" w:before="160" w:after="120"/>
        <w:ind w:firstLine="0"/>
      </w:pPr>
      <w:bookmarkStart w:id="91" w:name="时序处理与模型适用范围"/>
      <w:r>
        <w:rPr>
          <w:rFonts w:ascii="Times New Roman" w:hAnsi="Times New Roman" w:eastAsia="方正仿宋_GBK"/>
          <w:b/>
          <w:sz w:val="26"/>
        </w:rPr>
        <w:t xml:space="preserve">3.1.3 时序处理与模型适用范围</w:t>
      </w:r>
      <w:bookmarkEnd w:id="91"/>
    </w:p>
    <w:p>
      <w:pPr>
        <w:pStyle w:val="FirstParagraph"/>
        <w:widowControl/>
        <w:spacing w:line="300" w:lineRule="auto" w:before="0" w:after="0"/>
        <w:ind w:firstLine="480"/>
        <w:jc w:val="both"/>
      </w:pPr>
      <w:r>
        <w:rPr>
          <w:rFonts w:ascii="Times New Roman" w:hAnsi="Times New Roman" w:eastAsia="方正仿宋_GBK"/>
          <w:b w:val="0"/>
          <w:sz w:val="24"/>
        </w:rPr>
        <w:t xml:space="preserve">容量、功率、电量分别使用MVA、MW、MWh，净功率受入为正、反送为负。年度电量统一在2025年非闰年8760小时轴上估计。邳州缺失1 h以邻近均值补值，市区代表时序421个补值小时按同周类型处理，二者均保留估计性质。</w:t>
      </w:r>
    </w:p>
    <w:p>
      <w:pPr>
        <w:pStyle w:val="2"/>
        <w:widowControl/>
        <w:spacing w:line="300" w:lineRule="auto" w:before="0" w:after="0"/>
        <w:ind w:firstLine="480"/>
        <w:jc w:val="both"/>
      </w:pPr>
      <w:r>
        <w:rPr>
          <w:rFonts w:ascii="Times New Roman" w:hAnsi="Times New Roman" w:eastAsia="方正仿宋_GBK"/>
          <w:b w:val="0"/>
          <w:sz w:val="24"/>
        </w:rPr>
        <w:t xml:space="preserve">峰段分析采用2025年最长连续峰段模板，用于储能静态容量折算；年度电量估计用于源荷背景分析。各站独立峰值用于局部校核，区域同期负荷用于容载比计算。</w:t>
      </w:r>
    </w:p>
    <w:p>
      <w:bookmarkStart w:id="1232" w:name="h232"/>
      <w:pPr>
        <w:pStyle w:val="4"/>
        <w:keepNext/>
        <w:numPr>
          <w:numId w:val="0"/>
        </w:numPr>
        <w:spacing w:line="360" w:lineRule="auto" w:before="160" w:after="120"/>
        <w:ind w:firstLine="0"/>
      </w:pPr>
      <w:bookmarkStart w:id="92" w:name="年度容量负荷与增长特征"/>
      <w:r>
        <w:rPr>
          <w:rFonts w:ascii="Times New Roman" w:hAnsi="Times New Roman" w:eastAsia="方正仿宋_GBK"/>
          <w:b/>
          <w:sz w:val="32"/>
        </w:rPr>
        <w:t xml:space="preserve">3.2 年度容量、负荷与增长特征</w:t>
      </w:r>
      <w:bookmarkEnd w:id="92"/>
      <w:bookmarkEnd w:id="1232"/>
    </w:p>
    <w:p>
      <w:pPr>
        <w:pStyle w:val="5"/>
        <w:keepNext/>
        <w:numPr>
          <w:numId w:val="0"/>
        </w:numPr>
        <w:spacing w:line="360" w:lineRule="auto" w:before="160" w:after="120"/>
        <w:ind w:firstLine="0"/>
      </w:pPr>
      <w:bookmarkStart w:id="93" w:name="邳州年度变化"/>
      <w:r>
        <w:rPr>
          <w:rFonts w:ascii="Times New Roman" w:hAnsi="Times New Roman" w:eastAsia="方正仿宋_GBK"/>
          <w:b/>
          <w:sz w:val="26"/>
        </w:rPr>
        <w:t xml:space="preserve">3.2.1 邳州年度变化</w:t>
      </w:r>
      <w:bookmarkEnd w:id="93"/>
    </w:p>
    <w:p>
      <w:pPr>
        <w:pStyle w:val="FirstParagraph"/>
        <w:widowControl/>
        <w:spacing w:line="300" w:lineRule="auto" w:before="0" w:after="0"/>
        <w:ind w:firstLine="480"/>
        <w:jc w:val="both"/>
      </w:pPr>
      <w:r>
        <w:rPr>
          <w:rFonts w:ascii="Times New Roman" w:hAnsi="Times New Roman" w:eastAsia="方正仿宋_GBK"/>
          <w:b w:val="0"/>
          <w:sz w:val="24"/>
        </w:rPr>
        <w:t xml:space="preserve">邳州2021年公用主变总容量为2027 MVA，年网供最大负荷按降压负荷估计为731.77 MW。2022—2025年负荷分别为825.00、761.23、862.66和956.45 MW。容量与负荷的年度变化共同影响容载比。</w:t>
      </w:r>
    </w:p>
    <w:p>
      <w:pPr>
        <w:pStyle w:val="2"/>
        <w:widowControl/>
        <w:spacing w:line="300" w:lineRule="auto" w:before="0" w:after="0"/>
        <w:ind w:firstLine="480"/>
        <w:jc w:val="both"/>
      </w:pPr>
      <w:r>
        <w:rPr>
          <w:rFonts w:ascii="Times New Roman" w:hAnsi="Times New Roman" w:eastAsia="方正仿宋_GBK"/>
          <w:b w:val="0"/>
          <w:sz w:val="24"/>
        </w:rPr>
        <w:t xml:space="preserve">历史统计保留原始年度波动，用于计算负荷增长和解释运行特征。仿真规划的基期与后续四年负荷在第五章另行列示。</w:t>
      </w:r>
    </w:p>
    <w:p>
      <w:pPr>
        <w:pStyle w:val="2"/>
        <w:keepNext/>
        <w:spacing w:line="300" w:lineRule="auto" w:before="120" w:after="80"/>
        <w:ind w:firstLine="0"/>
        <w:jc w:val="center"/>
      </w:pPr>
      <w:r>
        <w:rPr>
          <w:rFonts w:ascii="Times New Roman" w:hAnsi="Times New Roman" w:eastAsia="宋体"/>
          <w:b w:val="0"/>
          <w:sz w:val="21"/>
        </w:rPr>
        <w:t xml:space="preserve">表3-1 邳州和市区年度主变容量与降压负荷</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地区</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年份</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容量/MVA</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年网供最大负荷/MW</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容载比</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2021</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2027.00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731.77</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2.77</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2045.50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825.00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2.48</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2151.00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761.23</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2.83</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2169.50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862.66</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2.51</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2139.50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956.45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2.24</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2021</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3113.50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1449.77</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2.15</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3345.00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1432.37</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2.34</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3575.00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1542.22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2.32</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3675.00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1449.40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2.54</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3701.00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1528.82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2.42</w:t>
            </w:r>
          </w:p>
        </w:tc>
      </w:tr>
    </w:tbl>
    <w:p>
      <w:pPr>
        <w:pStyle w:val="5"/>
        <w:keepNext/>
        <w:numPr>
          <w:numId w:val="0"/>
        </w:numPr>
        <w:spacing w:line="360" w:lineRule="auto" w:before="160" w:after="120"/>
        <w:ind w:firstLine="0"/>
      </w:pPr>
      <w:bookmarkStart w:id="94" w:name="市区年度变化"/>
      <w:r>
        <w:rPr>
          <w:rFonts w:ascii="Times New Roman" w:hAnsi="Times New Roman" w:eastAsia="方正仿宋_GBK"/>
          <w:b/>
          <w:sz w:val="26"/>
        </w:rPr>
        <w:t xml:space="preserve">3.2.2 市区年度变化</w:t>
      </w:r>
      <w:bookmarkEnd w:id="94"/>
    </w:p>
    <w:p>
      <w:pPr>
        <w:pStyle w:val="FirstParagraph"/>
        <w:widowControl/>
        <w:spacing w:line="300" w:lineRule="auto" w:before="0" w:after="0"/>
        <w:ind w:firstLine="480"/>
        <w:jc w:val="both"/>
      </w:pPr>
      <w:r>
        <w:rPr>
          <w:rFonts w:ascii="Times New Roman" w:hAnsi="Times New Roman" w:eastAsia="方正仿宋_GBK"/>
          <w:b w:val="0"/>
          <w:sz w:val="24"/>
        </w:rPr>
        <w:t xml:space="preserve">市区2021年公用主变总容量为3113.50 MVA，年网供最大负荷估计为1449.77 MW。2022—2025年负荷分别为1432.37、1542.22、1449.40和1528.82 MW。该序列在2022年和2024年出现回落，体现了年际波动。</w:t>
      </w:r>
    </w:p>
    <w:p>
      <w:pPr>
        <w:pStyle w:val="2"/>
        <w:widowControl/>
        <w:spacing w:line="300" w:lineRule="auto" w:before="0" w:after="0"/>
        <w:ind w:firstLine="480"/>
        <w:jc w:val="both"/>
      </w:pPr>
      <w:r>
        <w:rPr>
          <w:rFonts w:ascii="Times New Roman" w:hAnsi="Times New Roman" w:eastAsia="方正仿宋_GBK"/>
          <w:b w:val="0"/>
          <w:sz w:val="24"/>
        </w:rPr>
        <w:t xml:space="preserve">市区29座仿真站保留样本负荷的空间分布，供电区域按A类规划。第五章以统一起点和平均增长情景进行方案比较。</w:t>
      </w:r>
    </w:p>
    <w:p>
      <w:pPr>
        <w:pStyle w:val="2"/>
        <w:keepNext/>
        <w:spacing w:line="240" w:lineRule="auto" w:before="120" w:after="0"/>
        <w:ind w:firstLine="0"/>
        <w:jc w:val="center"/>
      </w:pPr>
      <w:r>
        <w:drawing>
          <wp:inline>
            <wp:extent cx="5120640" cy="2787963"/>
            <wp:effectExtent b="0" l="0" r="0" t="0"/>
            <wp:docPr descr="" title="" id="1" name="Picture"/>
            <a:graphic>
              <a:graphicData uri="http://schemas.openxmlformats.org/drawingml/2006/picture">
                <pic:pic>
                  <pic:nvPicPr>
                    <pic:cNvPr descr="研究报告/02图表/当前版/annual_load.png" id="0" name="Picture"/>
                    <pic:cNvPicPr>
                      <a:picLocks noChangeArrowheads="1" noChangeAspect="1"/>
                    </pic:cNvPicPr>
                  </pic:nvPicPr>
                  <pic:blipFill>
                    <a:blip r:embed="rId95"/>
                    <a:stretch>
                      <a:fillRect/>
                    </a:stretch>
                  </pic:blipFill>
                  <pic:spPr bwMode="auto">
                    <a:xfrm>
                      <a:off x="0" y="0"/>
                      <a:ext cx="5120640" cy="2787963"/>
                    </a:xfrm>
                    <a:prstGeom prst="rect">
                      <a:avLst/>
                    </a:prstGeom>
                    <a:noFill/>
                    <a:ln w="9525">
                      <a:noFill/>
                      <a:headEnd/>
                      <a:tailEnd/>
                    </a:ln>
                  </pic:spPr>
                </pic:pic>
              </a:graphicData>
            </a:graphic>
          </wp:inline>
        </w:drawing>
      </w:r>
    </w:p>
    <w:p>
      <w:pPr>
        <w:pStyle w:val="2"/>
        <w:spacing w:line="300" w:lineRule="auto" w:before="60" w:after="120"/>
        <w:ind w:firstLine="0"/>
        <w:jc w:val="center"/>
      </w:pPr>
      <w:r>
        <w:rPr>
          <w:rFonts w:ascii="Times New Roman" w:hAnsi="Times New Roman" w:eastAsia="宋体"/>
          <w:b w:val="0"/>
          <w:sz w:val="21"/>
        </w:rPr>
        <w:t xml:space="preserve">图3-1 邳州和市区年网供最大负荷</w:t>
      </w:r>
    </w:p>
    <w:p>
      <w:pPr>
        <w:pStyle w:val="5"/>
        <w:keepNext/>
        <w:numPr>
          <w:numId w:val="0"/>
        </w:numPr>
        <w:spacing w:line="360" w:lineRule="auto" w:before="160" w:after="120"/>
        <w:ind w:firstLine="0"/>
      </w:pPr>
      <w:bookmarkStart w:id="96" w:name="年负荷平均增长率"/>
      <w:r>
        <w:rPr>
          <w:rFonts w:ascii="Times New Roman" w:hAnsi="Times New Roman" w:eastAsia="方正仿宋_GBK"/>
          <w:b/>
          <w:sz w:val="26"/>
        </w:rPr>
        <w:t xml:space="preserve">3.2.3 年负荷平均增长率</w:t>
      </w:r>
      <w:bookmarkEnd w:id="96"/>
    </w:p>
    <w:p>
      <w:pPr>
        <w:pStyle w:val="FirstParagraph"/>
        <w:widowControl/>
        <w:spacing w:line="300" w:lineRule="auto" w:before="0" w:after="0"/>
        <w:ind w:firstLine="480"/>
        <w:jc w:val="both"/>
      </w:pPr>
      <w:r>
        <w:rPr>
          <w:rFonts w:ascii="Times New Roman" w:hAnsi="Times New Roman" w:eastAsia="方正仿宋_GBK"/>
          <w:b w:val="0"/>
          <w:sz w:val="24"/>
        </w:rPr>
        <w:t xml:space="preserve">年度增长率按相邻年度原表负荷计算。对2022—2025年赋予1、2、3、4的权重，得到本研究平滑参数。式（3-1）为项目采用的统计方法；导则规定的年负荷平均增长率分档见表6.3.4，未规定上述权重[5]。</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r>
                      <m:t>g</m:t>
                    </m:r>
                  </m:e>
                  <m:sub>
                    <m:r>
                      <m:t>y</m:t>
                    </m:r>
                  </m:sub>
                </m:sSub>
                <m:r>
                  <m:t>=</m:t>
                </m:r>
                <m:sSub>
                  <m:e>
                    <m:r>
                      <m:t>P</m:t>
                    </m:r>
                  </m:e>
                  <m:sub>
                    <m:r>
                      <m:t>y</m:t>
                    </m:r>
                  </m:sub>
                </m:sSub>
                <m:r>
                  <m:t>/</m:t>
                </m:r>
                <m:sSub>
                  <m:e>
                    <m:r>
                      <m:t>P</m:t>
                    </m:r>
                  </m:e>
                  <m:sub>
                    <m:r>
                      <m:t>y</m:t>
                    </m:r>
                    <m:r>
                      <m:t>−</m:t>
                    </m:r>
                    <m:r>
                      <m:t>1</m:t>
                    </m:r>
                  </m:sub>
                </m:sSub>
                <m:r>
                  <m:t>−</m:t>
                </m:r>
                <m:r>
                  <m:t>1</m:t>
                </m:r>
                <m:r>
                  <m:t>,</m:t>
                </m:r>
                <m:r>
                  <m:t>  </m:t>
                </m:r>
                <m:acc>
                  <m:accPr>
                    <m:chr m:val="‾"/>
                  </m:accPr>
                  <m:e>
                    <m:r>
                      <m:t>g</m:t>
                    </m:r>
                  </m:e>
                </m:acc>
                <m:r>
                  <m:t>=</m:t>
                </m:r>
                <m:f>
                  <m:fPr>
                    <m:type m:val="bar"/>
                  </m:fPr>
                  <m:num>
                    <m:sSub>
                      <m:e>
                        <m:r>
                          <m:t>g</m:t>
                        </m:r>
                      </m:e>
                      <m:sub>
                        <m:r>
                          <m:t>2022</m:t>
                        </m:r>
                      </m:sub>
                    </m:sSub>
                    <m:r>
                      <m:t>+</m:t>
                    </m:r>
                    <m:r>
                      <m:t>2</m:t>
                    </m:r>
                    <m:sSub>
                      <m:e>
                        <m:r>
                          <m:t>g</m:t>
                        </m:r>
                      </m:e>
                      <m:sub>
                        <m:r>
                          <m:t>2023</m:t>
                        </m:r>
                      </m:sub>
                    </m:sSub>
                    <m:r>
                      <m:t>+</m:t>
                    </m:r>
                    <m:r>
                      <m:t>3</m:t>
                    </m:r>
                    <m:sSub>
                      <m:e>
                        <m:r>
                          <m:t>g</m:t>
                        </m:r>
                      </m:e>
                      <m:sub>
                        <m:r>
                          <m:t>2024</m:t>
                        </m:r>
                      </m:sub>
                    </m:sSub>
                    <m:r>
                      <m:t>+</m:t>
                    </m:r>
                    <m:r>
                      <m:t>4</m:t>
                    </m:r>
                    <m:sSub>
                      <m:e>
                        <m:r>
                          <m:t>g</m:t>
                        </m:r>
                      </m:e>
                      <m:sub>
                        <m:r>
                          <m:t>2025</m:t>
                        </m:r>
                      </m:sub>
                    </m:sSub>
                  </m:num>
                  <m:den>
                    <m:r>
                      <m:t>10</m:t>
                    </m:r>
                  </m:den>
                </m:f>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（3-1）</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
          <m:e>
            <m:r>
              <m:t>P</m:t>
            </m:r>
          </m:e>
          <m:sub>
            <m:r>
              <m:t>y</m:t>
            </m:r>
          </m:sub>
        </m:sSub>
      </m:oMath>
      <w:r>
        <w:rPr>
          <w:rFonts w:ascii="Times New Roman" w:hAnsi="Times New Roman" w:eastAsia="方正仿宋_GBK"/>
          <w:b w:val="0"/>
          <w:sz w:val="24"/>
        </w:rPr>
        <w:t xml:space="preserve">为第</w:t>
      </w:r>
      <m:oMath>
        <m:r>
          <m:t>y</m:t>
        </m:r>
      </m:oMath>
      <w:r>
        <w:rPr>
          <w:rFonts w:ascii="Times New Roman" w:hAnsi="Times New Roman" w:eastAsia="方正仿宋_GBK"/>
          <w:b w:val="0"/>
          <w:sz w:val="24"/>
        </w:rPr>
        <w:t xml:space="preserve">年网供最大负荷，单位MW，采用降压负荷估计；</w:t>
      </w:r>
      <m:oMath>
        <m:sSub>
          <m:e>
            <m:r>
              <m:t>g</m:t>
            </m:r>
          </m:e>
          <m:sub>
            <m:r>
              <m:t>y</m:t>
            </m:r>
          </m:sub>
        </m:sSub>
      </m:oMath>
      <w:r>
        <w:rPr>
          <w:rFonts w:ascii="Times New Roman" w:hAnsi="Times New Roman" w:eastAsia="方正仿宋_GBK"/>
          <w:b w:val="0"/>
          <w:sz w:val="24"/>
        </w:rPr>
        <w:t xml:space="preserve">为该年同比增长率，</w:t>
      </w:r>
      <m:oMath>
        <m:acc>
          <m:accPr>
            <m:chr m:val="‾"/>
          </m:accPr>
          <m:e>
            <m:r>
              <m:t>g</m:t>
            </m:r>
          </m:e>
        </m:acc>
      </m:oMath>
      <w:r>
        <w:rPr>
          <w:rFonts w:ascii="Times New Roman" w:hAnsi="Times New Roman" w:eastAsia="方正仿宋_GBK"/>
          <w:b w:val="0"/>
          <w:sz w:val="24"/>
        </w:rPr>
        <w:t xml:space="preserve">为年负荷平均增长率，均为无量纲量。本研究采用递增权重估计该参数。邳州加权平均为8.07%，市区为1.80%。按加权增长率对应导则建议分档，邳州为1.80～2.00，市区为1.50～1.70。邳州复合增长率为6.92%，与加权值8.07%跨越7.00%分档节点，因此其容量储备应同时比较两种增长情景；市区三种方法均处于较低增长档。该分档用于解释一般规划参考值，本研究刚性统一上限2.00仍为项目方案设定。</w:t>
      </w:r>
    </w:p>
    <w:p>
      <w:pPr>
        <w:pStyle w:val="2"/>
        <w:keepNext/>
        <w:spacing w:line="300" w:lineRule="auto" w:before="120" w:after="80"/>
        <w:ind w:firstLine="0"/>
        <w:jc w:val="center"/>
      </w:pPr>
      <w:r>
        <w:rPr>
          <w:rFonts w:ascii="Times New Roman" w:hAnsi="Times New Roman" w:eastAsia="宋体"/>
          <w:b w:val="0"/>
          <w:sz w:val="21"/>
        </w:rPr>
        <w:t xml:space="preserve">表3-2 年负荷平均增长率计算（式3-1）</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地区</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年份</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同比增长率</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权重</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12.74%</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2023</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-7.73%</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2024</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13.32%</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2025</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10.87%</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年负荷平均增长率</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8.07%</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Σ权重=10</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-1.20%</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2023</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7.67%</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2024</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-6.02%</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2025</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5.48%</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年负荷平均增长率</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1.80%</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Σ权重=10</w:t>
            </w:r>
          </w:p>
        </w:tc>
      </w:tr>
    </w:tbl>
    <w:p>
      <w:pPr>
        <w:pStyle w:val="2"/>
        <w:widowControl/>
        <w:spacing w:line="300" w:lineRule="auto" w:before="0" w:after="0"/>
        <w:ind w:firstLine="480"/>
        <w:jc w:val="both"/>
      </w:pPr>
      <w:r>
        <w:rPr>
          <w:rFonts w:ascii="Times New Roman" w:hAnsi="Times New Roman" w:eastAsia="方正仿宋_GBK"/>
          <w:b w:val="0"/>
          <w:sz w:val="24"/>
        </w:rPr>
        <w:t xml:space="preserve">本次规划将上述加权增长率作为未来四年的统一增长假定。滚动规划时，使用最近五年的同范围负荷，重新计算四个同比增长率，并沿用1∶2∶3∶4权重。若区县或电压等级统计范围发生变化，应先调整为同一范围。</w:t>
      </w:r>
    </w:p>
    <w:p>
      <w:pPr>
        <w:pStyle w:val="2"/>
        <w:keepNext/>
        <w:spacing w:line="300" w:lineRule="auto" w:before="120" w:after="80"/>
        <w:ind w:firstLine="0"/>
        <w:jc w:val="center"/>
      </w:pPr>
      <w:r>
        <w:rPr>
          <w:rFonts w:ascii="Times New Roman" w:hAnsi="Times New Roman" w:eastAsia="宋体"/>
          <w:b w:val="0"/>
          <w:sz w:val="21"/>
        </w:rPr>
        <w:t xml:space="preserve">表3-3 三种年增长率估计方法</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地区</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递增加权平均</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四年等权平均</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四年复合增长率</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8.07%</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7.30%</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6.92%</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1.80%</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1.48%</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1.34%</w:t>
            </w:r>
          </w:p>
        </w:tc>
      </w:tr>
    </w:tbl>
    <w:p>
      <w:pPr>
        <w:pStyle w:val="5"/>
        <w:keepNext/>
        <w:numPr>
          <w:numId w:val="0"/>
        </w:numPr>
        <w:spacing w:line="360" w:lineRule="auto" w:before="160" w:after="120"/>
        <w:ind w:firstLine="0"/>
      </w:pPr>
      <w:bookmarkStart w:id="97" w:name="历史统计与规划仿真的衔接"/>
      <w:r>
        <w:rPr>
          <w:rFonts w:ascii="Times New Roman" w:hAnsi="Times New Roman" w:eastAsia="方正仿宋_GBK"/>
          <w:b/>
          <w:sz w:val="26"/>
        </w:rPr>
        <w:t xml:space="preserve">3.2.4 历史统计与规划仿真的衔接</w:t>
      </w:r>
      <w:bookmarkEnd w:id="97"/>
    </w:p>
    <w:p>
      <w:pPr>
        <w:pStyle w:val="FirstParagraph"/>
        <w:widowControl/>
        <w:spacing w:line="300" w:lineRule="auto" w:before="0" w:after="0"/>
        <w:ind w:firstLine="480"/>
        <w:jc w:val="both"/>
      </w:pPr>
      <w:r>
        <w:rPr>
          <w:rFonts w:ascii="Times New Roman" w:hAnsi="Times New Roman" w:eastAsia="方正仿宋_GBK"/>
          <w:b w:val="0"/>
          <w:sz w:val="24"/>
        </w:rPr>
        <w:t xml:space="preserve">2021—2025年实际容量和负荷用于描述年度变化、估计年负荷平均增长率。规划仿真保留两地区各自的离散设备结构，将基期年网供最大负荷标定为主变总容量的二分之一，再按平均增长率推演后续四年需求。站级正向、反向净负荷采用2025年空间分布同步缩放，峰段持续时间采用2025年模板。第五章列出仿真起点及年度负荷，便于将历史分析与规划结果对应。</w:t>
      </w:r>
    </w:p>
    <w:p>
      <w:bookmarkStart w:id="1250" w:name="h250"/>
      <w:pPr>
        <w:pStyle w:val="4"/>
        <w:keepNext/>
        <w:numPr>
          <w:numId w:val="0"/>
        </w:numPr>
        <w:spacing w:line="360" w:lineRule="auto" w:before="160" w:after="120"/>
        <w:ind w:firstLine="0"/>
      </w:pPr>
      <w:bookmarkStart w:id="98" w:name="分布式光伏装机与电量"/>
      <w:r>
        <w:rPr>
          <w:rFonts w:ascii="Times New Roman" w:hAnsi="Times New Roman" w:eastAsia="方正仿宋_GBK"/>
          <w:b/>
          <w:sz w:val="32"/>
        </w:rPr>
        <w:t xml:space="preserve">3.3 分布式光伏装机与电量</w:t>
      </w:r>
      <w:bookmarkEnd w:id="98"/>
      <w:bookmarkEnd w:id="1250"/>
    </w:p>
    <w:p>
      <w:pPr>
        <w:pStyle w:val="5"/>
        <w:keepNext/>
        <w:numPr>
          <w:numId w:val="0"/>
        </w:numPr>
        <w:spacing w:line="360" w:lineRule="auto" w:before="160" w:after="120"/>
        <w:ind w:firstLine="0"/>
      </w:pPr>
      <w:bookmarkStart w:id="99" w:name="装机规模与月度变化"/>
      <w:r>
        <w:rPr>
          <w:rFonts w:ascii="Times New Roman" w:hAnsi="Times New Roman" w:eastAsia="方正仿宋_GBK"/>
          <w:b/>
          <w:sz w:val="26"/>
        </w:rPr>
        <w:t xml:space="preserve">3.3.1 装机规模与月度变化</w:t>
      </w:r>
      <w:bookmarkEnd w:id="99"/>
    </w:p>
    <w:p>
      <w:pPr>
        <w:pStyle w:val="FirstParagraph"/>
        <w:widowControl/>
        <w:spacing w:line="300" w:lineRule="auto" w:before="0" w:after="0"/>
        <w:ind w:firstLine="480"/>
        <w:jc w:val="both"/>
      </w:pPr>
      <w:r>
        <w:rPr>
          <w:rFonts w:ascii="Times New Roman" w:hAnsi="Times New Roman" w:eastAsia="方正仿宋_GBK"/>
          <w:b w:val="0"/>
          <w:sz w:val="24"/>
        </w:rPr>
        <w:t xml:space="preserve">按项目统一单位口径，邳州年末分布式光伏装机容量由2023年564.70 MW增加到2024年1126.58 MW、2025年1559.64 MW；市区同期为253.68、362.44和491.18 MW。光伏原表未注明数值单位，本研究采用原值乘10换算为MW的建模假定；原格定位与单位核定事项见独立数据来源说明。月度原表从2023年开始，2021—2022年没有相同来源装机记录，图中前两年保留回推标记。</w:t>
      </w:r>
    </w:p>
    <w:p>
      <w:pPr>
        <w:pStyle w:val="2"/>
        <w:widowControl/>
        <w:spacing w:line="300" w:lineRule="auto" w:before="0" w:after="0"/>
        <w:ind w:firstLine="480"/>
        <w:jc w:val="both"/>
      </w:pPr>
      <w:r>
        <w:rPr>
          <w:rFonts w:ascii="Times New Roman" w:hAnsi="Times New Roman" w:eastAsia="方正仿宋_GBK"/>
          <w:b w:val="0"/>
          <w:sz w:val="24"/>
        </w:rPr>
        <w:t xml:space="preserve">年度发电量采用相邻月末容量的平均值乘逐时出力系数累加，计入年内容量投运变化。</w:t>
      </w:r>
    </w:p>
    <w:p>
      <w:pPr>
        <w:pStyle w:val="2"/>
        <w:widowControl/>
        <w:spacing w:line="300" w:lineRule="auto" w:before="0" w:after="0"/>
        <w:ind w:firstLine="480"/>
        <w:jc w:val="both"/>
      </w:pPr>
      <w:r>
        <w:rPr>
          <w:rFonts w:ascii="Times New Roman" w:hAnsi="Times New Roman" w:eastAsia="方正仿宋_GBK"/>
          <w:b w:val="0"/>
          <w:sz w:val="24"/>
        </w:rPr>
        <w:t xml:space="preserve">2021—2022年没有同口径月末装机记录，模型按同月2023、2024年的规模关系几何回推。先固定月份，再沿年份回推，可以保留年内季节性投运差异。月末装机回推按式（3-2）计算，结果用于分析装机发展条件。</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sSub>
                        <m:e>
                          <m:acc>
                            <m:accPr>
                              <m:chr m:val="̂"/>
                            </m:accPr>
                            <m:e>
                              <m:r>
                                <m:t>C</m:t>
                              </m:r>
                            </m:e>
                          </m:acc>
                        </m:e>
                        <m:sub>
                          <m:r>
                            <m:t>y</m:t>
                          </m:r>
                          <m:r>
                            <m:t>,</m:t>
                          </m:r>
                          <m:r>
                            <m:t>m</m:t>
                          </m:r>
                        </m:sub>
                      </m:sSub>
                    </m:e>
                    <m:e>
                      <m:r>
                        <m:t>=</m:t>
                      </m:r>
                      <m:sSub>
                        <m:e>
                          <m:r>
                            <m:t>C</m:t>
                          </m:r>
                        </m:e>
                        <m:sub>
                          <m:r>
                            <m:t>2023</m:t>
                          </m:r>
                          <m:r>
                            <m:t>,</m:t>
                          </m:r>
                          <m:r>
                            <m:t>m</m:t>
                          </m:r>
                        </m:sub>
                      </m:sSub>
                      <m:sSup>
                        <m:e>
                          <m:d>
                            <m:dPr>
                              <m:begChr m:val="("/>
                              <m:endChr m:val=")"/>
                              <m:grow/>
                            </m:dPr>
                            <m:e>
                              <m:f>
                                <m:fPr>
                                  <m:type m:val="bar"/>
                                </m:fPr>
                                <m:num>
                                  <m:sSub>
                                    <m:e>
                                      <m:r>
                                        <m:t>C</m:t>
                                      </m:r>
                                    </m:e>
                                    <m:sub>
                                      <m:r>
                                        <m:t>2023</m:t>
                                      </m:r>
                                      <m:r>
                                        <m:t>,</m:t>
                                      </m:r>
                                      <m:r>
                                        <m:t>m</m:t>
                                      </m:r>
                                    </m:sub>
                                  </m:sSub>
                                </m:num>
                                <m:den>
                                  <m:sSub>
                                    <m:e>
                                      <m:r>
                                        <m:t>C</m:t>
                                      </m:r>
                                    </m:e>
                                    <m:sub>
                                      <m:r>
                                        <m:t>2024</m:t>
                                      </m:r>
                                      <m:r>
                                        <m:t>,</m:t>
                                      </m:r>
                                      <m:r>
                                        <m:t>m</m:t>
                                      </m:r>
                                    </m:sub>
                                  </m:sSub>
                                </m:den>
                              </m:f>
                            </m:e>
                          </m:d>
                        </m:e>
                        <m:sup>
                          <m:r>
                            <m:t>2023</m:t>
                          </m:r>
                          <m:r>
                            <m:t>−</m:t>
                          </m:r>
                          <m:r>
                            <m:t>y</m:t>
                          </m:r>
                        </m:sup>
                      </m:sSup>
                    </m:e>
                  </m:mr>
                  <m:mr>
                    <m:e>
                      <m:r>
                        <m:t>y</m:t>
                      </m:r>
                    </m:e>
                    <m:e>
                      <m:r>
                        <m:t>=</m:t>
                      </m:r>
                      <m:r>
                        <m:t>2021</m:t>
                      </m:r>
                      <m:r>
                        <m:t>,</m:t>
                      </m:r>
                      <m:r>
                        <m:t>2022</m:t>
                      </m:r>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（3-2）</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
          <m:e>
            <m:acc>
              <m:accPr>
                <m:chr m:val="̂"/>
              </m:accPr>
              <m:e>
                <m:r>
                  <m:t>C</m:t>
                </m:r>
              </m:e>
            </m:acc>
          </m:e>
          <m:sub>
            <m:r>
              <m:t>y</m:t>
            </m:r>
            <m:r>
              <m:t>,</m:t>
            </m:r>
            <m:r>
              <m:t>m</m:t>
            </m:r>
          </m:sub>
        </m:sSub>
      </m:oMath>
      <w:r>
        <w:rPr>
          <w:rFonts w:ascii="Times New Roman" w:hAnsi="Times New Roman" w:eastAsia="方正仿宋_GBK"/>
          <w:b w:val="0"/>
          <w:sz w:val="24"/>
        </w:rPr>
        <w:t xml:space="preserve">为第</w:t>
      </w:r>
      <m:oMath>
        <m:r>
          <m:t>y</m:t>
        </m:r>
      </m:oMath>
      <w:r>
        <w:rPr>
          <w:rFonts w:ascii="Times New Roman" w:hAnsi="Times New Roman" w:eastAsia="方正仿宋_GBK"/>
          <w:b w:val="0"/>
          <w:sz w:val="24"/>
        </w:rPr>
        <w:t xml:space="preserve">年第</w:t>
      </w:r>
      <m:oMath>
        <m:r>
          <m:t>m</m:t>
        </m:r>
      </m:oMath>
      <w:r>
        <w:rPr>
          <w:rFonts w:ascii="Times New Roman" w:hAnsi="Times New Roman" w:eastAsia="方正仿宋_GBK"/>
          <w:b w:val="0"/>
          <w:sz w:val="24"/>
        </w:rPr>
        <w:t xml:space="preserve">月末光伏装机容量估计值，</w:t>
      </w:r>
      <m:oMath>
        <m:sSub>
          <m:e>
            <m:r>
              <m:t>C</m:t>
            </m:r>
          </m:e>
          <m:sub>
            <m:r>
              <m:t>2023</m:t>
            </m:r>
            <m:r>
              <m:t>,</m:t>
            </m:r>
            <m:r>
              <m:t>m</m:t>
            </m:r>
          </m:sub>
        </m:sSub>
      </m:oMath>
      <w:r>
        <w:rPr>
          <w:rFonts w:ascii="Times New Roman" w:hAnsi="Times New Roman" w:eastAsia="方正仿宋_GBK"/>
          <w:b w:val="0"/>
          <w:sz w:val="24"/>
        </w:rPr>
        <w:t xml:space="preserve">、</w:t>
      </w:r>
      <m:oMath>
        <m:sSub>
          <m:e>
            <m:r>
              <m:t>C</m:t>
            </m:r>
          </m:e>
          <m:sub>
            <m:r>
              <m:t>2024</m:t>
            </m:r>
            <m:r>
              <m:t>,</m:t>
            </m:r>
            <m:r>
              <m:t>m</m:t>
            </m:r>
          </m:sub>
        </m:sSub>
      </m:oMath>
      <w:r>
        <w:rPr>
          <w:rFonts w:ascii="Times New Roman" w:hAnsi="Times New Roman" w:eastAsia="方正仿宋_GBK"/>
          <w:b w:val="0"/>
          <w:sz w:val="24"/>
        </w:rPr>
        <w:t xml:space="preserve">为对应月份记录，单位MW；</w:t>
      </w:r>
      <m:oMath>
        <m:r>
          <m:t>y</m:t>
        </m:r>
      </m:oMath>
      <w:r>
        <w:rPr>
          <w:rFonts w:ascii="Times New Roman" w:hAnsi="Times New Roman" w:eastAsia="方正仿宋_GBK"/>
          <w:b w:val="0"/>
          <w:sz w:val="24"/>
        </w:rPr>
        <w:t xml:space="preserve">为年份，</w:t>
      </w:r>
      <m:oMath>
        <m:r>
          <m:t>m</m:t>
        </m:r>
      </m:oMath>
      <w:r>
        <w:rPr>
          <w:rFonts w:ascii="Times New Roman" w:hAnsi="Times New Roman" w:eastAsia="方正仿宋_GBK"/>
          <w:b w:val="0"/>
          <w:sz w:val="24"/>
        </w:rPr>
        <w:t xml:space="preserve">为月份。</w:t>
      </w:r>
    </w:p>
    <w:p>
      <w:pPr>
        <w:pStyle w:val="2"/>
        <w:keepNext/>
        <w:spacing w:line="300" w:lineRule="auto" w:before="120" w:after="80"/>
        <w:ind w:firstLine="0"/>
        <w:jc w:val="center"/>
      </w:pPr>
      <w:r>
        <w:rPr>
          <w:rFonts w:ascii="Times New Roman" w:hAnsi="Times New Roman" w:eastAsia="宋体"/>
          <w:b w:val="0"/>
          <w:sz w:val="21"/>
        </w:rPr>
        <w:t xml:space="preserve">表3-4 年末分布式光伏装机容量</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地区</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2021年/MW</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2022年/MW</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2023年/MW</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2024年/MW</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2025年/MW</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141.89</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283.06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564.70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1126.58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1559.64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124.28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177.56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253.68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362.44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491.18</w:t>
            </w:r>
          </w:p>
        </w:tc>
      </w:tr>
    </w:tbl>
    <w:p>
      <w:pPr>
        <w:pStyle w:val="2"/>
        <w:keepNext/>
        <w:spacing w:line="240" w:lineRule="auto" w:before="120" w:after="0"/>
        <w:ind w:firstLine="0"/>
        <w:jc w:val="center"/>
      </w:pPr>
      <w:r>
        <w:drawing>
          <wp:inline>
            <wp:extent cx="5120640" cy="3646082"/>
            <wp:effectExtent b="0" l="0" r="0" t="0"/>
            <wp:docPr descr="" title="" id="1" name="Picture"/>
            <a:graphic>
              <a:graphicData uri="http://schemas.openxmlformats.org/drawingml/2006/picture">
                <pic:pic>
                  <pic:nvPicPr>
                    <pic:cNvPr descr="研究报告/02图表/当前版/pv_monthly.png" id="0" name="Picture"/>
                    <pic:cNvPicPr>
                      <a:picLocks noChangeArrowheads="1" noChangeAspect="1"/>
                    </pic:cNvPicPr>
                  </pic:nvPicPr>
                  <pic:blipFill>
                    <a:blip r:embed="rId100"/>
                    <a:stretch>
                      <a:fillRect/>
                    </a:stretch>
                  </pic:blipFill>
                  <pic:spPr bwMode="auto">
                    <a:xfrm>
                      <a:off x="0" y="0"/>
                      <a:ext cx="5120640" cy="3646082"/>
                    </a:xfrm>
                    <a:prstGeom prst="rect">
                      <a:avLst/>
                    </a:prstGeom>
                    <a:noFill/>
                    <a:ln w="9525">
                      <a:noFill/>
                      <a:headEnd/>
                      <a:tailEnd/>
                    </a:ln>
                  </pic:spPr>
                </pic:pic>
              </a:graphicData>
            </a:graphic>
          </wp:inline>
        </w:drawing>
      </w:r>
    </w:p>
    <w:p>
      <w:pPr>
        <w:pStyle w:val="2"/>
        <w:spacing w:line="300" w:lineRule="auto" w:before="60" w:after="120"/>
        <w:ind w:firstLine="0"/>
        <w:jc w:val="center"/>
      </w:pPr>
      <w:r>
        <w:rPr>
          <w:rFonts w:ascii="Times New Roman" w:hAnsi="Times New Roman" w:eastAsia="宋体"/>
          <w:b w:val="0"/>
          <w:sz w:val="21"/>
        </w:rPr>
        <w:t xml:space="preserve">图3-2 2021—2025年月末分布式光伏装机容量</w:t>
      </w:r>
    </w:p>
    <w:p>
      <w:pPr>
        <w:pStyle w:val="5"/>
        <w:keepNext/>
        <w:numPr>
          <w:numId w:val="0"/>
        </w:numPr>
        <w:spacing w:line="360" w:lineRule="auto" w:before="160" w:after="120"/>
        <w:ind w:firstLine="0"/>
      </w:pPr>
      <w:bookmarkStart w:id="101" w:name="年发电量估计方法"/>
      <w:r>
        <w:rPr>
          <w:rFonts w:ascii="Times New Roman" w:hAnsi="Times New Roman" w:eastAsia="方正仿宋_GBK"/>
          <w:b/>
          <w:sz w:val="26"/>
        </w:rPr>
        <w:t xml:space="preserve">3.3.2 年发电量估计方法</w:t>
      </w:r>
      <w:bookmarkEnd w:id="101"/>
    </w:p>
    <w:p>
      <w:pPr>
        <w:pStyle w:val="FirstParagraph"/>
        <w:widowControl/>
        <w:spacing w:line="300" w:lineRule="auto" w:before="0" w:after="0"/>
        <w:ind w:firstLine="480"/>
        <w:jc w:val="both"/>
      </w:pPr>
      <w:r>
        <w:rPr>
          <w:rFonts w:ascii="Times New Roman" w:hAnsi="Times New Roman" w:eastAsia="方正仿宋_GBK"/>
          <w:b w:val="0"/>
          <w:sz w:val="24"/>
        </w:rPr>
        <w:t xml:space="preserve">光伏发电量由月度装机与统一典型出力曲线估计。对月份</w:t>
      </w:r>
      <m:oMath>
        <m:r>
          <m:t>m</m:t>
        </m:r>
      </m:oMath>
      <w:r>
        <w:rPr>
          <w:rFonts w:ascii="Times New Roman" w:hAnsi="Times New Roman" w:eastAsia="方正仿宋_GBK"/>
          <w:b w:val="0"/>
          <w:sz w:val="24"/>
        </w:rPr>
        <w:t xml:space="preserve">，使用本月末和前月末容量均值；1月前月取2024年12月。式（3-3）为本研究积分估计方法，典型出力系数来自原始光伏曲线。</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acc>
                      <m:accPr>
                        <m:chr m:val="̂"/>
                      </m:accPr>
                      <m:e>
                        <m:r>
                          <m:t>E</m:t>
                        </m:r>
                      </m:e>
                    </m:acc>
                  </m:e>
                  <m:sub>
                    <m:r>
                      <m:rPr>
                        <m:sty m:val="p"/>
                      </m:rPr>
                      <m:t>P</m:t>
                    </m:r>
                    <m:r>
                      <m:rPr>
                        <m:sty m:val="p"/>
                      </m:rPr>
                      <m:t>V</m:t>
                    </m:r>
                  </m:sub>
                </m:sSub>
                <m:r>
                  <m:t>=</m:t>
                </m:r>
                <m:nary>
                  <m:naryPr>
                    <m:chr m:val="∑"/>
                    <m:limLoc m:val="undOvr"/>
                    <m:subHide m:val="0"/>
                    <m:supHide m:val="0"/>
                  </m:naryPr>
                  <m:sub>
                    <m:r>
                      <m:t>m</m:t>
                    </m:r>
                    <m:r>
                      <m:t>=</m:t>
                    </m:r>
                    <m:r>
                      <m:t>1</m:t>
                    </m:r>
                  </m:sub>
                  <m:sup>
                    <m:r>
                      <m:t>12</m:t>
                    </m:r>
                  </m:sup>
                  <m:e>
                    <m:nary>
                      <m:naryPr>
                        <m:chr m:val="∑"/>
                        <m:limLoc m:val="undOvr"/>
                        <m:subHide m:val="0"/>
                        <m:supHide m:val="1"/>
                      </m:naryPr>
                      <m:sub>
                        <m:r>
                          <m:t>t</m:t>
                        </m:r>
                        <m:r>
                          <m:t>∈</m:t>
                        </m:r>
                        <m:r>
                          <m:t>m</m:t>
                        </m:r>
                      </m:sub>
                      <m:sup>
                        <m:r>
                          <m:t>​</m:t>
                        </m:r>
                      </m:sup>
                      <m:e>
                        <m:sSub>
                          <m:e>
                            <m:r>
                              <m:t>ϕ</m:t>
                            </m:r>
                          </m:e>
                          <m:sub>
                            <m:r>
                              <m:t>t</m:t>
                            </m:r>
                          </m:sub>
                        </m:sSub>
                      </m:e>
                    </m:nary>
                  </m:e>
                </m:nary>
                <m:f>
                  <m:fPr>
                    <m:type m:val="bar"/>
                  </m:fPr>
                  <m:num>
                    <m:sSub>
                      <m:e>
                        <m:r>
                          <m:t>C</m:t>
                        </m:r>
                      </m:e>
                      <m:sub>
                        <m:r>
                          <m:t>m</m:t>
                        </m:r>
                      </m:sub>
                    </m:sSub>
                    <m:r>
                      <m:t>+</m:t>
                    </m:r>
                    <m:sSub>
                      <m:e>
                        <m:r>
                          <m:t>C</m:t>
                        </m:r>
                      </m:e>
                      <m:sub>
                        <m:r>
                          <m:t>m</m:t>
                        </m:r>
                        <m:r>
                          <m:t>−</m:t>
                        </m:r>
                        <m:r>
                          <m:t>1</m:t>
                        </m:r>
                      </m:sub>
                    </m:sSub>
                  </m:num>
                  <m:den>
                    <m:r>
                      <m:t>2</m:t>
                    </m:r>
                  </m:den>
                </m:f>
                <m:r>
                  <m:t>Δ</m:t>
                </m:r>
                <m:r>
                  <m:t>t</m:t>
                </m:r>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（3-3）</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
          <m:e>
            <m:acc>
              <m:accPr>
                <m:chr m:val="̂"/>
              </m:accPr>
              <m:e>
                <m:r>
                  <m:t>E</m:t>
                </m:r>
              </m:e>
            </m:acc>
          </m:e>
          <m:sub>
            <m:r>
              <m:rPr>
                <m:sty m:val="p"/>
              </m:rPr>
              <m:t>P</m:t>
            </m:r>
            <m:r>
              <m:rPr>
                <m:sty m:val="p"/>
              </m:rPr>
              <m:t>V</m:t>
            </m:r>
          </m:sub>
        </m:sSub>
      </m:oMath>
      <w:r>
        <w:rPr>
          <w:rFonts w:ascii="Times New Roman" w:hAnsi="Times New Roman" w:eastAsia="方正仿宋_GBK"/>
          <w:b w:val="0"/>
          <w:sz w:val="24"/>
        </w:rPr>
        <w:t xml:space="preserve">为估计光伏年发电量，单位MWh；</w:t>
      </w:r>
      <m:oMath>
        <m:sSub>
          <m:e>
            <m:r>
              <m:t>C</m:t>
            </m:r>
          </m:e>
          <m:sub>
            <m:r>
              <m:t>m</m:t>
            </m:r>
          </m:sub>
        </m:sSub>
      </m:oMath>
      <w:r>
        <w:rPr>
          <w:rFonts w:ascii="Times New Roman" w:hAnsi="Times New Roman" w:eastAsia="方正仿宋_GBK"/>
          <w:b w:val="0"/>
          <w:sz w:val="24"/>
        </w:rPr>
        <w:t xml:space="preserve">和</w:t>
      </w:r>
      <m:oMath>
        <m:sSub>
          <m:e>
            <m:r>
              <m:t>C</m:t>
            </m:r>
          </m:e>
          <m:sub>
            <m:r>
              <m:t>m</m:t>
            </m:r>
            <m:r>
              <m:t>−</m:t>
            </m:r>
            <m:r>
              <m:t>1</m:t>
            </m:r>
          </m:sub>
        </m:sSub>
      </m:oMath>
      <w:r>
        <w:rPr>
          <w:rFonts w:ascii="Times New Roman" w:hAnsi="Times New Roman" w:eastAsia="方正仿宋_GBK"/>
          <w:b w:val="0"/>
          <w:sz w:val="24"/>
        </w:rPr>
        <w:t xml:space="preserve">分别为本月及前月末光伏装机，单位MW；</w:t>
      </w:r>
      <m:oMath>
        <m:sSub>
          <m:e>
            <m:r>
              <m:t>ϕ</m:t>
            </m:r>
          </m:e>
          <m:sub>
            <m:r>
              <m:t>t</m:t>
            </m:r>
          </m:sub>
        </m:sSub>
      </m:oMath>
      <w:r>
        <w:rPr>
          <w:rFonts w:ascii="Times New Roman" w:hAnsi="Times New Roman" w:eastAsia="方正仿宋_GBK"/>
          <w:b w:val="0"/>
          <w:sz w:val="24"/>
        </w:rPr>
        <w:t xml:space="preserve">为时刻</w:t>
      </w:r>
      <m:oMath>
        <m:r>
          <m:t>t</m:t>
        </m:r>
      </m:oMath>
      <w:r>
        <w:rPr>
          <w:rFonts w:ascii="Times New Roman" w:hAnsi="Times New Roman" w:eastAsia="方正仿宋_GBK"/>
          <w:b w:val="0"/>
          <w:sz w:val="24"/>
        </w:rPr>
        <w:t xml:space="preserve">的典型光伏出力系数，</w:t>
      </w:r>
      <m:oMath>
        <m:r>
          <m:t>Δ</m:t>
        </m:r>
        <m:r>
          <m:t>t</m:t>
        </m:r>
      </m:oMath>
      <w:r>
        <w:rPr>
          <w:rFonts w:ascii="Times New Roman" w:hAnsi="Times New Roman" w:eastAsia="方正仿宋_GBK"/>
          <w:b w:val="0"/>
          <w:sz w:val="24"/>
        </w:rPr>
        <w:t xml:space="preserve">为1</w:t>
      </w:r>
      <w:r>
        <w:rPr>
          <w:rFonts w:ascii="Times New Roman" w:hAnsi="Times New Roman" w:eastAsia="方正仿宋_GBK"/>
          <w:b w:val="0"/>
          <w:sz w:val="24"/>
        </w:rPr>
        <w:t xml:space="preserve"> </w:t>
      </w:r>
      <m:oMath>
        <m:r>
          <m:t>h</m:t>
        </m:r>
      </m:oMath>
      <w:r>
        <w:rPr>
          <w:rFonts w:ascii="Times New Roman" w:hAnsi="Times New Roman" w:eastAsia="方正仿宋_GBK"/>
          <w:b w:val="0"/>
          <w:sz w:val="24"/>
        </w:rPr>
        <w:t xml:space="preserve">，</w:t>
      </w:r>
      <m:oMath>
        <m:r>
          <m:t>m</m:t>
        </m:r>
      </m:oMath>
      <w:r>
        <w:rPr>
          <w:rFonts w:ascii="Times New Roman" w:hAnsi="Times New Roman" w:eastAsia="方正仿宋_GBK"/>
          <w:b w:val="0"/>
          <w:sz w:val="24"/>
        </w:rPr>
        <w:t xml:space="preserve">为月份。典型出力曲线采用项目系统光伏资料，计算值用于区县光伏电量估计。</w:t>
      </w:r>
    </w:p>
    <w:p>
      <w:pPr>
        <w:pStyle w:val="2"/>
        <w:widowControl/>
        <w:spacing w:line="300" w:lineRule="auto" w:before="0" w:after="0"/>
        <w:ind w:firstLine="480"/>
        <w:jc w:val="both"/>
      </w:pPr>
      <w:r>
        <w:rPr>
          <w:rFonts w:ascii="Times New Roman" w:hAnsi="Times New Roman" w:eastAsia="方正仿宋_GBK"/>
          <w:b w:val="0"/>
          <w:sz w:val="24"/>
        </w:rPr>
        <w:t xml:space="preserve">按该方法，邳州2025年发电量估计为1698270.73 MWh，市区为590451.12 MWh。数值的小数位用于复算，规划文字采用适当精度。不同地区的年内投运速度和月末装机差异均进入计算，未把年末规模直接应用于全年。</w:t>
      </w:r>
    </w:p>
    <w:p>
      <w:pPr>
        <w:pStyle w:val="5"/>
        <w:keepNext/>
        <w:numPr>
          <w:numId w:val="0"/>
        </w:numPr>
        <w:spacing w:line="360" w:lineRule="auto" w:before="160" w:after="120"/>
        <w:ind w:firstLine="0"/>
      </w:pPr>
      <w:bookmarkStart w:id="102" w:name="用户最大负荷与分布式电源装机渗透率"/>
      <w:r>
        <w:rPr>
          <w:rFonts w:ascii="Times New Roman" w:hAnsi="Times New Roman" w:eastAsia="方正仿宋_GBK"/>
          <w:b/>
          <w:sz w:val="26"/>
        </w:rPr>
        <w:t xml:space="preserve">3.3.3 用户最大负荷与分布式电源装机渗透率</w:t>
      </w:r>
      <w:bookmarkEnd w:id="102"/>
    </w:p>
    <w:p>
      <w:pPr>
        <w:pStyle w:val="FirstParagraph"/>
        <w:widowControl/>
        <w:spacing w:line="300" w:lineRule="auto" w:before="0" w:after="0"/>
        <w:ind w:firstLine="480"/>
        <w:jc w:val="both"/>
      </w:pPr>
      <w:r>
        <w:rPr>
          <w:rFonts w:ascii="Times New Roman" w:hAnsi="Times New Roman" w:eastAsia="方正仿宋_GBK"/>
          <w:b w:val="0"/>
          <w:sz w:val="24"/>
        </w:rPr>
        <w:t xml:space="preserve">分布式电源装机渗透率采用《配电网规划设计技术导则（修订稿，2025年4月）》的指标定义，作为描述源荷条件的研究参数[7]。</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r>
                      <m:t>η</m:t>
                    </m:r>
                  </m:e>
                  <m:sub>
                    <m:r>
                      <m:t>C</m:t>
                    </m:r>
                  </m:sub>
                </m:sSub>
                <m:r>
                  <m:t>=</m:t>
                </m:r>
                <m:f>
                  <m:fPr>
                    <m:type m:val="bar"/>
                  </m:fPr>
                  <m:num>
                    <m:sSub>
                      <m:e>
                        <m:r>
                          <m:t>C</m:t>
                        </m:r>
                      </m:e>
                      <m:sub>
                        <m:r>
                          <m:rPr>
                            <m:sty m:val="p"/>
                          </m:rPr>
                          <m:t>D</m:t>
                        </m:r>
                        <m:r>
                          <m:rPr>
                            <m:sty m:val="p"/>
                          </m:rPr>
                          <m:t>G</m:t>
                        </m:r>
                      </m:sub>
                    </m:sSub>
                  </m:num>
                  <m:den>
                    <m:sSub>
                      <m:e>
                        <m:r>
                          <m:t>P</m:t>
                        </m:r>
                      </m:e>
                      <m:sub>
                        <m:r>
                          <m:rPr>
                            <m:sty m:val="p"/>
                          </m:rPr>
                          <m:t>u</m:t>
                        </m:r>
                        <m:r>
                          <m:rPr>
                            <m:sty m:val="p"/>
                          </m:rPr>
                          <m:t>s</m:t>
                        </m:r>
                        <m:r>
                          <m:rPr>
                            <m:sty m:val="p"/>
                          </m:rPr>
                          <m:t>e</m:t>
                        </m:r>
                        <m:r>
                          <m:rPr>
                            <m:sty m:val="p"/>
                          </m:rPr>
                          <m:t>r</m:t>
                        </m:r>
                        <m:r>
                          <m:rPr>
                            <m:sty m:val="p"/>
                          </m:rPr>
                          <m:t>,</m:t>
                        </m:r>
                        <m:r>
                          <m:rPr>
                            <m:sty m:val="p"/>
                          </m:rPr>
                          <m:t>m</m:t>
                        </m:r>
                        <m:r>
                          <m:rPr>
                            <m:sty m:val="p"/>
                          </m:rPr>
                          <m:t>a</m:t>
                        </m:r>
                        <m:r>
                          <m:rPr>
                            <m:sty m:val="p"/>
                          </m:rPr>
                          <m:t>x</m:t>
                        </m:r>
                      </m:sub>
                    </m:sSub>
                  </m:den>
                </m:f>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（3-4）</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
          <m:e>
            <m:r>
              <m:t>η</m:t>
            </m:r>
          </m:e>
          <m:sub>
            <m:r>
              <m:t>C</m:t>
            </m:r>
          </m:sub>
        </m:sSub>
      </m:oMath>
      <w:r>
        <w:rPr>
          <w:rFonts w:ascii="Times New Roman" w:hAnsi="Times New Roman" w:eastAsia="方正仿宋_GBK"/>
          <w:b w:val="0"/>
          <w:sz w:val="24"/>
        </w:rPr>
        <w:t xml:space="preserve">为分布式电源装机渗透率，无量纲；</w:t>
      </w:r>
      <m:oMath>
        <m:sSub>
          <m:e>
            <m:r>
              <m:t>C</m:t>
            </m:r>
          </m:e>
          <m:sub>
            <m:r>
              <m:rPr>
                <m:sty m:val="p"/>
              </m:rPr>
              <m:t>D</m:t>
            </m:r>
            <m:r>
              <m:rPr>
                <m:sty m:val="p"/>
              </m:rPr>
              <m:t>G</m:t>
            </m:r>
          </m:sub>
        </m:sSub>
      </m:oMath>
      <w:r>
        <w:rPr>
          <w:rFonts w:ascii="Times New Roman" w:hAnsi="Times New Roman" w:eastAsia="方正仿宋_GBK"/>
          <w:b w:val="0"/>
          <w:sz w:val="24"/>
        </w:rPr>
        <w:t xml:space="preserve">为同范围分布式电源并网装机容量，单位MW；</w:t>
      </w:r>
      <m:oMath>
        <m:sSub>
          <m:e>
            <m:r>
              <m:t>P</m:t>
            </m:r>
          </m:e>
          <m:sub>
            <m:r>
              <m:rPr>
                <m:sty m:val="p"/>
              </m:rPr>
              <m:t>u</m:t>
            </m:r>
            <m:r>
              <m:rPr>
                <m:sty m:val="p"/>
              </m:rPr>
              <m:t>s</m:t>
            </m:r>
            <m:r>
              <m:rPr>
                <m:sty m:val="p"/>
              </m:rPr>
              <m:t>e</m:t>
            </m:r>
            <m:r>
              <m:rPr>
                <m:sty m:val="p"/>
              </m:rPr>
              <m:t>r</m:t>
            </m:r>
            <m:r>
              <m:rPr>
                <m:sty m:val="p"/>
              </m:rPr>
              <m:t>,</m:t>
            </m:r>
            <m:r>
              <m:rPr>
                <m:sty m:val="p"/>
              </m:rPr>
              <m:t>m</m:t>
            </m:r>
            <m:r>
              <m:rPr>
                <m:sty m:val="p"/>
              </m:rPr>
              <m:t>a</m:t>
            </m:r>
            <m:r>
              <m:rPr>
                <m:sty m:val="p"/>
              </m:rPr>
              <m:t>x</m:t>
            </m:r>
          </m:sub>
        </m:sSub>
      </m:oMath>
      <w:r>
        <w:rPr>
          <w:rFonts w:ascii="Times New Roman" w:hAnsi="Times New Roman" w:eastAsia="方正仿宋_GBK"/>
          <w:b w:val="0"/>
          <w:sz w:val="24"/>
        </w:rPr>
        <w:t xml:space="preserve">为用户最大用电负荷，单位MW。DG为分布式电源的英文缩写[7]。用户日间负荷由设备典型时刻净功率加回相应光伏出力估计，夜间候选负荷由设备夜间统计得到，再取两者较大值。该候选法未检索全年全部用户负荷时刻，其分母仍为典型场景估计。</w:t>
      </w:r>
    </w:p>
    <w:p>
      <w:pPr>
        <w:pStyle w:val="2"/>
        <w:widowControl/>
        <w:spacing w:line="300" w:lineRule="auto" w:before="0" w:after="0"/>
        <w:ind w:firstLine="480"/>
        <w:jc w:val="both"/>
      </w:pPr>
      <w:r>
        <w:rPr>
          <w:rFonts w:ascii="Times New Roman" w:hAnsi="Times New Roman" w:eastAsia="方正仿宋_GBK"/>
          <w:b w:val="0"/>
          <w:sz w:val="24"/>
        </w:rPr>
        <w:t xml:space="preserve">邳州估计用户最大负荷为956.45 MW，分布式电源装机渗透率为1.63；市区估计用户最大负荷为1545.20 MW，分布式电源装机渗透率为0.32。</w:t>
      </w:r>
    </w:p>
    <w:p>
      <w:pPr>
        <w:pStyle w:val="5"/>
        <w:keepNext/>
        <w:numPr>
          <w:numId w:val="0"/>
        </w:numPr>
        <w:spacing w:line="360" w:lineRule="auto" w:before="160" w:after="120"/>
        <w:ind w:firstLine="0"/>
      </w:pPr>
      <w:bookmarkStart w:id="103" w:name="用户电量与分布式电源电量渗透率"/>
      <w:r>
        <w:rPr>
          <w:rFonts w:ascii="Times New Roman" w:hAnsi="Times New Roman" w:eastAsia="方正仿宋_GBK"/>
          <w:b/>
          <w:sz w:val="26"/>
        </w:rPr>
        <w:t xml:space="preserve">3.3.4 用户电量与分布式电源电量渗透率</w:t>
      </w:r>
      <w:bookmarkEnd w:id="103"/>
    </w:p>
    <w:p>
      <w:pPr>
        <w:pStyle w:val="FirstParagraph"/>
        <w:widowControl/>
        <w:spacing w:line="300" w:lineRule="auto" w:before="0" w:after="0"/>
        <w:ind w:firstLine="480"/>
        <w:jc w:val="both"/>
      </w:pPr>
      <w:r>
        <w:rPr>
          <w:rFonts w:ascii="Times New Roman" w:hAnsi="Times New Roman" w:eastAsia="方正仿宋_GBK"/>
          <w:b w:val="0"/>
          <w:sz w:val="24"/>
        </w:rPr>
        <w:t xml:space="preserve">在同范围、忽略损耗且其他电源已单独处理的条件下，用户电量可由净交换电量加本地发电量重建。现有逐时样本未完整覆盖区县全部用户，且缺少同范围用户年电量记录，因此先按样本覆盖系数估计区县净交换电量，再加本地光伏发电量。若取得区县用户实测年电量，可直接替换该估计值。用户电量按式（3-5）估计。</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sSub>
                        <m:e>
                          <m:acc>
                            <m:accPr>
                              <m:chr m:val="̂"/>
                            </m:accPr>
                            <m:e>
                              <m:r>
                                <m:t>E</m:t>
                              </m:r>
                            </m:e>
                          </m:acc>
                        </m:e>
                        <m:sub>
                          <m:r>
                            <m:rPr>
                              <m:sty m:val="p"/>
                            </m:rPr>
                            <m:t>u</m:t>
                          </m:r>
                          <m:r>
                            <m:rPr>
                              <m:sty m:val="p"/>
                            </m:rPr>
                            <m:t>s</m:t>
                          </m:r>
                          <m:r>
                            <m:rPr>
                              <m:sty m:val="p"/>
                            </m:rPr>
                            <m:t>e</m:t>
                          </m:r>
                          <m:r>
                            <m:rPr>
                              <m:sty m:val="p"/>
                            </m:rPr>
                            <m:t>r</m:t>
                          </m:r>
                        </m:sub>
                      </m:sSub>
                    </m:e>
                    <m:e>
                      <m:r>
                        <m:t>=</m:t>
                      </m:r>
                      <m:r>
                        <m:t>a</m:t>
                      </m:r>
                      <m:nary>
                        <m:naryPr>
                          <m:chr m:val="∑"/>
                          <m:limLoc m:val="undOvr"/>
                          <m:subHide m:val="0"/>
                          <m:supHide m:val="1"/>
                        </m:naryPr>
                        <m:sub>
                          <m:r>
                            <m:t>t</m:t>
                          </m:r>
                        </m:sub>
                        <m:sup>
                          <m:r>
                            <m:t>​</m:t>
                          </m:r>
                        </m:sup>
                        <m:e>
                          <m:sSub>
                            <m:e>
                              <m:r>
                                <m:t>P</m:t>
                              </m:r>
                            </m:e>
                            <m:sub>
                              <m:r>
                                <m:rPr>
                                  <m:sty m:val="p"/>
                                </m:rPr>
                                <m:t>n</m:t>
                              </m:r>
                              <m:r>
                                <m:rPr>
                                  <m:sty m:val="p"/>
                                </m:rPr>
                                <m:t>e</m:t>
                              </m:r>
                              <m:r>
                                <m:rPr>
                                  <m:sty m:val="p"/>
                                </m:rPr>
                                <m:t>t</m:t>
                              </m:r>
                              <m:r>
                                <m:t>,</m:t>
                              </m:r>
                              <m:r>
                                <m:t>t</m:t>
                              </m:r>
                            </m:sub>
                          </m:sSub>
                        </m:e>
                      </m:nary>
                      <m:r>
                        <m:t>Δ</m:t>
                      </m:r>
                      <m:r>
                        <m:t>t</m:t>
                      </m:r>
                      <m:r>
                        <m:t>+</m:t>
                      </m:r>
                      <m:sSub>
                        <m:e>
                          <m:acc>
                            <m:accPr>
                              <m:chr m:val="̂"/>
                            </m:accPr>
                            <m:e>
                              <m:r>
                                <m:t>E</m:t>
                              </m:r>
                            </m:e>
                          </m:acc>
                        </m:e>
                        <m:sub>
                          <m:r>
                            <m:rPr>
                              <m:sty m:val="p"/>
                            </m:rPr>
                            <m:t>P</m:t>
                          </m:r>
                          <m:r>
                            <m:rPr>
                              <m:sty m:val="p"/>
                            </m:rPr>
                            <m:t>V</m:t>
                          </m:r>
                        </m:sub>
                      </m:sSub>
                    </m:e>
                  </m:mr>
                  <m:mr>
                    <m:e>
                      <m:sSub>
                        <m:e>
                          <m:r>
                            <m:t>η</m:t>
                          </m:r>
                        </m:e>
                        <m:sub>
                          <m:r>
                            <m:t>E</m:t>
                          </m:r>
                        </m:sub>
                      </m:sSub>
                    </m:e>
                    <m:e>
                      <m:r>
                        <m:t>=</m:t>
                      </m:r>
                      <m:f>
                        <m:fPr>
                          <m:type m:val="bar"/>
                        </m:fPr>
                        <m:num>
                          <m:sSub>
                            <m:e>
                              <m:acc>
                                <m:accPr>
                                  <m:chr m:val="̂"/>
                                </m:accPr>
                                <m:e>
                                  <m:r>
                                    <m:t>E</m:t>
                                  </m:r>
                                </m:e>
                              </m:acc>
                            </m:e>
                            <m:sub>
                              <m:r>
                                <m:rPr>
                                  <m:sty m:val="p"/>
                                </m:rPr>
                                <m:t>P</m:t>
                              </m:r>
                              <m:r>
                                <m:rPr>
                                  <m:sty m:val="p"/>
                                </m:rPr>
                                <m:t>V</m:t>
                              </m:r>
                            </m:sub>
                          </m:sSub>
                        </m:num>
                        <m:den>
                          <m:sSub>
                            <m:e>
                              <m:acc>
                                <m:accPr>
                                  <m:chr m:val="̂"/>
                                </m:accPr>
                                <m:e>
                                  <m:r>
                                    <m:t>E</m:t>
                                  </m:r>
                                </m:e>
                              </m:acc>
                            </m:e>
                            <m:sub>
                              <m:r>
                                <m:rPr>
                                  <m:sty m:val="p"/>
                                </m:rPr>
                                <m:t>u</m:t>
                              </m:r>
                              <m:r>
                                <m:rPr>
                                  <m:sty m:val="p"/>
                                </m:rPr>
                                <m:t>s</m:t>
                              </m:r>
                              <m:r>
                                <m:rPr>
                                  <m:sty m:val="p"/>
                                </m:rPr>
                                <m:t>e</m:t>
                              </m:r>
                              <m:r>
                                <m:rPr>
                                  <m:sty m:val="p"/>
                                </m:rPr>
                                <m:t>r</m:t>
                              </m:r>
                            </m:sub>
                          </m:sSub>
                        </m:den>
                      </m:f>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（3-5）</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
          <m:e>
            <m:acc>
              <m:accPr>
                <m:chr m:val="̂"/>
              </m:accPr>
              <m:e>
                <m:r>
                  <m:t>E</m:t>
                </m:r>
              </m:e>
            </m:acc>
          </m:e>
          <m:sub>
            <m:r>
              <m:rPr>
                <m:sty m:val="p"/>
              </m:rPr>
              <m:t>u</m:t>
            </m:r>
            <m:r>
              <m:rPr>
                <m:sty m:val="p"/>
              </m:rPr>
              <m:t>s</m:t>
            </m:r>
            <m:r>
              <m:rPr>
                <m:sty m:val="p"/>
              </m:rPr>
              <m:t>e</m:t>
            </m:r>
            <m:r>
              <m:rPr>
                <m:sty m:val="p"/>
              </m:rPr>
              <m:t>r</m:t>
            </m:r>
          </m:sub>
        </m:sSub>
      </m:oMath>
      <w:r>
        <w:rPr>
          <w:rFonts w:ascii="Times New Roman" w:hAnsi="Times New Roman" w:eastAsia="方正仿宋_GBK"/>
          <w:b w:val="0"/>
          <w:sz w:val="24"/>
        </w:rPr>
        <w:t xml:space="preserve">为用户年用电量估计值，</w:t>
      </w:r>
      <m:oMath>
        <m:sSub>
          <m:e>
            <m:acc>
              <m:accPr>
                <m:chr m:val="̂"/>
              </m:accPr>
              <m:e>
                <m:r>
                  <m:t>E</m:t>
                </m:r>
              </m:e>
            </m:acc>
          </m:e>
          <m:sub>
            <m:r>
              <m:rPr>
                <m:sty m:val="p"/>
              </m:rPr>
              <m:t>P</m:t>
            </m:r>
            <m:r>
              <m:rPr>
                <m:sty m:val="p"/>
              </m:rPr>
              <m:t>V</m:t>
            </m:r>
          </m:sub>
        </m:sSub>
      </m:oMath>
      <w:r>
        <w:rPr>
          <w:rFonts w:ascii="Times New Roman" w:hAnsi="Times New Roman" w:eastAsia="方正仿宋_GBK"/>
          <w:b w:val="0"/>
          <w:sz w:val="24"/>
        </w:rPr>
        <w:t xml:space="preserve">为光伏年发电量估计值，单位MWh；</w:t>
      </w:r>
      <m:oMath>
        <m:sSub>
          <m:e>
            <m:r>
              <m:t>η</m:t>
            </m:r>
          </m:e>
          <m:sub>
            <m:r>
              <m:t>E</m:t>
            </m:r>
          </m:sub>
        </m:sSub>
      </m:oMath>
      <w:r>
        <w:rPr>
          <w:rFonts w:ascii="Times New Roman" w:hAnsi="Times New Roman" w:eastAsia="方正仿宋_GBK"/>
          <w:b w:val="0"/>
          <w:sz w:val="24"/>
        </w:rPr>
        <w:t xml:space="preserve">为分布式电源电量渗透率；</w:t>
      </w:r>
      <m:oMath>
        <m:sSub>
          <m:e>
            <m:r>
              <m:t>P</m:t>
            </m:r>
          </m:e>
          <m:sub>
            <m:r>
              <m:rPr>
                <m:sty m:val="p"/>
              </m:rPr>
              <m:t>n</m:t>
            </m:r>
            <m:r>
              <m:rPr>
                <m:sty m:val="p"/>
              </m:rPr>
              <m:t>e</m:t>
            </m:r>
            <m:r>
              <m:rPr>
                <m:sty m:val="p"/>
              </m:rPr>
              <m:t>t</m:t>
            </m:r>
            <m:r>
              <m:t>,</m:t>
            </m:r>
            <m:r>
              <m:t>t</m:t>
            </m:r>
          </m:sub>
        </m:sSub>
      </m:oMath>
      <w:r>
        <w:rPr>
          <w:rFonts w:ascii="Times New Roman" w:hAnsi="Times New Roman" w:eastAsia="方正仿宋_GBK"/>
          <w:b w:val="0"/>
          <w:sz w:val="24"/>
        </w:rPr>
        <w:t xml:space="preserve">为时刻</w:t>
      </w:r>
      <m:oMath>
        <m:r>
          <m:t>t</m:t>
        </m:r>
      </m:oMath>
      <w:r>
        <w:rPr>
          <w:rFonts w:ascii="Times New Roman" w:hAnsi="Times New Roman" w:eastAsia="方正仿宋_GBK"/>
          <w:b w:val="0"/>
          <w:sz w:val="24"/>
        </w:rPr>
        <w:t xml:space="preserve">的样本净交换功率，单位MW，</w:t>
      </w:r>
      <m:oMath>
        <m:r>
          <m:t>Δ</m:t>
        </m:r>
        <m:r>
          <m:t>t</m:t>
        </m:r>
      </m:oMath>
      <w:r>
        <w:rPr>
          <w:rFonts w:ascii="Times New Roman" w:hAnsi="Times New Roman" w:eastAsia="方正仿宋_GBK"/>
          <w:b w:val="0"/>
          <w:sz w:val="24"/>
        </w:rPr>
        <w:t xml:space="preserve">为1 h。</w:t>
      </w:r>
      <m:oMath>
        <m:r>
          <m:t>a</m:t>
        </m:r>
      </m:oMath>
      <w:r>
        <w:rPr>
          <w:rFonts w:ascii="Times New Roman" w:hAnsi="Times New Roman" w:eastAsia="方正仿宋_GBK"/>
          <w:b w:val="0"/>
          <w:sz w:val="24"/>
        </w:rPr>
        <w:t xml:space="preserve">为按设备典型夜间负荷与样本最大净负荷构造的覆盖外推系数，邳州为1.01、市区为1.17。该参数按区县分布式光伏装机与110 kV样本净负荷估计。</w:t>
      </w:r>
    </w:p>
    <w:p>
      <w:pPr>
        <w:pStyle w:val="2"/>
        <w:widowControl/>
        <w:spacing w:line="300" w:lineRule="auto" w:before="0" w:after="0"/>
        <w:ind w:firstLine="480"/>
        <w:jc w:val="both"/>
      </w:pPr>
      <w:r>
        <w:rPr>
          <w:rFonts w:ascii="Times New Roman" w:hAnsi="Times New Roman" w:eastAsia="方正仿宋_GBK"/>
          <w:b w:val="0"/>
          <w:sz w:val="24"/>
        </w:rPr>
        <w:t xml:space="preserve">邳州估计用户年电量为4216392.40 MWh，分布式电源电量渗透率为40.28%；市区为6791485.10 MWh和8.69%。上述估计值用于源荷背景分析，费用目标采用第四章规定的新增措施支出。</w:t>
      </w:r>
    </w:p>
    <w:p>
      <w:bookmarkStart w:id="1271" w:name="h271"/>
      <w:pPr>
        <w:pStyle w:val="4"/>
        <w:keepNext/>
        <w:numPr>
          <w:numId w:val="0"/>
        </w:numPr>
        <w:spacing w:line="360" w:lineRule="auto" w:before="160" w:after="120"/>
        <w:ind w:firstLine="0"/>
      </w:pPr>
      <w:bookmarkStart w:id="104" w:name="主变负载率与双向净负荷"/>
      <w:r>
        <w:rPr>
          <w:rFonts w:ascii="Times New Roman" w:hAnsi="Times New Roman" w:eastAsia="方正仿宋_GBK"/>
          <w:b/>
          <w:sz w:val="32"/>
        </w:rPr>
        <w:t xml:space="preserve">3.4 主变负载率与双向净负荷</w:t>
      </w:r>
      <w:bookmarkEnd w:id="104"/>
      <w:bookmarkEnd w:id="1271"/>
    </w:p>
    <w:p>
      <w:pPr>
        <w:pStyle w:val="5"/>
        <w:keepNext/>
        <w:numPr>
          <w:numId w:val="0"/>
        </w:numPr>
        <w:spacing w:line="360" w:lineRule="auto" w:before="160" w:after="120"/>
        <w:ind w:firstLine="0"/>
      </w:pPr>
      <w:bookmarkStart w:id="105" w:name="原表负载率统计"/>
      <w:r>
        <w:rPr>
          <w:rFonts w:ascii="Times New Roman" w:hAnsi="Times New Roman" w:eastAsia="方正仿宋_GBK"/>
          <w:b/>
          <w:sz w:val="26"/>
        </w:rPr>
        <w:t xml:space="preserve">3.4.1 原表负载率统计</w:t>
      </w:r>
      <w:bookmarkEnd w:id="105"/>
    </w:p>
    <w:p>
      <w:pPr>
        <w:pStyle w:val="FirstParagraph"/>
        <w:widowControl/>
        <w:spacing w:line="300" w:lineRule="auto" w:before="0" w:after="0"/>
        <w:ind w:firstLine="480"/>
        <w:jc w:val="both"/>
      </w:pPr>
      <w:r>
        <w:rPr>
          <w:rFonts w:ascii="Times New Roman" w:hAnsi="Times New Roman" w:eastAsia="方正仿宋_GBK"/>
          <w:b w:val="0"/>
          <w:sz w:val="24"/>
        </w:rPr>
        <w:t xml:space="preserve">设备统计表P列记录逐台主变年最大负载率。按110 kV及区县筛选，计算样本均值、中位数及较高负载设备数量。分布统计采用各台设备的年度极值，各自最大时刻可能不同。</w:t>
      </w:r>
    </w:p>
    <w:p>
      <w:pPr>
        <w:pStyle w:val="2"/>
        <w:keepNext/>
        <w:spacing w:line="300" w:lineRule="auto" w:before="120" w:after="80"/>
        <w:ind w:firstLine="0"/>
        <w:jc w:val="center"/>
      </w:pPr>
      <w:r>
        <w:rPr>
          <w:rFonts w:ascii="Times New Roman" w:hAnsi="Times New Roman" w:eastAsia="宋体"/>
          <w:b w:val="0"/>
          <w:sz w:val="21"/>
        </w:rPr>
        <w:t xml:space="preserve">表3-5 逐台110 kV主变年最大负载率统计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地区</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样本台数</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均值/%</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中位数/%</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≥80%台数</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最大值/%</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54.82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52.55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92.40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52.68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54.62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97.44</w:t>
            </w:r>
          </w:p>
        </w:tc>
      </w:tr>
    </w:tbl>
    <w:p>
      <w:pPr>
        <w:pStyle w:val="2"/>
        <w:widowControl/>
        <w:spacing w:line="300" w:lineRule="auto" w:before="0" w:after="0"/>
        <w:ind w:firstLine="480"/>
        <w:jc w:val="both"/>
      </w:pPr>
      <w:r>
        <w:rPr>
          <w:rFonts w:ascii="Times New Roman" w:hAnsi="Times New Roman" w:eastAsia="方正仿宋_GBK"/>
          <w:b w:val="0"/>
          <w:sz w:val="24"/>
        </w:rPr>
        <w:t xml:space="preserve">邳州逐台主变年最大负载率中位数为52.55%，市区为54.62%。均值与中位数的差异说明设备分布需要单独观察。区域比值较高仍可能同时存在个别设备较高负载，建设措施应落实到站级。</w:t>
      </w:r>
    </w:p>
    <w:p>
      <w:pPr>
        <w:pStyle w:val="2"/>
        <w:keepNext/>
        <w:spacing w:line="240" w:lineRule="auto" w:before="120" w:after="0"/>
        <w:ind w:firstLine="0"/>
        <w:jc w:val="center"/>
      </w:pPr>
      <w:r>
        <w:drawing>
          <wp:inline>
            <wp:extent cx="5120640" cy="3022398"/>
            <wp:effectExtent b="0" l="0" r="0" t="0"/>
            <wp:docPr descr="" title="" id="1" name="Picture"/>
            <a:graphic>
              <a:graphicData uri="http://schemas.openxmlformats.org/drawingml/2006/picture">
                <pic:pic>
                  <pic:nvPicPr>
                    <pic:cNvPr descr="研究报告/02图表/当前版/loading_distribution.png" id="0" name="Picture"/>
                    <pic:cNvPicPr>
                      <a:picLocks noChangeArrowheads="1" noChangeAspect="1"/>
                    </pic:cNvPicPr>
                  </pic:nvPicPr>
                  <pic:blipFill>
                    <a:blip r:embed="rId106"/>
                    <a:stretch>
                      <a:fillRect/>
                    </a:stretch>
                  </pic:blipFill>
                  <pic:spPr bwMode="auto">
                    <a:xfrm>
                      <a:off x="0" y="0"/>
                      <a:ext cx="5120640" cy="3022398"/>
                    </a:xfrm>
                    <a:prstGeom prst="rect">
                      <a:avLst/>
                    </a:prstGeom>
                    <a:noFill/>
                    <a:ln w="9525">
                      <a:noFill/>
                      <a:headEnd/>
                      <a:tailEnd/>
                    </a:ln>
                  </pic:spPr>
                </pic:pic>
              </a:graphicData>
            </a:graphic>
          </wp:inline>
        </w:drawing>
      </w:r>
    </w:p>
    <w:p>
      <w:pPr>
        <w:pStyle w:val="2"/>
        <w:spacing w:line="300" w:lineRule="auto" w:before="60" w:after="120"/>
        <w:ind w:firstLine="0"/>
        <w:jc w:val="center"/>
      </w:pPr>
      <w:r>
        <w:rPr>
          <w:rFonts w:ascii="Times New Roman" w:hAnsi="Times New Roman" w:eastAsia="宋体"/>
          <w:b w:val="0"/>
          <w:sz w:val="21"/>
        </w:rPr>
        <w:t xml:space="preserve">图3-3 邳州和市区逐台主变最大负载率分布</w:t>
      </w:r>
    </w:p>
    <w:p>
      <w:pPr>
        <w:pStyle w:val="5"/>
        <w:keepNext/>
        <w:numPr>
          <w:numId w:val="0"/>
        </w:numPr>
        <w:spacing w:line="360" w:lineRule="auto" w:before="160" w:after="120"/>
        <w:ind w:firstLine="0"/>
      </w:pPr>
      <w:bookmarkStart w:id="107" w:name="最大正向反向净负荷"/>
      <w:r>
        <w:rPr>
          <w:rFonts w:ascii="Times New Roman" w:hAnsi="Times New Roman" w:eastAsia="方正仿宋_GBK"/>
          <w:b/>
          <w:sz w:val="26"/>
        </w:rPr>
        <w:t xml:space="preserve">3.4.2 最大正向、反向净负荷</w:t>
      </w:r>
      <w:bookmarkEnd w:id="107"/>
    </w:p>
    <w:p>
      <w:pPr>
        <w:pStyle w:val="FirstParagraph"/>
        <w:widowControl/>
        <w:spacing w:line="300" w:lineRule="auto" w:before="0" w:after="0"/>
        <w:ind w:firstLine="480"/>
        <w:jc w:val="both"/>
      </w:pPr>
      <w:r>
        <w:rPr>
          <w:rFonts w:ascii="Times New Roman" w:hAnsi="Times New Roman" w:eastAsia="方正仿宋_GBK"/>
          <w:b w:val="0"/>
          <w:sz w:val="24"/>
        </w:rPr>
        <w:t xml:space="preserve">净负荷序列以受电为正、反送为负。容量压力采用最大绝对值，同时保存正向和反向极值用于容量校核。由带符号序列分别提取方向峰值：</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p>
                  <m:e>
                    <m:r>
                      <m:t>P</m:t>
                    </m:r>
                  </m:e>
                  <m:sup>
                    <m:r>
                      <m:t>+</m:t>
                    </m:r>
                  </m:sup>
                </m:sSup>
                <m:r>
                  <m:t>=</m:t>
                </m:r>
                <m:limLow>
                  <m:e>
                    <m:r>
                      <m:rPr>
                        <m:nor/>
                        <m:sty m:val="p"/>
                      </m:rPr>
                      <m:t>max</m:t>
                    </m:r>
                  </m:e>
                  <m:lim>
                    <m:r>
                      <m:t>t</m:t>
                    </m:r>
                  </m:lim>
                </m:limLow>
                <m:r>
                  <m:t>(</m:t>
                </m:r>
                <m:sSub>
                  <m:e>
                    <m:r>
                      <m:t>P</m:t>
                    </m:r>
                  </m:e>
                  <m:sub>
                    <m:r>
                      <m:t>t</m:t>
                    </m:r>
                  </m:sub>
                </m:sSub>
                <m:r>
                  <m:t>,</m:t>
                </m:r>
                <m:r>
                  <m:t>0</m:t>
                </m:r>
                <m:r>
                  <m:t>)</m:t>
                </m:r>
                <m:r>
                  <m:t>,</m:t>
                </m:r>
                <m:r>
                  <m:t> </m:t>
                </m:r>
                <m:sSup>
                  <m:e>
                    <m:r>
                      <m:t>P</m:t>
                    </m:r>
                  </m:e>
                  <m:sup>
                    <m:r>
                      <m:t>−</m:t>
                    </m:r>
                  </m:sup>
                </m:sSup>
                <m:r>
                  <m:t>=</m:t>
                </m:r>
                <m:limLow>
                  <m:e>
                    <m:r>
                      <m:rPr>
                        <m:nor/>
                        <m:sty m:val="p"/>
                      </m:rPr>
                      <m:t>max</m:t>
                    </m:r>
                  </m:e>
                  <m:lim>
                    <m:r>
                      <m:t>t</m:t>
                    </m:r>
                  </m:lim>
                </m:limLow>
                <m:r>
                  <m:t>(</m:t>
                </m:r>
                <m:r>
                  <m:t>−</m:t>
                </m:r>
                <m:sSub>
                  <m:e>
                    <m:r>
                      <m:t>P</m:t>
                    </m:r>
                  </m:e>
                  <m:sub>
                    <m:r>
                      <m:t>t</m:t>
                    </m:r>
                  </m:sub>
                </m:sSub>
                <m:r>
                  <m:t>,</m:t>
                </m:r>
                <m:r>
                  <m:t>0</m:t>
                </m:r>
                <m:r>
                  <m:t>)</m:t>
                </m:r>
                <m:r>
                  <m:t>,</m:t>
                </m:r>
                <m:r>
                  <m:t> </m:t>
                </m:r>
                <m:sSup>
                  <m:e>
                    <m:r>
                      <m:t>P</m:t>
                    </m:r>
                  </m:e>
                  <m:sup>
                    <m:r>
                      <m:rPr>
                        <m:sty m:val="p"/>
                      </m:rPr>
                      <m:t>a</m:t>
                    </m:r>
                    <m:r>
                      <m:rPr>
                        <m:sty m:val="p"/>
                      </m:rPr>
                      <m:t>b</m:t>
                    </m:r>
                    <m:r>
                      <m:rPr>
                        <m:sty m:val="p"/>
                      </m:rPr>
                      <m:t>s</m:t>
                    </m:r>
                  </m:sup>
                </m:sSup>
                <m:r>
                  <m:t>=</m:t>
                </m:r>
                <m:r>
                  <m:rPr>
                    <m:nor/>
                    <m:sty m:val="p"/>
                  </m:rPr>
                  <m:t>max</m:t>
                </m:r>
                <m:r>
                  <m:t>(</m:t>
                </m:r>
                <m:sSup>
                  <m:e>
                    <m:r>
                      <m:t>P</m:t>
                    </m:r>
                  </m:e>
                  <m:sup>
                    <m:r>
                      <m:t>+</m:t>
                    </m:r>
                  </m:sup>
                </m:sSup>
                <m:r>
                  <m:t>,</m:t>
                </m:r>
                <m:sSup>
                  <m:e>
                    <m:r>
                      <m:t>P</m:t>
                    </m:r>
                  </m:e>
                  <m:sup>
                    <m:r>
                      <m:t>−</m:t>
                    </m:r>
                  </m:sup>
                </m:sSup>
                <m:r>
                  <m:t>)</m:t>
                </m:r>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（3-6）</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
          <m:e>
            <m:r>
              <m:t>P</m:t>
            </m:r>
          </m:e>
          <m:sub>
            <m:r>
              <m:t>t</m:t>
            </m:r>
          </m:sub>
        </m:sSub>
      </m:oMath>
      <w:r>
        <w:rPr>
          <w:rFonts w:ascii="Times New Roman" w:hAnsi="Times New Roman" w:eastAsia="方正仿宋_GBK"/>
          <w:b w:val="0"/>
          <w:sz w:val="24"/>
        </w:rPr>
        <w:t xml:space="preserve">为时刻</w:t>
      </w:r>
      <m:oMath>
        <m:r>
          <m:t>t</m:t>
        </m:r>
      </m:oMath>
      <w:r>
        <w:rPr>
          <w:rFonts w:ascii="Times New Roman" w:hAnsi="Times New Roman" w:eastAsia="方正仿宋_GBK"/>
          <w:b w:val="0"/>
          <w:sz w:val="24"/>
        </w:rPr>
        <w:t xml:space="preserve">的净负荷，受电为正、反送为负；</w:t>
      </w:r>
      <m:oMath>
        <m:sSup>
          <m:e>
            <m:r>
              <m:t>P</m:t>
            </m:r>
          </m:e>
          <m:sup>
            <m:r>
              <m:t>+</m:t>
            </m:r>
          </m:sup>
        </m:sSup>
      </m:oMath>
      <w:r>
        <w:rPr>
          <w:rFonts w:ascii="Times New Roman" w:hAnsi="Times New Roman" w:eastAsia="方正仿宋_GBK"/>
          <w:b w:val="0"/>
          <w:sz w:val="24"/>
        </w:rPr>
        <w:t xml:space="preserve">和</w:t>
      </w:r>
      <m:oMath>
        <m:sSup>
          <m:e>
            <m:r>
              <m:t>P</m:t>
            </m:r>
          </m:e>
          <m:sup>
            <m:r>
              <m:t>−</m:t>
            </m:r>
          </m:sup>
        </m:sSup>
      </m:oMath>
      <w:r>
        <w:rPr>
          <w:rFonts w:ascii="Times New Roman" w:hAnsi="Times New Roman" w:eastAsia="方正仿宋_GBK"/>
          <w:b w:val="0"/>
          <w:sz w:val="24"/>
        </w:rPr>
        <w:t xml:space="preserve">分别为最大正向、反向净负荷，</w:t>
      </w:r>
      <m:oMath>
        <m:sSup>
          <m:e>
            <m:r>
              <m:t>P</m:t>
            </m:r>
          </m:e>
          <m:sup>
            <m:r>
              <m:rPr>
                <m:sty m:val="p"/>
              </m:rPr>
              <m:t>a</m:t>
            </m:r>
            <m:r>
              <m:rPr>
                <m:sty m:val="p"/>
              </m:rPr>
              <m:t>b</m:t>
            </m:r>
            <m:r>
              <m:rPr>
                <m:sty m:val="p"/>
              </m:rPr>
              <m:t>s</m:t>
            </m:r>
          </m:sup>
        </m:sSup>
      </m:oMath>
      <w:r>
        <w:rPr>
          <w:rFonts w:ascii="Times New Roman" w:hAnsi="Times New Roman" w:eastAsia="方正仿宋_GBK"/>
          <w:b w:val="0"/>
          <w:sz w:val="24"/>
        </w:rPr>
        <w:t xml:space="preserve">为净负荷最大绝对值，单位均为MW。净负荷最大绝对值反映有功压力量级。与主变MVA比较时按功率因数折算，若要得到实际设备负载率，应使用同一时刻无功或电流资料。正反向压力相近时，主变容量需求相近，网络接入、电压和保护条件分别校核[4][5]。</w:t>
      </w:r>
    </w:p>
    <w:p>
      <w:pPr>
        <w:pStyle w:val="2"/>
        <w:keepNext/>
        <w:spacing w:line="300" w:lineRule="auto" w:before="120" w:after="80"/>
        <w:ind w:firstLine="0"/>
        <w:jc w:val="center"/>
      </w:pPr>
      <w:r>
        <w:rPr>
          <w:rFonts w:ascii="Times New Roman" w:hAnsi="Times New Roman" w:eastAsia="宋体"/>
          <w:b w:val="0"/>
          <w:sz w:val="21"/>
        </w:rPr>
        <w:t xml:space="preserve">表3-6 2025年站级正反向净负荷与持续时间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地区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变电站编号</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正向/MW</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反向/MW</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净负荷最大绝对值/MW</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正向H95/h</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反向H95/h</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BDZ-00005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37.23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19.02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37.23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BDZ-00016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69.44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31.61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69.44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BDZ-00021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30.30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24.34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30.30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BDZ-00022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30.59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47.23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47.23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BDZ-00026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92.06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18.04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92.06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BDZ-00027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59.52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35.27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59.52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BDZ-00028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103.56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103.56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BDZ-00031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39.89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29.53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39.89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BDZ-00037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27.54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26.86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27.54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BDZ-00048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73.11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4.56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73.11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BDZ-00095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22.91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30.81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30.81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BDZ-00096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69.39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69.39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BDZ-00124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61.43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30.65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61.43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BDZ-00135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84.83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56.92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84.83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BDZ-00141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39.87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37.46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39.87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BDZ-00146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25.93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28.80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28.80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BDZ-00147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50.21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50.21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BDZ-00162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BDZ-00164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39.15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30.51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39.15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BDZ-00172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34.43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22.78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34.43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32.29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35.73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35.73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70.32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8.70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70.32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BDZ-00023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102.93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102.93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BDZ-00024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95.63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95.63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BDZ-00042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84.10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84.10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BDZ-00051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63.58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63.58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BDZ-00053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85.29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85.29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BDZ-00055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46.06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6.81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46.06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BDZ-00062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56.24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56.24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BDZ-00065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83.74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83.74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BDZ-00074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71.22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13.31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71.22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BDZ-00076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31.83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31.83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BDZ-00092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BDZ-00094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64.92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64.92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BDZ-00103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65.76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65.76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BDZ-00106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5.80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5.80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BDZ-00110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38.35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38.35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BDZ-00114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110.02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10.95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110.02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BDZ-00115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73.47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73.47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BDZ-00139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92.95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92.95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BDZ-00148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103.02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103.02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BDZ-00151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128.27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128.27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BDZ-00154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19.37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19.37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BDZ-00155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53.11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53.11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BDZ-00175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45.03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45.03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BDZ-00183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16.47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5.61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16.47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SIM-CITY-KL</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16.09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16.09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SIM-CITY-XSZ</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13.62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3.35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13.62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SIM-CITY-YQ</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bl>
    <w:p>
      <w:pPr>
        <w:pStyle w:val="2"/>
        <w:keepNext/>
        <w:spacing w:line="300" w:lineRule="auto" w:before="120" w:after="80"/>
        <w:ind w:firstLine="0"/>
        <w:jc w:val="center"/>
      </w:pPr>
      <w:r>
        <w:rPr>
          <w:rFonts w:ascii="Times New Roman" w:hAnsi="Times New Roman" w:eastAsia="宋体"/>
          <w:b w:val="0"/>
          <w:sz w:val="21"/>
        </w:rPr>
        <w:t xml:space="preserve">表3-7 仿真各年站级正反向净负荷</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地区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仿真年</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各站最大正向净负荷合计/MW</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各站最大反向净负荷合计/MW</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反向站数</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站级最大绝对值/MW</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变电站数量</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835.57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421.35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85.63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903.04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455.37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92.54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975.95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492.14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1054.76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531.88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108.09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1394.82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78.93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105.14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1419.92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80.35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107.03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1445.48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81.80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108.96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1471.50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83.27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110.92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w:t>
            </w:r>
          </w:p>
        </w:tc>
      </w:tr>
    </w:tbl>
    <w:p>
      <w:pPr>
        <w:pStyle w:val="2"/>
        <w:keepNext/>
        <w:spacing w:line="240" w:lineRule="auto" w:before="120" w:after="0"/>
        <w:ind w:firstLine="0"/>
        <w:jc w:val="center"/>
      </w:pPr>
      <w:r>
        <w:drawing>
          <wp:inline>
            <wp:extent cx="5120640" cy="2508169"/>
            <wp:effectExtent b="0" l="0" r="0" t="0"/>
            <wp:docPr descr="" title="" id="1" name="Picture"/>
            <a:graphic>
              <a:graphicData uri="http://schemas.openxmlformats.org/drawingml/2006/picture">
                <pic:pic>
                  <pic:nvPicPr>
                    <pic:cNvPr descr="研究报告/02图表/当前版/annual_model_pressure.png" id="0" name="Picture"/>
                    <pic:cNvPicPr>
                      <a:picLocks noChangeArrowheads="1" noChangeAspect="1"/>
                    </pic:cNvPicPr>
                  </pic:nvPicPr>
                  <pic:blipFill>
                    <a:blip r:embed="rId108"/>
                    <a:stretch>
                      <a:fillRect/>
                    </a:stretch>
                  </pic:blipFill>
                  <pic:spPr bwMode="auto">
                    <a:xfrm>
                      <a:off x="0" y="0"/>
                      <a:ext cx="5120640" cy="2508169"/>
                    </a:xfrm>
                    <a:prstGeom prst="rect">
                      <a:avLst/>
                    </a:prstGeom>
                    <a:noFill/>
                    <a:ln w="9525">
                      <a:noFill/>
                      <a:headEnd/>
                      <a:tailEnd/>
                    </a:ln>
                  </pic:spPr>
                </pic:pic>
              </a:graphicData>
            </a:graphic>
          </wp:inline>
        </w:drawing>
      </w:r>
    </w:p>
    <w:p>
      <w:pPr>
        <w:pStyle w:val="2"/>
        <w:spacing w:line="300" w:lineRule="auto" w:before="60" w:after="120"/>
        <w:ind w:firstLine="0"/>
        <w:jc w:val="center"/>
      </w:pPr>
      <w:r>
        <w:rPr>
          <w:rFonts w:ascii="Times New Roman" w:hAnsi="Times New Roman" w:eastAsia="宋体"/>
          <w:b w:val="0"/>
          <w:sz w:val="21"/>
        </w:rPr>
        <w:t xml:space="preserve">图3-4 两地区仿真年度站级正反向净负荷</w:t>
      </w:r>
    </w:p>
    <w:p>
      <w:pPr>
        <w:pStyle w:val="5"/>
        <w:keepNext/>
        <w:numPr>
          <w:numId w:val="0"/>
        </w:numPr>
        <w:spacing w:line="360" w:lineRule="auto" w:before="160" w:after="120"/>
        <w:ind w:firstLine="0"/>
      </w:pPr>
      <w:bookmarkStart w:id="109" w:name="同步区域峰与独立站峰"/>
      <w:r>
        <w:rPr>
          <w:rFonts w:ascii="Times New Roman" w:hAnsi="Times New Roman" w:eastAsia="方正仿宋_GBK"/>
          <w:b/>
          <w:sz w:val="26"/>
        </w:rPr>
        <w:t xml:space="preserve">3.4.3 同步区域峰与独立站峰</w:t>
      </w:r>
      <w:bookmarkEnd w:id="109"/>
    </w:p>
    <w:p>
      <w:pPr>
        <w:pStyle w:val="FirstParagraph"/>
        <w:widowControl/>
        <w:spacing w:line="300" w:lineRule="auto" w:before="0" w:after="0"/>
        <w:ind w:firstLine="480"/>
        <w:jc w:val="both"/>
      </w:pPr>
      <w:r>
        <w:rPr>
          <w:rFonts w:ascii="Times New Roman" w:hAnsi="Times New Roman" w:eastAsia="方正仿宋_GBK"/>
          <w:b w:val="0"/>
          <w:sz w:val="24"/>
        </w:rPr>
        <w:t xml:space="preserve">形成区域峰值时，应先在同一时间轴汇总各站功率，再取年度最大值。各站最大负荷可能发生在不同时间，直接相加通常高于区域同时最大负荷。本项目年网供最大负荷采用年度降压负荷估计，站级容量校核使用站级独立峰值，两类量按各自统计范围使用。</w:t>
      </w:r>
    </w:p>
    <w:p>
      <w:pPr>
        <w:pStyle w:val="2"/>
        <w:widowControl/>
        <w:spacing w:line="300" w:lineRule="auto" w:before="0" w:after="0"/>
        <w:ind w:firstLine="480"/>
        <w:jc w:val="both"/>
      </w:pPr>
      <w:r>
        <w:rPr>
          <w:rFonts w:ascii="Times New Roman" w:hAnsi="Times New Roman" w:eastAsia="方正仿宋_GBK"/>
          <w:b w:val="0"/>
          <w:sz w:val="24"/>
        </w:rPr>
        <w:t xml:space="preserve">各站最大负荷分别用于本站容量校核，区县年网供最大负荷用于容载比计算。模型以各站最大负荷为规划负荷：一个站转出多少负荷，其他站合计就承接多少，转接前后区县规划负荷总量保持不变。该处理用于比较站间负荷配置，区县容载比分母仍采用同范围年网供最大负荷。</w:t>
      </w:r>
    </w:p>
    <w:p>
      <w:pPr>
        <w:pStyle w:val="5"/>
        <w:keepNext/>
        <w:numPr>
          <w:numId w:val="0"/>
        </w:numPr>
        <w:spacing w:line="360" w:lineRule="auto" w:before="160" w:after="120"/>
        <w:ind w:firstLine="0"/>
      </w:pPr>
      <w:bookmarkStart w:id="110" w:name="峰值持续时间"/>
      <w:r>
        <w:rPr>
          <w:rFonts w:ascii="Times New Roman" w:hAnsi="Times New Roman" w:eastAsia="方正仿宋_GBK"/>
          <w:b/>
          <w:sz w:val="26"/>
        </w:rPr>
        <w:t xml:space="preserve">3.4.4 95%峰值持续时间</w:t>
      </w:r>
      <w:bookmarkEnd w:id="110"/>
    </w:p>
    <w:p>
      <w:pPr>
        <w:pStyle w:val="FirstParagraph"/>
        <w:widowControl/>
        <w:spacing w:line="300" w:lineRule="auto" w:before="0" w:after="0"/>
        <w:ind w:firstLine="480"/>
        <w:jc w:val="both"/>
      </w:pPr>
      <w:r>
        <w:rPr>
          <w:rFonts w:ascii="Times New Roman" w:hAnsi="Times New Roman" w:eastAsia="方正仿宋_GBK"/>
          <w:b w:val="0"/>
          <w:sz w:val="24"/>
        </w:rPr>
        <w:t xml:space="preserve">对每个方向，以对应峰值的95%构造幅值门槛，统计连续达到门槛的最长时段和全年累计时数。用于储能静态定容的是最长连续段，单位h；全年累计时数用于描述发生频度。</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sSubSup>
                        <m:e>
                          <m:r>
                            <m:t>H</m:t>
                          </m:r>
                        </m:e>
                        <m:sub>
                          <m:r>
                            <m:t>95</m:t>
                          </m:r>
                        </m:sub>
                        <m:sup>
                          <m:r>
                            <m:t>+</m:t>
                          </m:r>
                        </m:sup>
                      </m:sSubSup>
                    </m:e>
                    <m:e>
                      <m:r>
                        <m:t>=</m:t>
                      </m:r>
                      <m:r>
                        <m:rPr>
                          <m:nor/>
                          <m:sty m:val="p"/>
                        </m:rPr>
                        <m:t>max</m:t>
                      </m:r>
                      <m:r>
                        <m:t>{</m:t>
                      </m:r>
                      <m:r>
                        <m:rPr>
                          <m:nor/>
                          <m:sty m:val="p"/>
                        </m:rPr>
                        <m:t>连续时段长度</m:t>
                      </m:r>
                      <m:r>
                        <m:t>:</m:t>
                      </m:r>
                      <m:sSub>
                        <m:e>
                          <m:r>
                            <m:t>P</m:t>
                          </m:r>
                        </m:e>
                        <m:sub>
                          <m:r>
                            <m:t>t</m:t>
                          </m:r>
                        </m:sub>
                      </m:sSub>
                      <m:r>
                        <m:t>≥</m:t>
                      </m:r>
                      <m:r>
                        <m:t>0.95</m:t>
                      </m:r>
                      <m:sSup>
                        <m:e>
                          <m:r>
                            <m:t>P</m:t>
                          </m:r>
                        </m:e>
                        <m:sup>
                          <m:r>
                            <m:t>+</m:t>
                          </m:r>
                        </m:sup>
                      </m:sSup>
                      <m:r>
                        <m:t>}</m:t>
                      </m:r>
                      <m:r>
                        <m:t>,</m:t>
                      </m:r>
                    </m:e>
                  </m:mr>
                  <m:mr>
                    <m:e>
                      <m:sSubSup>
                        <m:e>
                          <m:r>
                            <m:t>H</m:t>
                          </m:r>
                        </m:e>
                        <m:sub>
                          <m:r>
                            <m:t>95</m:t>
                          </m:r>
                        </m:sub>
                        <m:sup>
                          <m:r>
                            <m:t>−</m:t>
                          </m:r>
                        </m:sup>
                      </m:sSubSup>
                    </m:e>
                    <m:e>
                      <m:r>
                        <m:t>=</m:t>
                      </m:r>
                      <m:r>
                        <m:rPr>
                          <m:nor/>
                          <m:sty m:val="p"/>
                        </m:rPr>
                        <m:t>max</m:t>
                      </m:r>
                      <m:r>
                        <m:t>{</m:t>
                      </m:r>
                      <m:r>
                        <m:rPr>
                          <m:nor/>
                          <m:sty m:val="p"/>
                        </m:rPr>
                        <m:t>连续时段长度</m:t>
                      </m:r>
                      <m:r>
                        <m:t>:</m:t>
                      </m:r>
                      <m:r>
                        <m:t>−</m:t>
                      </m:r>
                      <m:sSub>
                        <m:e>
                          <m:r>
                            <m:t>P</m:t>
                          </m:r>
                        </m:e>
                        <m:sub>
                          <m:r>
                            <m:t>t</m:t>
                          </m:r>
                        </m:sub>
                      </m:sSub>
                      <m:r>
                        <m:t>≥</m:t>
                      </m:r>
                      <m:r>
                        <m:t>0.95</m:t>
                      </m:r>
                      <m:sSup>
                        <m:e>
                          <m:r>
                            <m:t>P</m:t>
                          </m:r>
                        </m:e>
                        <m:sup>
                          <m:r>
                            <m:t>−</m:t>
                          </m:r>
                        </m:sup>
                      </m:sSup>
                      <m:r>
                        <m:t>}</m:t>
                      </m:r>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（3-7）</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Sup>
          <m:e>
            <m:r>
              <m:t>H</m:t>
            </m:r>
          </m:e>
          <m:sub>
            <m:r>
              <m:t>95</m:t>
            </m:r>
          </m:sub>
          <m:sup>
            <m:r>
              <m:t>+</m:t>
            </m:r>
          </m:sup>
        </m:sSubSup>
      </m:oMath>
      <w:r>
        <w:rPr>
          <w:rFonts w:ascii="Times New Roman" w:hAnsi="Times New Roman" w:eastAsia="方正仿宋_GBK"/>
          <w:b w:val="0"/>
          <w:sz w:val="24"/>
        </w:rPr>
        <w:t xml:space="preserve">和</w:t>
      </w:r>
      <m:oMath>
        <m:sSubSup>
          <m:e>
            <m:r>
              <m:t>H</m:t>
            </m:r>
          </m:e>
          <m:sub>
            <m:r>
              <m:t>95</m:t>
            </m:r>
          </m:sub>
          <m:sup>
            <m:r>
              <m:t>−</m:t>
            </m:r>
          </m:sup>
        </m:sSubSup>
      </m:oMath>
      <w:r>
        <w:rPr>
          <w:rFonts w:ascii="Times New Roman" w:hAnsi="Times New Roman" w:eastAsia="方正仿宋_GBK"/>
          <w:b w:val="0"/>
          <w:sz w:val="24"/>
        </w:rPr>
        <w:t xml:space="preserve">分别为正向、反向95%峰值持续时间，</w:t>
      </w:r>
      <m:oMath>
        <m:r>
          <m:t>t</m:t>
        </m:r>
      </m:oMath>
      <w:r>
        <w:rPr>
          <w:rFonts w:ascii="Times New Roman" w:hAnsi="Times New Roman" w:eastAsia="方正仿宋_GBK"/>
          <w:b w:val="0"/>
          <w:sz w:val="24"/>
        </w:rPr>
        <w:t xml:space="preserve">为小时序号，</w:t>
      </w:r>
      <m:oMath>
        <m:sSub>
          <m:e>
            <m:r>
              <m:t>P</m:t>
            </m:r>
          </m:e>
          <m:sub>
            <m:r>
              <m:t>t</m:t>
            </m:r>
          </m:sub>
        </m:sSub>
      </m:oMath>
      <w:r>
        <w:rPr>
          <w:rFonts w:ascii="Times New Roman" w:hAnsi="Times New Roman" w:eastAsia="方正仿宋_GBK"/>
          <w:b w:val="0"/>
          <w:sz w:val="24"/>
        </w:rPr>
        <w:t xml:space="preserve">为对应净负荷；持续时间单位为h。仅对本方向峰值大于零的序列提取连续事件；峰值为零时，该方向持续时间记为0。参数情景采用至少1 h的数值下限，储能最终折算分母不小于2.15 h。缺失小时打断连续事件，补值序列的事件须保留估计状态。后续四个仿真年均使用2025年模板持续时间。</w:t>
      </w:r>
    </w:p>
    <w:p>
      <w:pPr>
        <w:pStyle w:val="2"/>
        <w:keepNext/>
        <w:spacing w:line="240" w:lineRule="auto" w:before="120" w:after="0"/>
        <w:ind w:firstLine="0"/>
        <w:jc w:val="center"/>
      </w:pPr>
      <w:r>
        <w:drawing>
          <wp:inline>
            <wp:extent cx="5120640" cy="2950196"/>
            <wp:effectExtent b="0" l="0" r="0" t="0"/>
            <wp:docPr descr="" title="" id="1" name="Picture"/>
            <a:graphic>
              <a:graphicData uri="http://schemas.openxmlformats.org/drawingml/2006/picture">
                <pic:pic>
                  <pic:nvPicPr>
                    <pic:cNvPr descr="研究报告/02图表/当前版/duration_distribution.png" id="0" name="Picture"/>
                    <pic:cNvPicPr>
                      <a:picLocks noChangeArrowheads="1" noChangeAspect="1"/>
                    </pic:cNvPicPr>
                  </pic:nvPicPr>
                  <pic:blipFill>
                    <a:blip r:embed="rId111"/>
                    <a:stretch>
                      <a:fillRect/>
                    </a:stretch>
                  </pic:blipFill>
                  <pic:spPr bwMode="auto">
                    <a:xfrm>
                      <a:off x="0" y="0"/>
                      <a:ext cx="5120640" cy="2950196"/>
                    </a:xfrm>
                    <a:prstGeom prst="rect">
                      <a:avLst/>
                    </a:prstGeom>
                    <a:noFill/>
                    <a:ln w="9525">
                      <a:noFill/>
                      <a:headEnd/>
                      <a:tailEnd/>
                    </a:ln>
                  </pic:spPr>
                </pic:pic>
              </a:graphicData>
            </a:graphic>
          </wp:inline>
        </w:drawing>
      </w:r>
    </w:p>
    <w:p>
      <w:pPr>
        <w:pStyle w:val="2"/>
        <w:spacing w:line="300" w:lineRule="auto" w:before="60" w:after="120"/>
        <w:ind w:firstLine="0"/>
        <w:jc w:val="center"/>
      </w:pPr>
      <w:r>
        <w:rPr>
          <w:rFonts w:ascii="Times New Roman" w:hAnsi="Times New Roman" w:eastAsia="宋体"/>
          <w:b w:val="0"/>
          <w:sz w:val="21"/>
        </w:rPr>
        <w:t xml:space="preserve">图3-5 两地区站级正反向95%峰值持续时间</w:t>
      </w:r>
    </w:p>
    <w:p>
      <w:pPr>
        <w:pStyle w:val="5"/>
        <w:keepNext/>
        <w:numPr>
          <w:numId w:val="0"/>
        </w:numPr>
        <w:spacing w:line="360" w:lineRule="auto" w:before="160" w:after="120"/>
        <w:ind w:firstLine="0"/>
      </w:pPr>
      <w:bookmarkStart w:id="112" w:name="峰段与储能容量的联系"/>
      <w:r>
        <w:rPr>
          <w:rFonts w:ascii="Times New Roman" w:hAnsi="Times New Roman" w:eastAsia="方正仿宋_GBK"/>
          <w:b/>
          <w:sz w:val="26"/>
        </w:rPr>
        <w:t xml:space="preserve">3.4.5 峰段与储能容量的联系</w:t>
      </w:r>
      <w:bookmarkEnd w:id="112"/>
    </w:p>
    <w:p>
      <w:pPr>
        <w:pStyle w:val="FirstParagraph"/>
        <w:widowControl/>
        <w:spacing w:line="300" w:lineRule="auto" w:before="0" w:after="0"/>
        <w:ind w:firstLine="480"/>
        <w:jc w:val="both"/>
      </w:pPr>
      <w:r>
        <w:rPr>
          <w:rFonts w:ascii="Times New Roman" w:hAnsi="Times New Roman" w:eastAsia="方正仿宋_GBK"/>
          <w:b w:val="0"/>
          <w:sz w:val="24"/>
        </w:rPr>
        <w:t xml:space="preserve">峰值幅度和持续时间共同决定静态支撑需求。储能额定功率充足而可用能量不足时，不能覆盖整个连续尖峰；额定能量充足而变流器功率不足时，也不能提供所需瞬时支撑。模型使用铭牌功率与峰段可持续能量的较小值确定有效支撑功率。</w:t>
      </w:r>
    </w:p>
    <w:p>
      <w:pPr>
        <w:pStyle w:val="2"/>
        <w:widowControl/>
        <w:spacing w:line="300" w:lineRule="auto" w:before="0" w:after="0"/>
        <w:ind w:firstLine="480"/>
        <w:jc w:val="both"/>
      </w:pPr>
      <w:r>
        <w:rPr>
          <w:rFonts w:ascii="Times New Roman" w:hAnsi="Times New Roman" w:eastAsia="方正仿宋_GBK"/>
          <w:b w:val="0"/>
          <w:sz w:val="24"/>
        </w:rPr>
        <w:t xml:space="preserve">峰段静态支撑用于规划容量比选。工程阶段进一步校核连续多日运行、充电条件、充放电效率及荷电状态，核定储能保证可用能力[28][10]。</w:t>
      </w:r>
    </w:p>
    <w:p>
      <w:bookmarkStart w:id="1296" w:name="h296"/>
      <w:pPr>
        <w:pStyle w:val="4"/>
        <w:keepNext/>
        <w:numPr>
          <w:numId w:val="0"/>
        </w:numPr>
        <w:spacing w:line="360" w:lineRule="auto" w:before="160" w:after="120"/>
        <w:ind w:firstLine="0"/>
      </w:pPr>
      <w:bookmarkStart w:id="113" w:name="源荷与容量指标的关联分析"/>
      <w:r>
        <w:rPr>
          <w:rFonts w:ascii="Times New Roman" w:hAnsi="Times New Roman" w:eastAsia="方正仿宋_GBK"/>
          <w:b/>
          <w:sz w:val="32"/>
        </w:rPr>
        <w:t xml:space="preserve">3.5 源荷与容量指标的关联分析</w:t>
      </w:r>
      <w:bookmarkEnd w:id="113"/>
      <w:bookmarkEnd w:id="1296"/>
    </w:p>
    <w:p>
      <w:pPr>
        <w:pStyle w:val="5"/>
        <w:keepNext/>
        <w:numPr>
          <w:numId w:val="0"/>
        </w:numPr>
        <w:spacing w:line="360" w:lineRule="auto" w:before="160" w:after="120"/>
        <w:ind w:firstLine="0"/>
      </w:pPr>
      <w:bookmarkStart w:id="114" w:name="邳州和市区的横向对照"/>
      <w:r>
        <w:rPr>
          <w:rFonts w:ascii="Times New Roman" w:hAnsi="Times New Roman" w:eastAsia="方正仿宋_GBK"/>
          <w:b/>
          <w:sz w:val="26"/>
        </w:rPr>
        <w:t xml:space="preserve">3.5.1 邳州和市区的横向对照</w:t>
      </w:r>
      <w:bookmarkEnd w:id="114"/>
    </w:p>
    <w:p>
      <w:pPr>
        <w:pStyle w:val="FirstParagraph"/>
        <w:widowControl/>
        <w:spacing w:line="300" w:lineRule="auto" w:before="0" w:after="0"/>
        <w:ind w:firstLine="480"/>
        <w:jc w:val="both"/>
      </w:pPr>
      <w:r>
        <w:rPr>
          <w:rFonts w:ascii="Times New Roman" w:hAnsi="Times New Roman" w:eastAsia="方正仿宋_GBK"/>
          <w:b w:val="0"/>
          <w:sz w:val="24"/>
        </w:rPr>
        <w:t xml:space="preserve">邳州分布式电源装机渗透率估计为1.63，分布式电源电量渗透率为40.28%；市区分别为0.32和8.69%。两地区2025年主变总容量分别为2139.50和3701.00 MVA，年网供最大负荷分别为956.45和1528.82 MW，对应容载比约2.24和2.42。</w:t>
      </w:r>
    </w:p>
    <w:p>
      <w:pPr>
        <w:pStyle w:val="2"/>
        <w:widowControl/>
        <w:spacing w:line="300" w:lineRule="auto" w:before="0" w:after="0"/>
        <w:ind w:firstLine="480"/>
        <w:jc w:val="both"/>
      </w:pPr>
      <w:r>
        <w:rPr>
          <w:rFonts w:ascii="Times New Roman" w:hAnsi="Times New Roman" w:eastAsia="方正仿宋_GBK"/>
          <w:b w:val="0"/>
          <w:sz w:val="24"/>
        </w:rPr>
        <w:t xml:space="preserve">邳州光伏规模相对较大，设备容量分析需要同时关注正向供电和日间反向净负荷；市区侧重负荷分布及供电安全条件。上述对照为后续选择源荷情景提供依据。</w:t>
      </w:r>
    </w:p>
    <w:p>
      <w:pPr>
        <w:pStyle w:val="2"/>
        <w:keepNext/>
        <w:spacing w:line="300" w:lineRule="auto" w:before="120" w:after="80"/>
        <w:ind w:firstLine="0"/>
        <w:jc w:val="center"/>
      </w:pPr>
      <w:r>
        <w:rPr>
          <w:rFonts w:ascii="Times New Roman" w:hAnsi="Times New Roman" w:eastAsia="宋体"/>
          <w:b w:val="0"/>
          <w:sz w:val="21"/>
        </w:rPr>
        <w:t xml:space="preserve">表3-8 邳州和市区2025年指标对照</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地区</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装机渗透率估计</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电量渗透率估计</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容载比</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负载率中位数</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电量性质</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1.63</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40.28%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52.55%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典型场景及样本外推</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0.32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8.69%</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54.62%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典型场景及样本外推</w:t>
            </w:r>
          </w:p>
        </w:tc>
      </w:tr>
    </w:tbl>
    <w:p>
      <w:pPr>
        <w:pStyle w:val="5"/>
        <w:keepNext/>
        <w:numPr>
          <w:numId w:val="0"/>
        </w:numPr>
        <w:spacing w:line="360" w:lineRule="auto" w:before="160" w:after="120"/>
        <w:ind w:firstLine="0"/>
      </w:pPr>
      <w:bookmarkStart w:id="115" w:name="邳州月度同样本关联"/>
      <w:r>
        <w:rPr>
          <w:rFonts w:ascii="Times New Roman" w:hAnsi="Times New Roman" w:eastAsia="方正仿宋_GBK"/>
          <w:b/>
          <w:sz w:val="26"/>
        </w:rPr>
        <w:t xml:space="preserve">3.5.2 邳州月度同样本关联</w:t>
      </w:r>
      <w:bookmarkEnd w:id="115"/>
    </w:p>
    <w:p>
      <w:pPr>
        <w:pStyle w:val="FirstParagraph"/>
        <w:widowControl/>
        <w:spacing w:line="300" w:lineRule="auto" w:before="0" w:after="0"/>
        <w:ind w:firstLine="480"/>
        <w:jc w:val="both"/>
      </w:pPr>
      <w:r>
        <w:rPr>
          <w:rFonts w:ascii="Times New Roman" w:hAnsi="Times New Roman" w:eastAsia="方正仿宋_GBK"/>
          <w:b w:val="0"/>
          <w:sz w:val="24"/>
        </w:rPr>
        <w:t xml:space="preserve">利用邳州2025年110 kV样本时序和月度光伏装机，可以构造12个月的同样本净电量、光伏电量及月度峰值。为保持容量分母一致，月度容量指标以2025年末容量固定计算，采用同容量条件下的月度分析量。</w:t>
      </w:r>
    </w:p>
    <w:p>
      <w:pPr>
        <w:pStyle w:val="2"/>
        <w:widowControl/>
        <w:spacing w:line="300" w:lineRule="auto" w:before="0" w:after="0"/>
        <w:ind w:firstLine="480"/>
        <w:jc w:val="both"/>
      </w:pPr>
      <w:r>
        <w:rPr>
          <w:rFonts w:ascii="Times New Roman" w:hAnsi="Times New Roman" w:eastAsia="方正仿宋_GBK"/>
          <w:b w:val="0"/>
          <w:sz w:val="24"/>
        </w:rPr>
        <w:t xml:space="preserve">月度分布式电源电量渗透率由该月估计光伏发电量除以重建用户电量得到；容载比（月度分析）和主变负载率估计值由同期净负荷序列得到。主变负载率按净负荷最大绝对值除以0.95倍同范围主变容量估计，0.95为功率因数假定。相关系数采用12个月的样本计算，原式及用途见式（3-8）。季节共同变化及指标共享分母可能形成相关，系数不作因果解释。</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r>
                      <m:t>r</m:t>
                    </m:r>
                  </m:e>
                  <m:sub>
                    <m:r>
                      <m:t>X</m:t>
                    </m:r>
                    <m:r>
                      <m:t>Y</m:t>
                    </m:r>
                  </m:sub>
                </m:sSub>
                <m:r>
                  <m:t>=</m:t>
                </m:r>
                <m:f>
                  <m:fPr>
                    <m:type m:val="bar"/>
                  </m:fPr>
                  <m:num>
                    <m:nary>
                      <m:naryPr>
                        <m:chr m:val="∑"/>
                        <m:limLoc m:val="undOvr"/>
                        <m:subHide m:val="0"/>
                        <m:supHide m:val="0"/>
                      </m:naryPr>
                      <m:sub>
                        <m:r>
                          <m:t>m</m:t>
                        </m:r>
                        <m:r>
                          <m:t>=</m:t>
                        </m:r>
                        <m:r>
                          <m:t>1</m:t>
                        </m:r>
                      </m:sub>
                      <m:sup>
                        <m:r>
                          <m:t>12</m:t>
                        </m:r>
                      </m:sup>
                      <m:e>
                        <m:r>
                          <m:t>(</m:t>
                        </m:r>
                      </m:e>
                    </m:nary>
                    <m:sSub>
                      <m:e>
                        <m:r>
                          <m:t>X</m:t>
                        </m:r>
                      </m:e>
                      <m:sub>
                        <m:r>
                          <m:t>m</m:t>
                        </m:r>
                      </m:sub>
                    </m:sSub>
                    <m:r>
                      <m:t>−</m:t>
                    </m:r>
                    <m:acc>
                      <m:accPr>
                        <m:chr m:val="‾"/>
                      </m:accPr>
                      <m:e>
                        <m:r>
                          <m:t>X</m:t>
                        </m:r>
                      </m:e>
                    </m:acc>
                    <m:r>
                      <m:t>)</m:t>
                    </m:r>
                    <m:r>
                      <m:t>(</m:t>
                    </m:r>
                    <m:sSub>
                      <m:e>
                        <m:r>
                          <m:t>Y</m:t>
                        </m:r>
                      </m:e>
                      <m:sub>
                        <m:r>
                          <m:t>m</m:t>
                        </m:r>
                      </m:sub>
                    </m:sSub>
                    <m:r>
                      <m:t>−</m:t>
                    </m:r>
                    <m:acc>
                      <m:accPr>
                        <m:chr m:val="‾"/>
                      </m:accPr>
                      <m:e>
                        <m:r>
                          <m:t>Y</m:t>
                        </m:r>
                      </m:e>
                    </m:acc>
                    <m:r>
                      <m:t>)</m:t>
                    </m:r>
                  </m:num>
                  <m:den>
                    <m:rad>
                      <m:radPr>
                        <m:degHide m:val="1"/>
                      </m:radPr>
                      <m:deg/>
                      <m:e>
                        <m:nary>
                          <m:naryPr>
                            <m:chr m:val="∑"/>
                            <m:limLoc m:val="undOvr"/>
                            <m:subHide m:val="0"/>
                            <m:supHide m:val="0"/>
                          </m:naryPr>
                          <m:sub>
                            <m:r>
                              <m:t>m</m:t>
                            </m:r>
                            <m:r>
                              <m:t>=</m:t>
                            </m:r>
                            <m:r>
                              <m:t>1</m:t>
                            </m:r>
                          </m:sub>
                          <m:sup>
                            <m:r>
                              <m:t>12</m:t>
                            </m:r>
                          </m:sup>
                          <m:e>
                            <m:r>
                              <m:t>(</m:t>
                            </m:r>
                          </m:e>
                        </m:nary>
                        <m:sSub>
                          <m:e>
                            <m:r>
                              <m:t>X</m:t>
                            </m:r>
                          </m:e>
                          <m:sub>
                            <m:r>
                              <m:t>m</m:t>
                            </m:r>
                          </m:sub>
                        </m:sSub>
                        <m:r>
                          <m:t>−</m:t>
                        </m:r>
                        <m:acc>
                          <m:accPr>
                            <m:chr m:val="‾"/>
                          </m:accPr>
                          <m:e>
                            <m:r>
                              <m:t>X</m:t>
                            </m:r>
                          </m:e>
                        </m:acc>
                        <m:sSup>
                          <m:e>
                            <m:r>
                              <m:t>)</m:t>
                            </m:r>
                          </m:e>
                          <m:sup>
                            <m:r>
                              <m:t>2</m:t>
                            </m:r>
                          </m:sup>
                        </m:sSup>
                        <m:nary>
                          <m:naryPr>
                            <m:chr m:val="∑"/>
                            <m:limLoc m:val="undOvr"/>
                            <m:subHide m:val="0"/>
                            <m:supHide m:val="0"/>
                          </m:naryPr>
                          <m:sub>
                            <m:r>
                              <m:t>m</m:t>
                            </m:r>
                            <m:r>
                              <m:t>=</m:t>
                            </m:r>
                            <m:r>
                              <m:t>1</m:t>
                            </m:r>
                          </m:sub>
                          <m:sup>
                            <m:r>
                              <m:t>12</m:t>
                            </m:r>
                          </m:sup>
                          <m:e>
                            <m:r>
                              <m:t>(</m:t>
                            </m:r>
                          </m:e>
                        </m:nary>
                        <m:sSub>
                          <m:e>
                            <m:r>
                              <m:t>Y</m:t>
                            </m:r>
                          </m:e>
                          <m:sub>
                            <m:r>
                              <m:t>m</m:t>
                            </m:r>
                          </m:sub>
                        </m:sSub>
                        <m:r>
                          <m:t>−</m:t>
                        </m:r>
                        <m:acc>
                          <m:accPr>
                            <m:chr m:val="‾"/>
                          </m:accPr>
                          <m:e>
                            <m:r>
                              <m:t>Y</m:t>
                            </m:r>
                          </m:e>
                        </m:acc>
                        <m:sSup>
                          <m:e>
                            <m:r>
                              <m:t>)</m:t>
                            </m:r>
                          </m:e>
                          <m:sup>
                            <m:r>
                              <m:t>2</m:t>
                            </m:r>
                          </m:sup>
                        </m:sSup>
                      </m:e>
                    </m:rad>
                  </m:den>
                </m:f>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（3-8）</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
          <m:e>
            <m:r>
              <m:t>X</m:t>
            </m:r>
          </m:e>
          <m:sub>
            <m:r>
              <m:t>m</m:t>
            </m:r>
          </m:sub>
        </m:sSub>
      </m:oMath>
      <w:r>
        <w:rPr>
          <w:rFonts w:ascii="Times New Roman" w:hAnsi="Times New Roman" w:eastAsia="方正仿宋_GBK"/>
          <w:b w:val="0"/>
          <w:sz w:val="24"/>
        </w:rPr>
        <w:t xml:space="preserve">和</w:t>
      </w:r>
      <m:oMath>
        <m:sSub>
          <m:e>
            <m:r>
              <m:t>Y</m:t>
            </m:r>
          </m:e>
          <m:sub>
            <m:r>
              <m:t>m</m:t>
            </m:r>
          </m:sub>
        </m:sSub>
      </m:oMath>
      <w:r>
        <w:rPr>
          <w:rFonts w:ascii="Times New Roman" w:hAnsi="Times New Roman" w:eastAsia="方正仿宋_GBK"/>
          <w:b w:val="0"/>
          <w:sz w:val="24"/>
        </w:rPr>
        <w:t xml:space="preserve">为第</w:t>
      </w:r>
      <m:oMath>
        <m:r>
          <m:t>m</m:t>
        </m:r>
      </m:oMath>
      <w:r>
        <w:rPr>
          <w:rFonts w:ascii="Times New Roman" w:hAnsi="Times New Roman" w:eastAsia="方正仿宋_GBK"/>
          <w:b w:val="0"/>
          <w:sz w:val="24"/>
        </w:rPr>
        <w:t xml:space="preserve">月的两个分析指标，</w:t>
      </w:r>
      <m:oMath>
        <m:acc>
          <m:accPr>
            <m:chr m:val="‾"/>
          </m:accPr>
          <m:e>
            <m:r>
              <m:t>X</m:t>
            </m:r>
          </m:e>
        </m:acc>
      </m:oMath>
      <w:r>
        <w:rPr>
          <w:rFonts w:ascii="Times New Roman" w:hAnsi="Times New Roman" w:eastAsia="方正仿宋_GBK"/>
          <w:b w:val="0"/>
          <w:sz w:val="24"/>
        </w:rPr>
        <w:t xml:space="preserve">和</w:t>
      </w:r>
      <m:oMath>
        <m:acc>
          <m:accPr>
            <m:chr m:val="‾"/>
          </m:accPr>
          <m:e>
            <m:r>
              <m:t>Y</m:t>
            </m:r>
          </m:e>
        </m:acc>
      </m:oMath>
      <w:r>
        <w:rPr>
          <w:rFonts w:ascii="Times New Roman" w:hAnsi="Times New Roman" w:eastAsia="方正仿宋_GBK"/>
          <w:b w:val="0"/>
          <w:sz w:val="24"/>
        </w:rPr>
        <w:t xml:space="preserve">分别为12个月指标的算术平均值，</w:t>
      </w:r>
      <m:oMath>
        <m:sSub>
          <m:e>
            <m:r>
              <m:t>r</m:t>
            </m:r>
          </m:e>
          <m:sub>
            <m:r>
              <m:t>X</m:t>
            </m:r>
            <m:r>
              <m:t>Y</m:t>
            </m:r>
          </m:sub>
        </m:sSub>
      </m:oMath>
      <w:r>
        <w:rPr>
          <w:rFonts w:ascii="Times New Roman" w:hAnsi="Times New Roman" w:eastAsia="方正仿宋_GBK"/>
          <w:b w:val="0"/>
          <w:sz w:val="24"/>
        </w:rPr>
        <w:t xml:space="preserve">为Pearson相关系数；</w:t>
      </w:r>
      <m:oMath>
        <m:r>
          <m:t>m</m:t>
        </m:r>
      </m:oMath>
      <w:r>
        <w:rPr>
          <w:rFonts w:ascii="Times New Roman" w:hAnsi="Times New Roman" w:eastAsia="方正仿宋_GBK"/>
          <w:b w:val="0"/>
          <w:sz w:val="24"/>
        </w:rPr>
        <w:t xml:space="preserve">为月份序号。</w:t>
      </w:r>
    </w:p>
    <w:p>
      <w:pPr>
        <w:pStyle w:val="2"/>
        <w:keepNext/>
        <w:spacing w:line="300" w:lineRule="auto" w:before="120" w:after="80"/>
        <w:ind w:firstLine="0"/>
        <w:jc w:val="center"/>
      </w:pPr>
      <w:r>
        <w:rPr>
          <w:rFonts w:ascii="Times New Roman" w:hAnsi="Times New Roman" w:eastAsia="宋体"/>
          <w:b w:val="0"/>
          <w:sz w:val="21"/>
        </w:rPr>
        <w:t xml:space="preserve">表3-9 邳州12个月的描述性相关系数（式3-8）</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关联对象</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Pearson系数</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样本量</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解释范围</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电量渗透率—容载比（月度分析）</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0.66</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固定容量、月度估计、样本内</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电量渗透率—主变负载率估计值</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-0.66</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功率因数假定、非逐台实测</w:t>
            </w:r>
          </w:p>
        </w:tc>
      </w:tr>
    </w:tbl>
    <w:p>
      <w:pPr>
        <w:pStyle w:val="2"/>
        <w:keepNext/>
        <w:spacing w:line="300" w:lineRule="auto" w:before="120" w:after="80"/>
        <w:ind w:firstLine="0"/>
        <w:jc w:val="center"/>
      </w:pPr>
      <w:r>
        <w:rPr>
          <w:rFonts w:ascii="Times New Roman" w:hAnsi="Times New Roman" w:eastAsia="宋体"/>
          <w:b w:val="0"/>
          <w:sz w:val="21"/>
        </w:rPr>
        <w:t xml:space="preserve">表3-10 邳州月度指标计算明细</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月份</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电量渗透率/%</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容载比（月度分析）</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主变负载率估计/%</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光伏电量/MWh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用户电量/MWh</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27.92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104963</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375895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30.79</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2.83</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37.19</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96779</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314368</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41.91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4.25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24.77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119612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285414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57.57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5.60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18.81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130368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226436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60.26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26.92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163852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271920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50.13</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34.48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191575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382125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37.85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47.06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212845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562355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24.77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2.30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45.82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109046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440252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36.79</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29.69</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113324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308070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43.36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5.27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19.98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131956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304320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48.48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22.34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162290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334722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39.38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3.63</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28.99</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161660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410515</w:t>
            </w:r>
          </w:p>
        </w:tc>
      </w:tr>
    </w:tbl>
    <w:p>
      <w:pPr>
        <w:pStyle w:val="2"/>
        <w:widowControl/>
        <w:spacing w:line="300" w:lineRule="auto" w:before="0" w:after="0"/>
        <w:ind w:firstLine="480"/>
        <w:jc w:val="both"/>
      </w:pPr>
      <w:r>
        <w:rPr>
          <w:rFonts w:ascii="Times New Roman" w:hAnsi="Times New Roman" w:eastAsia="方正仿宋_GBK"/>
          <w:b w:val="0"/>
          <w:sz w:val="24"/>
        </w:rPr>
        <w:t xml:space="preserve">邳州12个月的分布式电源电量渗透率与固定主变容量下的容载比（月度分析）呈正相关，与主变负载率估计值呈负相关。该方向与两个区县年度对照并不相同，月度关系包含季节性与固定容量条件，用于同片区季节分析。</w:t>
      </w:r>
    </w:p>
    <w:p>
      <w:pPr>
        <w:pStyle w:val="2"/>
        <w:keepNext/>
        <w:spacing w:line="240" w:lineRule="auto" w:before="120" w:after="0"/>
        <w:ind w:firstLine="0"/>
        <w:jc w:val="center"/>
      </w:pPr>
      <w:r>
        <w:drawing>
          <wp:inline>
            <wp:extent cx="5120640" cy="2365283"/>
            <wp:effectExtent b="0" l="0" r="0" t="0"/>
            <wp:docPr descr="" title="" id="1" name="Picture"/>
            <a:graphic>
              <a:graphicData uri="http://schemas.openxmlformats.org/drawingml/2006/picture">
                <pic:pic>
                  <pic:nvPicPr>
                    <pic:cNvPr descr="研究报告/02图表/当前版/monthly_correlation.png" id="0" name="Picture"/>
                    <pic:cNvPicPr>
                      <a:picLocks noChangeArrowheads="1" noChangeAspect="1"/>
                    </pic:cNvPicPr>
                  </pic:nvPicPr>
                  <pic:blipFill>
                    <a:blip r:embed="rId116"/>
                    <a:stretch>
                      <a:fillRect/>
                    </a:stretch>
                  </pic:blipFill>
                  <pic:spPr bwMode="auto">
                    <a:xfrm>
                      <a:off x="0" y="0"/>
                      <a:ext cx="5120640" cy="2365283"/>
                    </a:xfrm>
                    <a:prstGeom prst="rect">
                      <a:avLst/>
                    </a:prstGeom>
                    <a:noFill/>
                    <a:ln w="9525">
                      <a:noFill/>
                      <a:headEnd/>
                      <a:tailEnd/>
                    </a:ln>
                  </pic:spPr>
                </pic:pic>
              </a:graphicData>
            </a:graphic>
          </wp:inline>
        </w:drawing>
      </w:r>
    </w:p>
    <w:p>
      <w:pPr>
        <w:pStyle w:val="2"/>
        <w:spacing w:line="300" w:lineRule="auto" w:before="60" w:after="120"/>
        <w:ind w:firstLine="0"/>
        <w:jc w:val="center"/>
      </w:pPr>
      <w:r>
        <w:rPr>
          <w:rFonts w:ascii="Times New Roman" w:hAnsi="Times New Roman" w:eastAsia="宋体"/>
          <w:b w:val="0"/>
          <w:sz w:val="21"/>
        </w:rPr>
        <w:t xml:space="preserve">图3-6 邳州月度分布式电源电量渗透率与容量压力关联</w:t>
      </w:r>
    </w:p>
    <w:p>
      <w:pPr>
        <w:pStyle w:val="5"/>
        <w:keepNext/>
        <w:numPr>
          <w:numId w:val="0"/>
        </w:numPr>
        <w:spacing w:line="360" w:lineRule="auto" w:before="160" w:after="120"/>
        <w:ind w:firstLine="0"/>
      </w:pPr>
      <w:bookmarkStart w:id="117" w:name="相关性结果的使用"/>
      <w:r>
        <w:rPr>
          <w:rFonts w:ascii="Times New Roman" w:hAnsi="Times New Roman" w:eastAsia="方正仿宋_GBK"/>
          <w:b/>
          <w:sz w:val="26"/>
        </w:rPr>
        <w:t xml:space="preserve">3.5.3 相关性结果的使用</w:t>
      </w:r>
      <w:bookmarkEnd w:id="117"/>
    </w:p>
    <w:p>
      <w:pPr>
        <w:pStyle w:val="FirstParagraph"/>
        <w:widowControl/>
        <w:spacing w:line="300" w:lineRule="auto" w:before="0" w:after="0"/>
        <w:ind w:firstLine="480"/>
        <w:jc w:val="both"/>
      </w:pPr>
      <w:r>
        <w:rPr>
          <w:rFonts w:ascii="Times New Roman" w:hAnsi="Times New Roman" w:eastAsia="方正仿宋_GBK"/>
          <w:b w:val="0"/>
          <w:sz w:val="24"/>
        </w:rPr>
        <w:t xml:space="preserve">月度统计用于识别光伏高发月份与容量压力的共同变化，为峰段情景选择提供参考。月度结果解释邳州同样本的季节变化，跨地区推荐采用五站仿真模板的多参数计算。</w:t>
      </w:r>
    </w:p>
    <w:p>
      <w:pPr>
        <w:pStyle w:val="2"/>
        <w:widowControl/>
        <w:spacing w:line="300" w:lineRule="auto" w:before="0" w:after="0"/>
        <w:ind w:firstLine="480"/>
        <w:jc w:val="both"/>
      </w:pPr>
      <w:r>
        <w:rPr>
          <w:rFonts w:ascii="Times New Roman" w:hAnsi="Times New Roman" w:eastAsia="方正仿宋_GBK"/>
          <w:b w:val="0"/>
          <w:sz w:val="24"/>
        </w:rPr>
        <w:t xml:space="preserve">通用矩阵以装机渗透率划分源荷条件，电量渗透率按统一利用小时和用户年负荷率换算。当前静态技术模型约束的是峰值和持续时间，未求解全年发电消纳目标。电量指标通过源荷条件与容量需求衔接，设备选择由相应峰值和持续时间约束确定。</w:t>
      </w:r>
    </w:p>
    <w:p>
      <w:pPr>
        <w:pStyle w:val="5"/>
        <w:keepNext/>
        <w:numPr>
          <w:numId w:val="0"/>
        </w:numPr>
        <w:spacing w:line="360" w:lineRule="auto" w:before="160" w:after="120"/>
        <w:ind w:firstLine="0"/>
      </w:pPr>
      <w:bookmarkStart w:id="118" w:name="候选指标筛选与驱动因子识别"/>
      <w:r>
        <w:rPr>
          <w:rFonts w:ascii="Times New Roman" w:hAnsi="Times New Roman" w:eastAsia="方正仿宋_GBK"/>
          <w:b/>
          <w:sz w:val="26"/>
        </w:rPr>
        <w:t xml:space="preserve">3.5.4 候选指标筛选与驱动因子识别</w:t>
      </w:r>
      <w:bookmarkEnd w:id="118"/>
    </w:p>
    <w:p>
      <w:pPr>
        <w:pStyle w:val="FirstParagraph"/>
        <w:widowControl/>
        <w:spacing w:line="300" w:lineRule="auto" w:before="0" w:after="0"/>
        <w:ind w:firstLine="480"/>
        <w:jc w:val="both"/>
      </w:pPr>
      <w:r>
        <w:rPr>
          <w:rFonts w:ascii="Times New Roman" w:hAnsi="Times New Roman" w:eastAsia="方正仿宋_GBK"/>
          <w:b w:val="0"/>
          <w:sz w:val="24"/>
        </w:rPr>
        <w:t xml:space="preserve">先从容量需求及工程措施的作用环节列出候选指标，再检查资料是否足以计算、指标是否与容载比共享分母，以及是否能独立改变约束或费用。候选指标及处理结果见下表。</w:t>
      </w:r>
    </w:p>
    <w:p>
      <w:pPr>
        <w:pStyle w:val="2"/>
        <w:keepNext/>
        <w:spacing w:line="300" w:lineRule="auto" w:before="120" w:after="80"/>
        <w:ind w:firstLine="0"/>
        <w:jc w:val="center"/>
      </w:pPr>
      <w:r>
        <w:rPr>
          <w:rFonts w:ascii="Times New Roman" w:hAnsi="Times New Roman" w:eastAsia="宋体"/>
          <w:b w:val="0"/>
          <w:sz w:val="21"/>
        </w:rPr>
        <w:t xml:space="preserve">表3-11 候选指标及筛选处理</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候选指标</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计算或作用方式</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资料条件</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处理结果</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负荷密度</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负荷/有效供电面积</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缺同范围面积记录</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用于供电区域类别核定</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供电区域类别</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导则分类及设备台账</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案例类别；市区按A类假定</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结构条件，按类别校核</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装机渗透率（源荷比）</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同范围装机/用户最大负荷</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案例典型场景估计</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核心源荷参数</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电量渗透率</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发电量/用户电量</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月度装机与样本电量估计</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与装机指标换算，辅助校核</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主变最大负载率及趋势</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设备极值/额定容量</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2025年负载率；缺多年同台记录</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现状诊断，趋势待补充</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正向、反向净负荷峰值</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逐时功率方向极值</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样本时序及典型场景</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直接进入容量约束</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年负荷平均增长率</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年度同比率加权</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五年同范围年度负荷</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核心需求参数</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95%峰值持续时间</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连续近峰段最长时长</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2025年方向峰段模板</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核心支撑参数</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负荷同时性和空间分布</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站峰合计/区域峰；分配权重</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案例样本及两种模板</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结构条件，保留差异</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初始转供率</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可转负荷/源端负荷</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邳州样本；市区假定</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技术能力条件</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主变台数、规格及扩建条件</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设备台账及预留位置</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案例设备；模板规格</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设备候选及实施约束</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线路类型、长度与敷设比例</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架空/电缆及工程长度</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案例参考；两类敷设假定</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分类成本条件</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主变与线路、储能成本比</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同有效MW初始投资之比</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工程资料及价格情景</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核心费用参数</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储能可用能量与效率</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保证出力及荷电状态</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本次采用铭牌静态折算</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工程阶段连续时序校核</w:t>
            </w:r>
          </w:p>
        </w:tc>
      </w:tr>
    </w:tbl>
    <w:p>
      <w:pPr>
        <w:pStyle w:val="2"/>
        <w:widowControl/>
        <w:spacing w:line="300" w:lineRule="auto" w:before="0" w:after="0"/>
        <w:ind w:firstLine="480"/>
        <w:jc w:val="both"/>
      </w:pPr>
      <w:r>
        <w:rPr>
          <w:rFonts w:ascii="Times New Roman" w:hAnsi="Times New Roman" w:eastAsia="方正仿宋_GBK"/>
          <w:b w:val="0"/>
          <w:sz w:val="24"/>
        </w:rPr>
        <w:t xml:space="preserve">相关性分析使用邳州2025年12个月同范围指标和两地区2021—2025年年度容量、负荷，分别计算，避免混合不同地区和时间尺度。月度容载比是固定年末容量下的分析量；年度容载比按实际年度容量计算。相关系数用于描述关联方向，不能据此认定因果关系。</w:t>
      </w:r>
    </w:p>
    <w:p>
      <w:pPr>
        <w:pStyle w:val="2"/>
        <w:keepNext/>
        <w:spacing w:line="300" w:lineRule="auto" w:before="120" w:after="80"/>
        <w:ind w:firstLine="0"/>
        <w:jc w:val="center"/>
      </w:pPr>
      <w:r>
        <w:rPr>
          <w:rFonts w:ascii="Times New Roman" w:hAnsi="Times New Roman" w:eastAsia="宋体"/>
          <w:b w:val="0"/>
          <w:sz w:val="21"/>
        </w:rPr>
        <w:t xml:space="preserve">表3-12 候选指标与容载比的样本相关性</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样本范围</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指标</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样本量</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Pearson</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Spearman</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邳州2025年月度</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电量渗透率</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0.66</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0.71</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邳州2025年月度</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主变负载率估计</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-0.96</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邳州2025年月度</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光伏电量</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-0.10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0.15</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邳州2025年月度</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用户电量</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-0.75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-0.76</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邳州2025年月度</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月正向峰值</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-0.96</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邳州年度</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年网供最大负荷</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-0.96</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-0.80</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邳州年度</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公用主变容量</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0.10</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邳州年度</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年度同比增长率</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-0.20</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市区年度</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年网供最大负荷</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0.09</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-0.30</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市区年度</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公用主变容量</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0.80</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市区年度</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年度同比增长率</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-0.68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-0.80</w:t>
            </w:r>
          </w:p>
        </w:tc>
      </w:tr>
    </w:tbl>
    <w:p>
      <w:pPr>
        <w:pStyle w:val="2"/>
        <w:keepNext/>
        <w:spacing w:line="300" w:lineRule="auto" w:before="120" w:after="80"/>
        <w:ind w:firstLine="0"/>
        <w:jc w:val="center"/>
      </w:pPr>
      <w:r>
        <w:rPr>
          <w:rFonts w:ascii="Times New Roman" w:hAnsi="Times New Roman" w:eastAsia="宋体"/>
          <w:b w:val="0"/>
          <w:sz w:val="21"/>
        </w:rPr>
        <w:t xml:space="preserve">表3-13 候选指标之间的相关性</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指标一</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指标二</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Pearson</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处理依据</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电量渗透率</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主变负载率估计</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-0.66</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同口径季节关联</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电量渗透率</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光伏电量</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0.48</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同口径季节关联</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电量渗透率</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用户电量</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-0.51</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同口径季节关联</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电量渗透率</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月正向峰值</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-0.66</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同口径季节关联</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主变负载率估计</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月正向峰值</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直接换算，合并使用</w:t>
            </w:r>
          </w:p>
        </w:tc>
      </w:tr>
    </w:tbl>
    <w:p>
      <w:pPr>
        <w:pStyle w:val="2"/>
        <w:widowControl/>
        <w:spacing w:line="300" w:lineRule="auto" w:before="0" w:after="0"/>
        <w:ind w:firstLine="480"/>
        <w:jc w:val="both"/>
      </w:pPr>
      <w:r>
        <w:rPr>
          <w:rFonts w:ascii="Times New Roman" w:hAnsi="Times New Roman" w:eastAsia="方正仿宋_GBK"/>
          <w:b w:val="0"/>
          <w:sz w:val="24"/>
        </w:rPr>
        <w:t xml:space="preserve">月度电量渗透率与容载比的相关系数为0.66，与主变负载率估计值为－0.66，反映该样本的季节变化。月正向峰值与负载率估计值完全对应，二者在固定容量和功率因数下互为换算，故不同时作为独立驱动因子。电量渗透率与光伏电量、用户电量的相关系数分别为0.48和－0.51，其变化同时受发电和用电影响。外推中装机渗透率与电量渗透率按统一利用小时换算，二者相关系数为1.00，因此矩阵保留装机渗透率作为独立维度，电量渗透率用于解释和校核源荷条件。</w:t>
      </w:r>
    </w:p>
    <w:p>
      <w:pPr>
        <w:pStyle w:val="2"/>
        <w:widowControl/>
        <w:spacing w:line="300" w:lineRule="auto" w:before="0" w:after="0"/>
        <w:ind w:firstLine="480"/>
        <w:jc w:val="both"/>
      </w:pPr>
      <w:r>
        <w:rPr>
          <w:rFonts w:ascii="Times New Roman" w:hAnsi="Times New Roman" w:eastAsia="方正仿宋_GBK"/>
          <w:b w:val="0"/>
          <w:sz w:val="24"/>
        </w:rPr>
        <w:t xml:space="preserve">负荷增长和峰段持续时间分别进入需求预测与储能支撑，储能成本比反映两类容量支撑方式的经济关系，作为核心参数保留。线路成本用于比较联络建设费用，其对容量取值的作用还需通过配对情景核对。供电区域类别及线路类型决定设备和工程条件；转供率与空间分布作为结构条件。负荷密度缺少同范围面积资料，主变负载率缺少连续多年同台设备记录，暂用于类别判断和现状诊断。参数选取据此结合统计分析与模型作用，不以单一相关系数阈值替代容量校核。</w:t>
      </w:r>
    </w:p>
    <w:p>
      <w:bookmarkStart w:id="1321" w:name="h321"/>
      <w:pPr>
        <w:pStyle w:val="4"/>
        <w:keepNext/>
        <w:numPr>
          <w:numId w:val="0"/>
        </w:numPr>
        <w:spacing w:line="360" w:lineRule="auto" w:before="160" w:after="120"/>
        <w:ind w:firstLine="0"/>
      </w:pPr>
      <w:bookmarkStart w:id="119" w:name="kv负荷转接资料与仿真条件"/>
      <w:r>
        <w:rPr>
          <w:rFonts w:ascii="Times New Roman" w:hAnsi="Times New Roman" w:eastAsia="方正仿宋_GBK"/>
          <w:b/>
          <w:sz w:val="32"/>
        </w:rPr>
        <w:t xml:space="preserve">3.6 10 kV负荷转接资料与仿真条件</w:t>
      </w:r>
      <w:bookmarkEnd w:id="119"/>
      <w:bookmarkEnd w:id="1321"/>
    </w:p>
    <w:p>
      <w:pPr>
        <w:pStyle w:val="5"/>
        <w:keepNext/>
        <w:numPr>
          <w:numId w:val="0"/>
        </w:numPr>
        <w:spacing w:line="360" w:lineRule="auto" w:before="160" w:after="120"/>
        <w:ind w:firstLine="0"/>
      </w:pPr>
      <w:bookmarkStart w:id="120" w:name="现有馈线资料"/>
      <w:r>
        <w:rPr>
          <w:rFonts w:ascii="Times New Roman" w:hAnsi="Times New Roman" w:eastAsia="方正仿宋_GBK"/>
          <w:b/>
          <w:sz w:val="26"/>
        </w:rPr>
        <w:t xml:space="preserve">3.6.1 现有馈线资料</w:t>
      </w:r>
      <w:bookmarkEnd w:id="120"/>
    </w:p>
    <w:p>
      <w:pPr>
        <w:pStyle w:val="FirstParagraph"/>
        <w:widowControl/>
        <w:spacing w:line="300" w:lineRule="auto" w:before="0" w:after="0"/>
        <w:ind w:firstLine="480"/>
        <w:jc w:val="both"/>
      </w:pPr>
      <w:r>
        <w:rPr>
          <w:rFonts w:ascii="Times New Roman" w:hAnsi="Times New Roman" w:eastAsia="方正仿宋_GBK"/>
          <w:b w:val="0"/>
          <w:sz w:val="24"/>
        </w:rPr>
        <w:t xml:space="preserve">邳州局部样本包含六条馈线及跨站联络关系。根据源端负荷、分段位置和接收余量，原样本静态可转移上界为9.98 MW，六馈线源端负荷为35.29 MW，比值28.29%。本研究将该局部样本比例作为邳州各仿真站的初始转供率。</w:t>
      </w:r>
    </w:p>
    <w:p>
      <w:pPr>
        <w:pStyle w:val="2"/>
        <w:widowControl/>
        <w:spacing w:line="300" w:lineRule="auto" w:before="0" w:after="0"/>
        <w:ind w:firstLine="480"/>
        <w:jc w:val="both"/>
      </w:pPr>
      <w:r>
        <w:rPr>
          <w:rFonts w:ascii="Times New Roman" w:hAnsi="Times New Roman" w:eastAsia="方正仿宋_GBK"/>
          <w:b w:val="0"/>
          <w:sz w:val="24"/>
        </w:rPr>
        <w:t xml:space="preserve">具体新线候选区段的原重建负荷为7.49 MW，规划筛查取7.49 MW；按允许电流折算的线路有功容量为9.05 MW。候选有效转供负荷取区段负荷与线路允许容量较小值。线路参考长度为3 km，架空与电缆比例为90%与10%。</w:t>
      </w:r>
    </w:p>
    <w:p>
      <w:pPr>
        <w:pStyle w:val="5"/>
        <w:keepNext/>
        <w:numPr>
          <w:numId w:val="0"/>
        </w:numPr>
        <w:spacing w:line="360" w:lineRule="auto" w:before="160" w:after="120"/>
        <w:ind w:firstLine="0"/>
      </w:pPr>
      <w:bookmarkStart w:id="121" w:name="区县站间转供率的设定"/>
      <w:r>
        <w:rPr>
          <w:rFonts w:ascii="Times New Roman" w:hAnsi="Times New Roman" w:eastAsia="方正仿宋_GBK"/>
          <w:b/>
          <w:sz w:val="26"/>
        </w:rPr>
        <w:t xml:space="preserve">3.6.2 区县站间转供率的设定</w:t>
      </w:r>
      <w:bookmarkEnd w:id="121"/>
    </w:p>
    <w:p>
      <w:pPr>
        <w:pStyle w:val="FirstParagraph"/>
        <w:widowControl/>
        <w:spacing w:line="300" w:lineRule="auto" w:before="0" w:after="0"/>
        <w:ind w:firstLine="480"/>
        <w:jc w:val="both"/>
      </w:pPr>
      <w:r>
        <w:rPr>
          <w:rFonts w:ascii="Times New Roman" w:hAnsi="Times New Roman" w:eastAsia="方正仿宋_GBK"/>
          <w:b w:val="0"/>
          <w:sz w:val="24"/>
        </w:rPr>
        <w:t xml:space="preserve">DL/T 5729—2023《配电网规划设计技术导则》提出，A+、A类供电区域变电站通过中压配电网转移负荷的比例宜为50.00%～70.00%，B、C类宜为30.00%～50.00%[5]。市区按A类供电区域设定初始站间转供率为50.00%。邳州依据六条馈线负荷和跨站联络资料计算得到28.29%，将该样本比例作为县域各站统一的初始转供率。</w:t>
      </w:r>
    </w:p>
    <w:p>
      <w:pPr>
        <w:pStyle w:val="2"/>
        <w:widowControl/>
        <w:spacing w:line="300" w:lineRule="auto" w:before="0" w:after="0"/>
        <w:ind w:firstLine="480"/>
        <w:jc w:val="both"/>
      </w:pPr>
      <w:r>
        <w:rPr>
          <w:rFonts w:ascii="Times New Roman" w:hAnsi="Times New Roman" w:eastAsia="方正仿宋_GBK"/>
          <w:b w:val="0"/>
          <w:sz w:val="24"/>
        </w:rPr>
        <w:t xml:space="preserve">邳州以30%、市区以50%作为转供能力规划目标，分别以50%和70%作为研究上限。利用既有能力进行负荷转接的新增建设投资为零；能力不足时，通过新建10 kV联络线补充。两区县均允许内部任意两个不同站之间设置新增等效联络项目。第五章列明能力预算、项目计费和送受端校核方法[5]。</w:t>
      </w:r>
    </w:p>
    <w:p>
      <w:pPr>
        <w:pStyle w:val="5"/>
        <w:keepNext/>
        <w:numPr>
          <w:numId w:val="0"/>
        </w:numPr>
        <w:spacing w:line="360" w:lineRule="auto" w:before="160" w:after="120"/>
        <w:ind w:firstLine="0"/>
      </w:pPr>
      <w:bookmarkStart w:id="122" w:name="电源归属及反送处理"/>
      <w:r>
        <w:rPr>
          <w:rFonts w:ascii="Times New Roman" w:hAnsi="Times New Roman" w:eastAsia="方正仿宋_GBK"/>
          <w:b/>
          <w:sz w:val="26"/>
        </w:rPr>
        <w:t xml:space="preserve">3.6.3 电源归属及反送处理</w:t>
      </w:r>
      <w:bookmarkEnd w:id="122"/>
    </w:p>
    <w:p>
      <w:pPr>
        <w:pStyle w:val="FirstParagraph"/>
        <w:widowControl/>
        <w:spacing w:line="300" w:lineRule="auto" w:before="0" w:after="0"/>
        <w:ind w:firstLine="480"/>
        <w:jc w:val="both"/>
      </w:pPr>
      <w:r>
        <w:rPr>
          <w:rFonts w:ascii="Times New Roman" w:hAnsi="Times New Roman" w:eastAsia="方正仿宋_GBK"/>
          <w:b w:val="0"/>
          <w:sz w:val="24"/>
        </w:rPr>
        <w:t xml:space="preserve">正常转接的是用电负荷，电源仍保留在原站。转出负荷后，本地消纳减少，原站反送压力可能增加。缺少转接块逐时曲线时，模型以原反送峰值加转出峰值作为保守上界，不抵扣受端增加消纳的收益。该规则使正向减压与潜在反向增压同步进入筛查。</w:t>
      </w:r>
    </w:p>
    <w:p>
      <w:pPr>
        <w:pStyle w:val="2"/>
        <w:widowControl/>
        <w:spacing w:line="300" w:lineRule="auto" w:before="0" w:after="0"/>
        <w:ind w:firstLine="480"/>
        <w:jc w:val="both"/>
      </w:pPr>
      <w:r>
        <w:rPr>
          <w:rFonts w:ascii="Times New Roman" w:hAnsi="Times New Roman" w:eastAsia="方正仿宋_GBK"/>
          <w:b w:val="0"/>
          <w:sz w:val="24"/>
        </w:rPr>
        <w:t xml:space="preserve">该上界按峰值包络处理反向容量需求。取得转接负荷块的同步负荷与光伏时序后，可按同一时刻重新计算两端净负荷，并同步修正正向与反向约束。</w:t>
      </w:r>
    </w:p>
    <w:p>
      <w:bookmarkStart w:id="1331" w:name="h331"/>
      <w:pPr>
        <w:pStyle w:val="4"/>
        <w:keepNext/>
        <w:numPr>
          <w:numId w:val="0"/>
        </w:numPr>
        <w:spacing w:line="360" w:lineRule="auto" w:before="160" w:after="120"/>
        <w:ind w:firstLine="0"/>
      </w:pPr>
      <w:bookmarkStart w:id="123" w:name="站级净负荷分布与配置需求"/>
      <w:r>
        <w:rPr>
          <w:rFonts w:ascii="Times New Roman" w:hAnsi="Times New Roman" w:eastAsia="方正仿宋_GBK"/>
          <w:b/>
          <w:sz w:val="32"/>
        </w:rPr>
        <w:t xml:space="preserve">3.7 站级净负荷分布与配置需求</w:t>
      </w:r>
      <w:bookmarkEnd w:id="123"/>
      <w:bookmarkEnd w:id="1331"/>
    </w:p>
    <w:p>
      <w:pPr>
        <w:pStyle w:val="5"/>
        <w:keepNext/>
        <w:numPr>
          <w:numId w:val="0"/>
        </w:numPr>
        <w:spacing w:line="360" w:lineRule="auto" w:before="160" w:after="120"/>
        <w:ind w:firstLine="0"/>
      </w:pPr>
      <w:bookmarkStart w:id="124" w:name="邳州仿真净负荷"/>
      <w:r>
        <w:rPr>
          <w:rFonts w:ascii="Times New Roman" w:hAnsi="Times New Roman" w:eastAsia="方正仿宋_GBK"/>
          <w:b/>
          <w:sz w:val="26"/>
        </w:rPr>
        <w:t xml:space="preserve">3.7.1 邳州仿真净负荷</w:t>
      </w:r>
      <w:bookmarkEnd w:id="124"/>
    </w:p>
    <w:p>
      <w:pPr>
        <w:pStyle w:val="FirstParagraph"/>
        <w:widowControl/>
        <w:spacing w:line="300" w:lineRule="auto" w:before="0" w:after="0"/>
        <w:ind w:firstLine="480"/>
        <w:jc w:val="both"/>
      </w:pPr>
      <w:r>
        <w:rPr>
          <w:rFonts w:ascii="Times New Roman" w:hAnsi="Times New Roman" w:eastAsia="方正仿宋_GBK"/>
          <w:b w:val="0"/>
          <w:sz w:val="24"/>
        </w:rPr>
        <w:t xml:space="preserve">邳州将2025年站级正向、反向净负荷分布标定到容载比2.00的基期，后续按年负荷平均增长率推演。各站采用相同年度规模系数，保留站级源荷结构和峰段持续时间。</w:t>
      </w:r>
    </w:p>
    <w:p>
      <w:pPr>
        <w:pStyle w:val="2"/>
        <w:keepNext/>
        <w:spacing w:line="240" w:lineRule="auto" w:before="120" w:after="0"/>
        <w:ind w:firstLine="0"/>
        <w:jc w:val="center"/>
      </w:pPr>
      <w:r>
        <w:drawing>
          <wp:inline>
            <wp:extent cx="5120640" cy="4665837"/>
            <wp:effectExtent b="0" l="0" r="0" t="0"/>
            <wp:docPr descr="" title="" id="1" name="Picture"/>
            <a:graphic>
              <a:graphicData uri="http://schemas.openxmlformats.org/drawingml/2006/picture">
                <pic:pic>
                  <pic:nvPicPr>
                    <pic:cNvPr descr="研究报告/02图表/当前版/pizhou_modeled_peaks.png" id="0" name="Picture"/>
                    <pic:cNvPicPr>
                      <a:picLocks noChangeArrowheads="1" noChangeAspect="1"/>
                    </pic:cNvPicPr>
                  </pic:nvPicPr>
                  <pic:blipFill>
                    <a:blip r:embed="rId125"/>
                    <a:stretch>
                      <a:fillRect/>
                    </a:stretch>
                  </pic:blipFill>
                  <pic:spPr bwMode="auto">
                    <a:xfrm>
                      <a:off x="0" y="0"/>
                      <a:ext cx="5120640" cy="4665837"/>
                    </a:xfrm>
                    <a:prstGeom prst="rect">
                      <a:avLst/>
                    </a:prstGeom>
                    <a:noFill/>
                    <a:ln w="9525">
                      <a:noFill/>
                      <a:headEnd/>
                      <a:tailEnd/>
                    </a:ln>
                  </pic:spPr>
                </pic:pic>
              </a:graphicData>
            </a:graphic>
          </wp:inline>
        </w:drawing>
      </w:r>
    </w:p>
    <w:p>
      <w:pPr>
        <w:pStyle w:val="2"/>
        <w:spacing w:line="300" w:lineRule="auto" w:before="60" w:after="120"/>
        <w:ind w:firstLine="0"/>
        <w:jc w:val="center"/>
      </w:pPr>
      <w:r>
        <w:rPr>
          <w:rFonts w:ascii="Times New Roman" w:hAnsi="Times New Roman" w:eastAsia="宋体"/>
          <w:b w:val="0"/>
          <w:sz w:val="21"/>
        </w:rPr>
        <w:t xml:space="preserve">图3-7 邳州逐站仿真年度净负荷最大绝对值</w:t>
      </w:r>
    </w:p>
    <w:p>
      <w:pPr>
        <w:pStyle w:val="2"/>
        <w:widowControl/>
        <w:spacing w:line="300" w:lineRule="auto" w:before="0" w:after="0"/>
        <w:ind w:firstLine="480"/>
        <w:jc w:val="both"/>
      </w:pPr>
      <w:r>
        <w:rPr>
          <w:rFonts w:ascii="Times New Roman" w:hAnsi="Times New Roman" w:eastAsia="方正仿宋_GBK"/>
          <w:b w:val="0"/>
          <w:sz w:val="24"/>
        </w:rPr>
        <w:t xml:space="preserve">图中每行对应一座变电站，每列对应一个仿真年，单元格数值为该站正向与反向净负荷峰值中的较大值，颜色越深表示容量压力越大。该图用于定位需要重点校核的站点，并观察负荷增长对站级需求的影响；同一站四年的变化来自相同空间分布下的年度增长假定。峰值方向及持续时间在表中分别列示。</w:t>
      </w:r>
    </w:p>
    <w:p>
      <w:pPr>
        <w:pStyle w:val="5"/>
        <w:keepNext/>
        <w:numPr>
          <w:numId w:val="0"/>
        </w:numPr>
        <w:spacing w:line="360" w:lineRule="auto" w:before="160" w:after="120"/>
        <w:ind w:firstLine="0"/>
      </w:pPr>
      <w:bookmarkStart w:id="126" w:name="市区仿真净负荷"/>
      <w:r>
        <w:rPr>
          <w:rFonts w:ascii="Times New Roman" w:hAnsi="Times New Roman" w:eastAsia="方正仿宋_GBK"/>
          <w:b/>
          <w:sz w:val="26"/>
        </w:rPr>
        <w:t xml:space="preserve">3.7.2 市区仿真净负荷</w:t>
      </w:r>
      <w:bookmarkEnd w:id="126"/>
    </w:p>
    <w:p>
      <w:pPr>
        <w:pStyle w:val="FirstParagraph"/>
        <w:widowControl/>
        <w:spacing w:line="300" w:lineRule="auto" w:before="0" w:after="0"/>
        <w:ind w:firstLine="480"/>
        <w:jc w:val="both"/>
      </w:pPr>
      <w:r>
        <w:rPr>
          <w:rFonts w:ascii="Times New Roman" w:hAnsi="Times New Roman" w:eastAsia="方正仿宋_GBK"/>
          <w:b w:val="0"/>
          <w:sz w:val="24"/>
        </w:rPr>
        <w:t xml:space="preserve">市区29站同样按2025年空间分布与仿真年度规模标定。初始转供率50%用于内部负荷调整，A类供电区域的设备选择与转供能力范围进入规划条件。</w:t>
      </w:r>
    </w:p>
    <w:p>
      <w:pPr>
        <w:pStyle w:val="2"/>
        <w:keepNext/>
        <w:spacing w:line="240" w:lineRule="auto" w:before="120" w:after="0"/>
        <w:ind w:firstLine="0"/>
        <w:jc w:val="center"/>
      </w:pPr>
      <w:r>
        <w:drawing>
          <wp:inline>
            <wp:extent cx="5120640" cy="6115865"/>
            <wp:effectExtent b="0" l="0" r="0" t="0"/>
            <wp:docPr descr="" title="" id="1" name="Picture"/>
            <a:graphic>
              <a:graphicData uri="http://schemas.openxmlformats.org/drawingml/2006/picture">
                <pic:pic>
                  <pic:nvPicPr>
                    <pic:cNvPr descr="研究报告/02图表/当前版/city_modeled_peaks.png" id="0" name="Picture"/>
                    <pic:cNvPicPr>
                      <a:picLocks noChangeArrowheads="1" noChangeAspect="1"/>
                    </pic:cNvPicPr>
                  </pic:nvPicPr>
                  <pic:blipFill>
                    <a:blip r:embed="rId127"/>
                    <a:stretch>
                      <a:fillRect/>
                    </a:stretch>
                  </pic:blipFill>
                  <pic:spPr bwMode="auto">
                    <a:xfrm>
                      <a:off x="0" y="0"/>
                      <a:ext cx="5120640" cy="6115865"/>
                    </a:xfrm>
                    <a:prstGeom prst="rect">
                      <a:avLst/>
                    </a:prstGeom>
                    <a:noFill/>
                    <a:ln w="9525">
                      <a:noFill/>
                      <a:headEnd/>
                      <a:tailEnd/>
                    </a:ln>
                  </pic:spPr>
                </pic:pic>
              </a:graphicData>
            </a:graphic>
          </wp:inline>
        </w:drawing>
      </w:r>
    </w:p>
    <w:p>
      <w:pPr>
        <w:pStyle w:val="2"/>
        <w:spacing w:line="300" w:lineRule="auto" w:before="60" w:after="120"/>
        <w:ind w:firstLine="0"/>
        <w:jc w:val="center"/>
      </w:pPr>
      <w:r>
        <w:rPr>
          <w:rFonts w:ascii="Times New Roman" w:hAnsi="Times New Roman" w:eastAsia="宋体"/>
          <w:b w:val="0"/>
          <w:sz w:val="21"/>
        </w:rPr>
        <w:t xml:space="preserve">图3-8 市区逐站仿真年度净负荷最大绝对值</w:t>
      </w:r>
    </w:p>
    <w:p>
      <w:pPr>
        <w:pStyle w:val="2"/>
        <w:widowControl/>
        <w:spacing w:line="300" w:lineRule="auto" w:before="0" w:after="0"/>
        <w:ind w:firstLine="480"/>
        <w:jc w:val="both"/>
      </w:pPr>
      <w:r>
        <w:rPr>
          <w:rFonts w:ascii="Times New Roman" w:hAnsi="Times New Roman" w:eastAsia="方正仿宋_GBK"/>
          <w:b w:val="0"/>
          <w:sz w:val="24"/>
        </w:rPr>
        <w:t xml:space="preserve">市区最大反向净负荷相对较小，主要容量需求来自正向负荷及主变N-1后的供电缺口。局部负荷分布、设备台数和承接站余量共同影响增容、配储和联络选择。</w:t>
      </w:r>
    </w:p>
    <w:p>
      <w:pPr>
        <w:pStyle w:val="5"/>
        <w:keepNext/>
        <w:numPr>
          <w:numId w:val="0"/>
        </w:numPr>
        <w:spacing w:line="360" w:lineRule="auto" w:before="160" w:after="120"/>
        <w:ind w:firstLine="0"/>
      </w:pPr>
      <w:bookmarkStart w:id="128" w:name="较高净负荷站的方向与时间"/>
      <w:r>
        <w:rPr>
          <w:rFonts w:ascii="Times New Roman" w:hAnsi="Times New Roman" w:eastAsia="方正仿宋_GBK"/>
          <w:b/>
          <w:sz w:val="26"/>
        </w:rPr>
        <w:t xml:space="preserve">3.7.3 较高净负荷站的方向与时间</w:t>
      </w:r>
      <w:bookmarkEnd w:id="128"/>
    </w:p>
    <w:p>
      <w:pPr>
        <w:pStyle w:val="FirstParagraph"/>
        <w:keepNext/>
        <w:spacing w:line="300" w:lineRule="auto" w:before="120" w:after="80"/>
        <w:ind w:firstLine="0"/>
        <w:jc w:val="center"/>
      </w:pPr>
      <w:r>
        <w:rPr>
          <w:rFonts w:ascii="Times New Roman" w:hAnsi="Times New Roman" w:eastAsia="宋体"/>
          <w:b w:val="0"/>
          <w:sz w:val="21"/>
        </w:rPr>
        <w:t xml:space="preserve">表3-14 第4年净负荷较大站的运行特征</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41"/>
        <w:gridCol w:w="1609"/>
        <w:gridCol w:w="1341"/>
        <w:gridCol w:w="1341"/>
        <w:gridCol w:w="1341"/>
        <w:gridCol w:w="1341"/>
      </w:tblGrid>
      <w:tr>
        <w:trPr>
          <w:cantSplit/>
          <w:tblHeader/>
        </w:trPr>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地区</w:t>
            </w:r>
          </w:p>
        </w:tc>
        <w:tc>
          <w:tcPr>
            <w:tcW w:type="dxa" w:w="160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站号</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正向/MW</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反向/MW</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正向持续/h</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反向持续/h</w:t>
            </w:r>
          </w:p>
        </w:tc>
      </w:tr>
      <w:tr>
        <w:trPr>
          <w:cantSplit/>
        </w:trPr>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0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BDZ-00028</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108.09</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0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BDZ-00026</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96.09</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18.83</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0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BDZ-00135</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88.53</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59.41</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0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BDZ-00048</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76.30</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4.76</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0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BDZ-00016</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72.47</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32.99</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0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BDZ-00151</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110.92</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0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BDZ-00114</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95.14</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9.47</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0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BDZ-00148</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89.09</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0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BDZ-00023</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89.01</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0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BDZ-00024</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82.69</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bl>
    <w:p>
      <w:pPr>
        <w:pStyle w:val="2"/>
        <w:widowControl/>
        <w:spacing w:line="300" w:lineRule="auto" w:before="0" w:after="0"/>
        <w:ind w:firstLine="480"/>
        <w:jc w:val="both"/>
      </w:pPr>
      <w:r>
        <w:rPr>
          <w:rFonts w:ascii="Times New Roman" w:hAnsi="Times New Roman" w:eastAsia="方正仿宋_GBK"/>
          <w:b w:val="0"/>
          <w:sz w:val="24"/>
        </w:rPr>
        <w:t xml:space="preserve">表中分别选取两地区仿真第4年净负荷最大绝对值较大的5座站。方向峰值与持续时间成对使用，用于识别主变有功容量和储能能量需求。</w:t>
      </w:r>
    </w:p>
    <w:p>
      <w:pPr>
        <w:pStyle w:val="5"/>
        <w:keepNext/>
        <w:numPr>
          <w:numId w:val="0"/>
        </w:numPr>
        <w:spacing w:line="360" w:lineRule="auto" w:before="160" w:after="120"/>
        <w:ind w:firstLine="0"/>
      </w:pPr>
      <w:bookmarkStart w:id="129" w:name="运行分析与寻优输入的衔接"/>
      <w:r>
        <w:rPr>
          <w:rFonts w:ascii="Times New Roman" w:hAnsi="Times New Roman" w:eastAsia="方正仿宋_GBK"/>
          <w:b/>
          <w:sz w:val="26"/>
        </w:rPr>
        <w:t xml:space="preserve">3.7.4 运行分析与寻优输入的衔接</w:t>
      </w:r>
      <w:bookmarkEnd w:id="129"/>
    </w:p>
    <w:p>
      <w:pPr>
        <w:pStyle w:val="FirstParagraph"/>
        <w:widowControl/>
        <w:spacing w:line="300" w:lineRule="auto" w:before="0" w:after="0"/>
        <w:ind w:firstLine="480"/>
        <w:jc w:val="both"/>
      </w:pPr>
      <w:r>
        <w:rPr>
          <w:rFonts w:ascii="Times New Roman" w:hAnsi="Times New Roman" w:eastAsia="方正仿宋_GBK"/>
          <w:b w:val="0"/>
          <w:sz w:val="24"/>
        </w:rPr>
        <w:t xml:space="preserve">两地区采用相同三类措施，负荷和设备结构不同，各约束的作用也不同。站级正向负荷转出后，原站电源保持归属，反向校核上界相应增加；承接站按转接后的正向负荷校核正常运行与主变N-1容量。</w:t>
      </w:r>
    </w:p>
    <w:p>
      <w:pPr>
        <w:pStyle w:val="2"/>
        <w:widowControl/>
        <w:spacing w:line="300" w:lineRule="auto" w:before="0" w:after="0"/>
        <w:ind w:firstLine="480"/>
        <w:jc w:val="both"/>
      </w:pPr>
      <w:r>
        <w:rPr>
          <w:rFonts w:ascii="Times New Roman" w:hAnsi="Times New Roman" w:eastAsia="方正仿宋_GBK"/>
          <w:b w:val="0"/>
          <w:sz w:val="24"/>
        </w:rPr>
        <w:t xml:space="preserve">区域年网供最大负荷按仿真增长条件确定，区县内部转接保持站级负荷总量。第五章按逐站约束求得设备容量，再计算年度容载比。</w:t>
      </w:r>
    </w:p>
    <w:p>
      <w:pPr>
        <w:pStyle w:val="5"/>
        <w:keepNext/>
        <w:numPr>
          <w:numId w:val="0"/>
        </w:numPr>
        <w:spacing w:line="360" w:lineRule="auto" w:before="160" w:after="120"/>
        <w:ind w:firstLine="0"/>
      </w:pPr>
      <w:bookmarkStart w:id="130" w:name="站级净负荷的主导方向"/>
      <w:r>
        <w:rPr>
          <w:rFonts w:ascii="Times New Roman" w:hAnsi="Times New Roman" w:eastAsia="方正仿宋_GBK"/>
          <w:b/>
          <w:sz w:val="26"/>
        </w:rPr>
        <w:t xml:space="preserve">3.7.5 站级净负荷的主导方向</w:t>
      </w:r>
      <w:bookmarkEnd w:id="130"/>
    </w:p>
    <w:p>
      <w:pPr>
        <w:pStyle w:val="FirstParagraph"/>
        <w:keepNext/>
        <w:spacing w:line="300" w:lineRule="auto" w:before="120" w:after="80"/>
        <w:ind w:firstLine="0"/>
        <w:jc w:val="center"/>
      </w:pPr>
      <w:r>
        <w:rPr>
          <w:rFonts w:ascii="Times New Roman" w:hAnsi="Times New Roman" w:eastAsia="宋体"/>
          <w:b w:val="0"/>
          <w:sz w:val="21"/>
        </w:rPr>
        <w:t xml:space="preserve">表3-15 第4年站级净负荷方向统计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地区</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变电站数量</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反向较大站数</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存在反向净负荷站数</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w:t>
            </w:r>
          </w:p>
        </w:tc>
      </w:tr>
    </w:tbl>
    <w:p>
      <w:pPr>
        <w:pStyle w:val="2"/>
        <w:widowControl/>
        <w:spacing w:line="300" w:lineRule="auto" w:before="0" w:after="0"/>
        <w:ind w:firstLine="480"/>
        <w:jc w:val="both"/>
      </w:pPr>
      <w:r>
        <w:rPr>
          <w:rFonts w:ascii="Times New Roman" w:hAnsi="Times New Roman" w:eastAsia="方正仿宋_GBK"/>
          <w:b w:val="0"/>
          <w:sz w:val="24"/>
        </w:rPr>
        <w:t xml:space="preserve">方向统计以转接前最大正向、反向净负荷比较得到。存在反向净负荷的站点中，部分站仍以正向峰值为主；最大绝对值所在站与反向较大的站也可能不同。规划中分别保留两个方向，供电和反向承载使用对应容量约束。</w:t>
      </w:r>
    </w:p>
    <w:p>
      <w:bookmarkStart w:id="1351" w:name="h351"/>
      <w:pPr>
        <w:pStyle w:val="4"/>
        <w:keepNext/>
        <w:numPr>
          <w:numId w:val="0"/>
        </w:numPr>
        <w:spacing w:line="360" w:lineRule="auto" w:before="160" w:after="120"/>
        <w:ind w:firstLine="0"/>
      </w:pPr>
      <w:bookmarkStart w:id="131" w:name="数据基础的适用范围"/>
      <w:r>
        <w:rPr>
          <w:rFonts w:ascii="Times New Roman" w:hAnsi="Times New Roman" w:eastAsia="方正仿宋_GBK"/>
          <w:b/>
          <w:sz w:val="32"/>
        </w:rPr>
        <w:t xml:space="preserve">3.8 数据基础的适用范围</w:t>
      </w:r>
      <w:bookmarkEnd w:id="131"/>
      <w:bookmarkEnd w:id="1351"/>
    </w:p>
    <w:p>
      <w:pPr>
        <w:pStyle w:val="FirstParagraph"/>
        <w:widowControl/>
        <w:spacing w:line="300" w:lineRule="auto" w:before="0" w:after="0"/>
        <w:ind w:firstLine="480"/>
        <w:jc w:val="both"/>
      </w:pPr>
      <w:r>
        <w:rPr>
          <w:rFonts w:ascii="Times New Roman" w:hAnsi="Times New Roman" w:eastAsia="方正仿宋_GBK"/>
          <w:b w:val="0"/>
          <w:sz w:val="24"/>
        </w:rPr>
        <w:t xml:space="preserve">现有收资能够支持年度区县容量对照、站级静态压力筛查和统一费用比较。分布式电源装机渗透率、分布式电源电量渗透率及站级仿真净负荷含估计成分，报告以算式和条件说明其用途。月度相关性用于样本分析，2025年持续时间模板用于规划仿真。</w:t>
      </w:r>
    </w:p>
    <w:p>
      <w:pPr>
        <w:pStyle w:val="2"/>
        <w:widowControl/>
        <w:spacing w:line="300" w:lineRule="auto" w:before="0" w:after="0"/>
        <w:ind w:firstLine="480"/>
        <w:jc w:val="both"/>
      </w:pPr>
      <w:r>
        <w:rPr>
          <w:rFonts w:ascii="Times New Roman" w:hAnsi="Times New Roman" w:eastAsia="方正仿宋_GBK"/>
          <w:b w:val="0"/>
          <w:sz w:val="24"/>
        </w:rPr>
        <w:t xml:space="preserve">后续工程应用应优先核定年网供最大负荷形成记录、同范围用户年电量、市区完整设备映射及馈线实际约束。取得核定数据后，应重新计算指标和方案费用。负荷增长情景用于确定规划需求。</w:t>
      </w:r>
    </w:p>
    <w:p>
      <w:bookmarkStart w:id="1354" w:name="h354"/>
      <w:pPr>
        <w:pStyle w:val="3"/>
        <w:keepNext/>
        <w:pageBreakBefore/>
        <w:numPr>
          <w:numId w:val="0"/>
        </w:numPr>
        <w:spacing w:line="360" w:lineRule="auto" w:before="0" w:after="120"/>
        <w:ind w:firstLine="0"/>
      </w:pPr>
      <w:bookmarkStart w:id="132" w:name="第四章-基于实际工程的建设成本模型"/>
      <w:r>
        <w:rPr>
          <w:rFonts w:ascii="Times New Roman" w:hAnsi="Times New Roman" w:eastAsia="方正仿宋_GBK"/>
          <w:b/>
          <w:sz w:val="36"/>
        </w:rPr>
        <w:t xml:space="preserve">第四章 基于实际工程的建设成本模型</w:t>
      </w:r>
      <w:bookmarkEnd w:id="132"/>
      <w:bookmarkEnd w:id="1354"/>
    </w:p>
    <w:p>
      <w:bookmarkStart w:id="1355" w:name="h355"/>
      <w:pPr>
        <w:pStyle w:val="4"/>
        <w:keepNext/>
        <w:numPr>
          <w:numId w:val="0"/>
        </w:numPr>
        <w:spacing w:line="360" w:lineRule="auto" w:before="160" w:after="120"/>
        <w:ind w:firstLine="0"/>
      </w:pPr>
      <w:bookmarkStart w:id="133" w:name="成本模型的范围与建立原则"/>
      <w:r>
        <w:rPr>
          <w:rFonts w:ascii="Times New Roman" w:hAnsi="Times New Roman" w:eastAsia="方正仿宋_GBK"/>
          <w:b/>
          <w:sz w:val="32"/>
        </w:rPr>
        <w:t xml:space="preserve">4.1 成本模型的范围与建立原则</w:t>
      </w:r>
      <w:bookmarkEnd w:id="133"/>
      <w:bookmarkEnd w:id="1355"/>
    </w:p>
    <w:p>
      <w:pPr>
        <w:pStyle w:val="5"/>
        <w:keepNext/>
        <w:numPr>
          <w:numId w:val="0"/>
        </w:numPr>
        <w:spacing w:line="360" w:lineRule="auto" w:before="160" w:after="120"/>
        <w:ind w:firstLine="0"/>
      </w:pPr>
      <w:bookmarkStart w:id="134" w:name="工程事件与计价依据"/>
      <w:r>
        <w:rPr>
          <w:rFonts w:ascii="Times New Roman" w:hAnsi="Times New Roman" w:eastAsia="方正仿宋_GBK"/>
          <w:b/>
          <w:sz w:val="26"/>
        </w:rPr>
        <w:t xml:space="preserve">4.1.1 工程事件与计价依据</w:t>
      </w:r>
      <w:bookmarkEnd w:id="134"/>
    </w:p>
    <w:p>
      <w:pPr>
        <w:pStyle w:val="FirstParagraph"/>
        <w:widowControl/>
        <w:spacing w:line="300" w:lineRule="auto" w:before="0" w:after="0"/>
        <w:ind w:firstLine="480"/>
        <w:jc w:val="both"/>
      </w:pPr>
      <w:r>
        <w:rPr>
          <w:rFonts w:ascii="Times New Roman" w:hAnsi="Times New Roman" w:eastAsia="方正仿宋_GBK"/>
          <w:b w:val="0"/>
          <w:sz w:val="24"/>
        </w:rPr>
        <w:t xml:space="preserve">本研究比较新增主变、储能与10 kV联络措施的增量费用。先识别每年发生的工程事件，再按工程规模和统一价格计算投资。主变更换以整台新购铭牌容量计价，扩建主变按独立扩建项目计价，储能按新增柜数计价，线路按当年新投运条数计价。既有资产只影响技术条件，其原建设费用不重复计入。</w:t>
      </w:r>
    </w:p>
    <w:p>
      <w:pPr>
        <w:pStyle w:val="2"/>
        <w:widowControl/>
        <w:spacing w:line="300" w:lineRule="auto" w:before="0" w:after="0"/>
        <w:ind w:firstLine="480"/>
        <w:jc w:val="both"/>
      </w:pPr>
      <w:r>
        <w:rPr>
          <w:rFonts w:ascii="Times New Roman" w:hAnsi="Times New Roman" w:eastAsia="方正仿宋_GBK"/>
          <w:b w:val="0"/>
          <w:sz w:val="24"/>
        </w:rPr>
        <w:t xml:space="preserve">主变、储能与线路均按项目范围使用价格。徐州主变投资表的静态总投资包括工程配套内容；储能成交公告包括设备采购及安装等范围；线路参考价来自公开规划造价。参考价格按各案例工程范围折算，通过主变与线路、主变与储能两个成本比检查价格变化对措施选择的影响[85][87][86]。</w:t>
      </w:r>
    </w:p>
    <w:p>
      <w:pPr>
        <w:pStyle w:val="5"/>
        <w:keepNext/>
        <w:numPr>
          <w:numId w:val="0"/>
        </w:numPr>
        <w:spacing w:line="360" w:lineRule="auto" w:before="160" w:after="120"/>
        <w:ind w:firstLine="0"/>
      </w:pPr>
      <w:bookmarkStart w:id="135" w:name="投资运维与更新"/>
      <w:r>
        <w:rPr>
          <w:rFonts w:ascii="Times New Roman" w:hAnsi="Times New Roman" w:eastAsia="方正仿宋_GBK"/>
          <w:b/>
          <w:sz w:val="26"/>
        </w:rPr>
        <w:t xml:space="preserve">4.1.2 投资、运维与更新</w:t>
      </w:r>
      <w:bookmarkEnd w:id="135"/>
    </w:p>
    <w:p>
      <w:pPr>
        <w:pStyle w:val="FirstParagraph"/>
        <w:widowControl/>
        <w:spacing w:line="300" w:lineRule="auto" w:before="0" w:after="0"/>
        <w:ind w:firstLine="480"/>
        <w:jc w:val="both"/>
      </w:pPr>
      <w:r>
        <w:rPr>
          <w:rFonts w:ascii="Times New Roman" w:hAnsi="Times New Roman" w:eastAsia="方正仿宋_GBK"/>
          <w:b w:val="0"/>
          <w:sz w:val="24"/>
        </w:rPr>
        <w:t xml:space="preserve">全寿命费用以2021年末为评价基准，截止于2041年。新增工程在投运年发生初始投资，次年起计固定运维；设备达到设定寿命且评价期尚需服务时，按同等实价更新。不同寿命的措施以同一现金流边界比较[10][11][12]。</w:t>
      </w:r>
    </w:p>
    <w:p>
      <w:pPr>
        <w:pStyle w:val="2"/>
        <w:widowControl/>
        <w:spacing w:line="300" w:lineRule="auto" w:before="0" w:after="0"/>
        <w:ind w:firstLine="480"/>
        <w:jc w:val="both"/>
      </w:pPr>
      <w:r>
        <w:rPr>
          <w:rFonts w:ascii="Times New Roman" w:hAnsi="Times New Roman" w:eastAsia="方正仿宋_GBK"/>
          <w:b w:val="0"/>
          <w:sz w:val="24"/>
        </w:rPr>
        <w:t xml:space="preserve">按甲方提出的经济评价边界，主变和线路寿命均取40年，储能取25年；变电工程固定运维率为初始投资的4.20%/年，线路为2.20%/年。储能固定运维率仍取3.00%/年，折现率取6.00%。寿命及网络维护费率采用甲方参数，储能维护费率和折现率为本研究评价假定。评价截止年仍为2041年，两类方案采用相同参数。</w:t>
      </w:r>
    </w:p>
    <w:p>
      <w:pPr>
        <w:pStyle w:val="2"/>
        <w:keepNext/>
        <w:spacing w:line="300" w:lineRule="auto" w:before="120" w:after="80"/>
        <w:ind w:firstLine="0"/>
        <w:jc w:val="center"/>
      </w:pPr>
      <w:r>
        <w:rPr>
          <w:rFonts w:ascii="Times New Roman" w:hAnsi="Times New Roman" w:eastAsia="宋体"/>
          <w:b w:val="0"/>
          <w:sz w:val="21"/>
        </w:rPr>
        <w:t xml:space="preserve">表4-1 统一经济评价参数</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793"/>
        <w:gridCol w:w="3259"/>
        <w:gridCol w:w="3259"/>
      </w:tblGrid>
      <w:tr>
        <w:trPr>
          <w:cantSplit/>
          <w:tblHeader/>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参数</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取值</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依据</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基准年/截止年</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2021/2041</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研究评价期</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折现率</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6.00%</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研究实价假定</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主变/线路寿命</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40/40年</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甲方反馈参数</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储能寿命</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25年</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甲方反馈参数</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变电维护费率</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初始投资4.20%/年</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甲方反馈参数</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线路维护费率</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初始投资2.20%/年</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甲方反馈参数</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储能维护费率</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初始投资3.00%/年</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研究参数</w:t>
            </w:r>
          </w:p>
        </w:tc>
      </w:tr>
    </w:tbl>
    <w:p>
      <w:pPr>
        <w:pStyle w:val="5"/>
        <w:keepNext/>
        <w:numPr>
          <w:numId w:val="0"/>
        </w:numPr>
        <w:spacing w:line="360" w:lineRule="auto" w:before="160" w:after="120"/>
        <w:ind w:firstLine="0"/>
      </w:pPr>
      <w:bookmarkStart w:id="136" w:name="增量比较的适用范围"/>
      <w:r>
        <w:rPr>
          <w:rFonts w:ascii="Times New Roman" w:hAnsi="Times New Roman" w:eastAsia="方正仿宋_GBK"/>
          <w:b/>
          <w:sz w:val="26"/>
        </w:rPr>
        <w:t xml:space="preserve">4.1.3 增量比较的适用范围</w:t>
      </w:r>
      <w:bookmarkEnd w:id="136"/>
    </w:p>
    <w:p>
      <w:pPr>
        <w:pStyle w:val="FirstParagraph"/>
        <w:widowControl/>
        <w:spacing w:line="300" w:lineRule="auto" w:before="0" w:after="0"/>
        <w:ind w:firstLine="480"/>
        <w:jc w:val="both"/>
      </w:pPr>
      <w:r>
        <w:rPr>
          <w:rFonts w:ascii="Times New Roman" w:hAnsi="Times New Roman" w:eastAsia="方正仿宋_GBK"/>
          <w:b w:val="0"/>
          <w:sz w:val="24"/>
        </w:rPr>
        <w:t xml:space="preserve">2021年存量投资是两方案共有历史费用，不进入增量目标。基期按仿真设备结构确定容量，年网供最大负荷统一标定到容载比2.00。2022年以后增加的措施按明确的购置和投运量计取，后续在役容量非减。该边界使费用差主要来自规划期新增措施及其投运时点。</w:t>
      </w:r>
    </w:p>
    <w:p>
      <w:pPr>
        <w:pStyle w:val="2"/>
        <w:widowControl/>
        <w:spacing w:line="300" w:lineRule="auto" w:before="0" w:after="0"/>
        <w:ind w:firstLine="480"/>
        <w:jc w:val="both"/>
      </w:pPr>
      <w:r>
        <w:rPr>
          <w:rFonts w:ascii="Times New Roman" w:hAnsi="Times New Roman" w:eastAsia="方正仿宋_GBK"/>
          <w:b w:val="0"/>
          <w:sz w:val="24"/>
        </w:rPr>
        <w:t xml:space="preserve">费用目标采用新增建设、固定运维和寿命更新支出，工程审定时以项目概算及运行资料更新对应现金流。</w:t>
      </w:r>
    </w:p>
    <w:p>
      <w:bookmarkStart w:id="1366" w:name="h366"/>
      <w:pPr>
        <w:pStyle w:val="4"/>
        <w:keepNext/>
        <w:numPr>
          <w:numId w:val="0"/>
        </w:numPr>
        <w:spacing w:line="360" w:lineRule="auto" w:before="160" w:after="120"/>
        <w:ind w:firstLine="0"/>
      </w:pPr>
      <w:bookmarkStart w:id="137" w:name="主变工程成本系数"/>
      <w:r>
        <w:rPr>
          <w:rFonts w:ascii="Times New Roman" w:hAnsi="Times New Roman" w:eastAsia="方正仿宋_GBK"/>
          <w:b/>
          <w:sz w:val="32"/>
        </w:rPr>
        <w:t xml:space="preserve">4.2 主变工程成本系数</w:t>
      </w:r>
      <w:bookmarkEnd w:id="137"/>
      <w:bookmarkEnd w:id="1366"/>
    </w:p>
    <w:p>
      <w:pPr>
        <w:pStyle w:val="5"/>
        <w:keepNext/>
        <w:numPr>
          <w:numId w:val="0"/>
        </w:numPr>
        <w:spacing w:line="360" w:lineRule="auto" w:before="160" w:after="120"/>
        <w:ind w:firstLine="0"/>
      </w:pPr>
      <w:bookmarkStart w:id="138" w:name="替换工程案例"/>
      <w:r>
        <w:rPr>
          <w:rFonts w:ascii="Times New Roman" w:hAnsi="Times New Roman" w:eastAsia="方正仿宋_GBK"/>
          <w:b/>
          <w:sz w:val="26"/>
        </w:rPr>
        <w:t xml:space="preserve">4.2.1 替换工程案例</w:t>
      </w:r>
      <w:bookmarkEnd w:id="138"/>
    </w:p>
    <w:p>
      <w:pPr>
        <w:pStyle w:val="FirstParagraph"/>
        <w:widowControl/>
        <w:spacing w:line="300" w:lineRule="auto" w:before="0" w:after="0"/>
        <w:ind w:firstLine="480"/>
        <w:jc w:val="both"/>
      </w:pPr>
      <w:r>
        <w:rPr>
          <w:rFonts w:ascii="Times New Roman" w:hAnsi="Times New Roman" w:eastAsia="方正仿宋_GBK"/>
          <w:b w:val="0"/>
          <w:sz w:val="24"/>
        </w:rPr>
        <w:t xml:space="preserve">徐州投资汇总表中，王庄110 kV变电站2号主变由20 MVA更换为50 MVA，静态投资1151万元；鲁庙110 kV变电站两台主变由2×31.50 MVA更换为2×50 MVA，静态投资1335万元。</w:t>
      </w:r>
    </w:p>
    <w:p>
      <w:pPr>
        <w:pStyle w:val="2"/>
        <w:widowControl/>
        <w:spacing w:line="300" w:lineRule="auto" w:before="0" w:after="0"/>
        <w:ind w:firstLine="480"/>
        <w:jc w:val="both"/>
      </w:pPr>
      <w:r>
        <w:rPr>
          <w:rFonts w:ascii="Times New Roman" w:hAnsi="Times New Roman" w:eastAsia="方正仿宋_GBK"/>
          <w:b w:val="0"/>
          <w:sz w:val="24"/>
        </w:rPr>
        <w:t xml:space="preserve">两个案例采购容量分别为50 MVA和100 MVA，容量净增分别为30 MVA和37 MVA。王庄包含新增9回10 kV出线，鲁庙包含新增1回10 kV出线。模型按两项目静态总投资形成含配套工程的主变更换参考系数。</w:t>
      </w:r>
    </w:p>
    <w:p>
      <w:pPr>
        <w:pStyle w:val="2"/>
        <w:keepNext/>
        <w:spacing w:line="300" w:lineRule="auto" w:before="120" w:after="80"/>
        <w:ind w:firstLine="0"/>
        <w:jc w:val="center"/>
      </w:pPr>
      <w:r>
        <w:rPr>
          <w:rFonts w:ascii="Times New Roman" w:hAnsi="Times New Roman" w:eastAsia="宋体"/>
          <w:b w:val="0"/>
          <w:sz w:val="21"/>
        </w:rPr>
        <w:t xml:space="preserve">表4-2 徐州110 kV主变工程价格依据[85]</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项目</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新购/MVA</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退出/MVA</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净增/MVA</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静态投资/万元</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邢楼110千伏变电站主变扩建工程</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1206</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墩集110千伏变电站主变扩建工程</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1240</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王庄110千伏变电站2号主变增容工程</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1151</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鲁庙110千伏变电站1号2号主变增容工程</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37</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1335</w:t>
            </w:r>
          </w:p>
        </w:tc>
      </w:tr>
    </w:tbl>
    <w:p>
      <w:pPr>
        <w:pStyle w:val="5"/>
        <w:keepNext/>
        <w:numPr>
          <w:numId w:val="0"/>
        </w:numPr>
        <w:spacing w:line="360" w:lineRule="auto" w:before="160" w:after="120"/>
        <w:ind w:firstLine="0"/>
      </w:pPr>
      <w:bookmarkStart w:id="139" w:name="采购容量加权系数"/>
      <w:r>
        <w:rPr>
          <w:rFonts w:ascii="Times New Roman" w:hAnsi="Times New Roman" w:eastAsia="方正仿宋_GBK"/>
          <w:b/>
          <w:sz w:val="26"/>
        </w:rPr>
        <w:t xml:space="preserve">4.2.2 采购容量加权系数</w:t>
      </w:r>
      <w:bookmarkEnd w:id="139"/>
    </w:p>
    <w:p>
      <w:pPr>
        <w:pStyle w:val="FirstParagraph"/>
        <w:widowControl/>
        <w:spacing w:line="300" w:lineRule="auto" w:before="0" w:after="0"/>
        <w:ind w:firstLine="480"/>
        <w:jc w:val="both"/>
      </w:pPr>
      <w:r>
        <w:rPr>
          <w:rFonts w:ascii="Times New Roman" w:hAnsi="Times New Roman" w:eastAsia="方正仿宋_GBK"/>
          <w:b w:val="0"/>
          <w:sz w:val="24"/>
        </w:rPr>
        <w:t xml:space="preserve">替换工程系数按两个案例静态投资之和除以新购铭牌容量之和计算，使用采购容量加权。参考系数按式（4-1）计算。</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r>
                      <m:t>c</m:t>
                    </m:r>
                  </m:e>
                  <m:sub>
                    <m:r>
                      <m:t>T</m:t>
                    </m:r>
                  </m:sub>
                </m:sSub>
                <m:r>
                  <m:t>=</m:t>
                </m:r>
                <m:f>
                  <m:fPr>
                    <m:type m:val="bar"/>
                  </m:fPr>
                  <m:num>
                    <m:r>
                      <m:t>1151</m:t>
                    </m:r>
                    <m:r>
                      <m:t>+</m:t>
                    </m:r>
                    <m:r>
                      <m:t>1335</m:t>
                    </m:r>
                  </m:num>
                  <m:den>
                    <m:r>
                      <m:t>50</m:t>
                    </m:r>
                    <m:r>
                      <m:t>+</m:t>
                    </m:r>
                    <m:r>
                      <m:t>100</m:t>
                    </m:r>
                  </m:den>
                </m:f>
                <m:r>
                  <m:t>≈</m:t>
                </m:r>
                <m:r>
                  <m:t>16.57</m:t>
                </m:r>
                <m:r>
                  <m:t> </m:t>
                </m:r>
                <m:r>
                  <m:rPr>
                    <m:nor/>
                    <m:sty m:val="p"/>
                  </m:rPr>
                  <m:t>万元/MVA</m:t>
                </m:r>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（4-1）</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
          <m:e>
            <m:r>
              <m:t>c</m:t>
            </m:r>
          </m:e>
          <m:sub>
            <m:r>
              <m:t>T</m:t>
            </m:r>
          </m:sub>
        </m:sSub>
      </m:oMath>
      <w:r>
        <w:rPr>
          <w:rFonts w:ascii="Times New Roman" w:hAnsi="Times New Roman" w:eastAsia="方正仿宋_GBK"/>
          <w:b w:val="0"/>
          <w:sz w:val="24"/>
        </w:rPr>
        <w:t xml:space="preserve">为主变更换工程单位采购容量投资，单位万元/MVA；分子为两案例静态投资合计，单位万元，分母为新购容量合计，单位MVA。</w:t>
      </w:r>
    </w:p>
    <w:p>
      <w:pPr>
        <w:pStyle w:val="2"/>
        <w:widowControl/>
        <w:spacing w:line="300" w:lineRule="auto" w:before="0" w:after="0"/>
        <w:ind w:firstLine="480"/>
        <w:jc w:val="both"/>
      </w:pPr>
      <w:r>
        <w:rPr>
          <w:rFonts w:ascii="Times New Roman" w:hAnsi="Times New Roman" w:eastAsia="方正仿宋_GBK"/>
          <w:b w:val="0"/>
          <w:sz w:val="24"/>
        </w:rPr>
        <w:t xml:space="preserve">王庄单案例系数为23.02万元/MVA，鲁庙为13.35万元/MVA。加权系数处于二者之间，保留项目配套规模差异的影响。本研究采用采购容量加权，并通过相对价格情景检查该系数对配置的影响。</w:t>
      </w:r>
    </w:p>
    <w:p>
      <w:pPr>
        <w:pStyle w:val="2"/>
        <w:widowControl/>
        <w:spacing w:line="300" w:lineRule="auto" w:before="0" w:after="0"/>
        <w:ind w:firstLine="480"/>
        <w:jc w:val="both"/>
      </w:pPr>
      <w:r>
        <w:rPr>
          <w:rFonts w:ascii="Times New Roman" w:hAnsi="Times New Roman" w:eastAsia="方正仿宋_GBK"/>
          <w:b w:val="0"/>
          <w:sz w:val="24"/>
        </w:rPr>
        <w:t xml:space="preserve">主变容量按功率因数0.95折算为有功供电能力，单位费用约17.45万元/有效MW。该分母是新购容量对应的有效功率，用于与其他措施单位服务功率投资比较。</w:t>
      </w:r>
    </w:p>
    <w:p>
      <w:pPr>
        <w:pStyle w:val="5"/>
        <w:keepNext/>
        <w:numPr>
          <w:numId w:val="0"/>
        </w:numPr>
        <w:spacing w:line="360" w:lineRule="auto" w:before="160" w:after="120"/>
        <w:ind w:firstLine="0"/>
      </w:pPr>
      <w:bookmarkStart w:id="140" w:name="净增容量与工程费用"/>
      <w:r>
        <w:rPr>
          <w:rFonts w:ascii="Times New Roman" w:hAnsi="Times New Roman" w:eastAsia="方正仿宋_GBK"/>
          <w:b/>
          <w:sz w:val="26"/>
        </w:rPr>
        <w:t xml:space="preserve">4.2.3 净增容量与工程费用</w:t>
      </w:r>
      <w:bookmarkEnd w:id="140"/>
    </w:p>
    <w:p>
      <w:pPr>
        <w:pStyle w:val="FirstParagraph"/>
        <w:widowControl/>
        <w:spacing w:line="300" w:lineRule="auto" w:before="0" w:after="0"/>
        <w:ind w:firstLine="480"/>
        <w:jc w:val="both"/>
      </w:pPr>
      <w:r>
        <w:rPr>
          <w:rFonts w:ascii="Times New Roman" w:hAnsi="Times New Roman" w:eastAsia="方正仿宋_GBK"/>
          <w:b w:val="0"/>
          <w:sz w:val="24"/>
        </w:rPr>
        <w:t xml:space="preserve">王庄净增30 MVA，按净增有效MW摊价为1151/[30×0.95]=40.39万元/MW。该价格高于按新购50 MVA摊价，原因是新购设备需要替换原有20 MVA供电能力。鲁庙的净增比例不同，替换投资分别按实际采购容量计算。</w:t>
      </w:r>
    </w:p>
    <w:p>
      <w:pPr>
        <w:pStyle w:val="2"/>
        <w:widowControl/>
        <w:spacing w:line="300" w:lineRule="auto" w:before="0" w:after="0"/>
        <w:ind w:firstLine="480"/>
        <w:jc w:val="both"/>
      </w:pPr>
      <w:r>
        <w:rPr>
          <w:rFonts w:ascii="Times New Roman" w:hAnsi="Times New Roman" w:eastAsia="方正仿宋_GBK"/>
          <w:b w:val="0"/>
          <w:sz w:val="24"/>
        </w:rPr>
        <w:t xml:space="preserve">对站</w:t>
      </w:r>
      <m:oMath>
        <m:r>
          <m:t>i</m:t>
        </m:r>
      </m:oMath>
      <w:r>
        <w:rPr>
          <w:rFonts w:ascii="Times New Roman" w:hAnsi="Times New Roman" w:eastAsia="方正仿宋_GBK"/>
          <w:b w:val="0"/>
          <w:sz w:val="24"/>
        </w:rPr>
        <w:t xml:space="preserve">、主变安装位置</w:t>
      </w:r>
      <m:oMath>
        <m:r>
          <m:t>k</m:t>
        </m:r>
      </m:oMath>
      <w:r>
        <w:rPr>
          <w:rFonts w:ascii="Times New Roman" w:hAnsi="Times New Roman" w:eastAsia="方正仿宋_GBK"/>
          <w:b w:val="0"/>
          <w:sz w:val="24"/>
        </w:rPr>
        <w:t xml:space="preserve">、投运年份</w:t>
      </w:r>
      <m:oMath>
        <m:r>
          <m:t>y</m:t>
        </m:r>
      </m:oMath>
      <w:r>
        <w:rPr>
          <w:rFonts w:ascii="Times New Roman" w:hAnsi="Times New Roman" w:eastAsia="方正仿宋_GBK"/>
          <w:b w:val="0"/>
          <w:sz w:val="24"/>
        </w:rPr>
        <w:t xml:space="preserve">，若容量由</w:t>
      </w:r>
      <m:oMath>
        <m:sSup>
          <m:e>
            <m:r>
              <m:t>S</m:t>
            </m:r>
          </m:e>
          <m:sup>
            <m:r>
              <m:rPr>
                <m:sty m:val="p"/>
              </m:rPr>
              <m:t>o</m:t>
            </m:r>
            <m:r>
              <m:rPr>
                <m:sty m:val="p"/>
              </m:rPr>
              <m:t>l</m:t>
            </m:r>
            <m:r>
              <m:rPr>
                <m:sty m:val="p"/>
              </m:rPr>
              <m:t>d</m:t>
            </m:r>
          </m:sup>
        </m:sSup>
      </m:oMath>
      <w:r>
        <w:rPr>
          <w:rFonts w:ascii="Times New Roman" w:hAnsi="Times New Roman" w:eastAsia="方正仿宋_GBK"/>
          <w:b w:val="0"/>
          <w:sz w:val="24"/>
        </w:rPr>
        <w:t xml:space="preserve">更换为</w:t>
      </w:r>
      <m:oMath>
        <m:sSup>
          <m:e>
            <m:r>
              <m:t>S</m:t>
            </m:r>
          </m:e>
          <m:sup>
            <m:r>
              <m:rPr>
                <m:sty m:val="p"/>
              </m:rPr>
              <m:t>n</m:t>
            </m:r>
            <m:r>
              <m:rPr>
                <m:sty m:val="p"/>
              </m:rPr>
              <m:t>e</m:t>
            </m:r>
            <m:r>
              <m:rPr>
                <m:sty m:val="p"/>
              </m:rPr>
              <m:t>w</m:t>
            </m:r>
          </m:sup>
        </m:sSup>
      </m:oMath>
      <w:r>
        <w:rPr>
          <w:rFonts w:ascii="Times New Roman" w:hAnsi="Times New Roman" w:eastAsia="方正仿宋_GBK"/>
          <w:b w:val="0"/>
          <w:sz w:val="24"/>
        </w:rPr>
        <w:t xml:space="preserve">，工程投资按</w:t>
      </w:r>
      <m:oMath>
        <m:sSub>
          <m:e>
            <m:r>
              <m:t>c</m:t>
            </m:r>
          </m:e>
          <m:sub>
            <m:r>
              <m:t>T</m:t>
            </m:r>
          </m:sub>
        </m:sSub>
        <m:sSup>
          <m:e>
            <m:r>
              <m:t>S</m:t>
            </m:r>
          </m:e>
          <m:sup>
            <m:r>
              <m:rPr>
                <m:sty m:val="p"/>
              </m:rPr>
              <m:t>n</m:t>
            </m:r>
            <m:r>
              <m:rPr>
                <m:sty m:val="p"/>
              </m:rPr>
              <m:t>e</m:t>
            </m:r>
            <m:r>
              <m:rPr>
                <m:sty m:val="p"/>
              </m:rPr>
              <m:t>w</m:t>
            </m:r>
          </m:sup>
        </m:sSup>
      </m:oMath>
      <w:r>
        <w:rPr>
          <w:rFonts w:ascii="Times New Roman" w:hAnsi="Times New Roman" w:eastAsia="方正仿宋_GBK"/>
          <w:b w:val="0"/>
          <w:sz w:val="24"/>
        </w:rPr>
        <w:t xml:space="preserve">计取。设备容量增加</w:t>
      </w:r>
      <m:oMath>
        <m:sSup>
          <m:e>
            <m:r>
              <m:t>S</m:t>
            </m:r>
          </m:e>
          <m:sup>
            <m:r>
              <m:rPr>
                <m:sty m:val="p"/>
              </m:rPr>
              <m:t>n</m:t>
            </m:r>
            <m:r>
              <m:rPr>
                <m:sty m:val="p"/>
              </m:rPr>
              <m:t>e</m:t>
            </m:r>
            <m:r>
              <m:rPr>
                <m:sty m:val="p"/>
              </m:rPr>
              <m:t>w</m:t>
            </m:r>
          </m:sup>
        </m:sSup>
        <m:r>
          <m:t>−</m:t>
        </m:r>
        <m:sSup>
          <m:e>
            <m:r>
              <m:t>S</m:t>
            </m:r>
          </m:e>
          <m:sup>
            <m:r>
              <m:rPr>
                <m:sty m:val="p"/>
              </m:rPr>
              <m:t>o</m:t>
            </m:r>
            <m:r>
              <m:rPr>
                <m:sty m:val="p"/>
              </m:rPr>
              <m:t>l</m:t>
            </m:r>
            <m:r>
              <m:rPr>
                <m:sty m:val="p"/>
              </m:rPr>
              <m:t>d</m:t>
            </m:r>
          </m:sup>
        </m:sSup>
      </m:oMath>
      <w:r>
        <w:rPr>
          <w:rFonts w:ascii="Times New Roman" w:hAnsi="Times New Roman" w:eastAsia="方正仿宋_GBK"/>
          <w:b w:val="0"/>
          <w:sz w:val="24"/>
        </w:rPr>
        <w:t xml:space="preserve">，费用按整台新购容量计取。报告在年度表中并列主变净增容量和新购铭牌容量，使比值变化与实际采购费用可以分别复算。</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sSub>
                        <m:e>
                          <m:r>
                            <m:t>I</m:t>
                          </m:r>
                        </m:e>
                        <m:sub>
                          <m:r>
                            <m:t>T</m:t>
                          </m:r>
                          <m:r>
                            <m:t>,</m:t>
                          </m:r>
                          <m:r>
                            <m:t>i</m:t>
                          </m:r>
                          <m:r>
                            <m:t>k</m:t>
                          </m:r>
                          <m:r>
                            <m:t>y</m:t>
                          </m:r>
                        </m:sub>
                      </m:sSub>
                    </m:e>
                    <m:e>
                      <m:r>
                        <m:t>=</m:t>
                      </m:r>
                      <m:sSub>
                        <m:e>
                          <m:r>
                            <m:t>c</m:t>
                          </m:r>
                        </m:e>
                        <m:sub>
                          <m:r>
                            <m:t>T</m:t>
                          </m:r>
                        </m:sub>
                      </m:sSub>
                      <m:sSubSup>
                        <m:e>
                          <m:r>
                            <m:t>S</m:t>
                          </m:r>
                        </m:e>
                        <m:sub>
                          <m:r>
                            <m:t>i</m:t>
                          </m:r>
                          <m:r>
                            <m:t>k</m:t>
                          </m:r>
                          <m:r>
                            <m:t>y</m:t>
                          </m:r>
                        </m:sub>
                        <m:sup>
                          <m:r>
                            <m:rPr>
                              <m:sty m:val="p"/>
                            </m:rPr>
                            <m:t>n</m:t>
                          </m:r>
                          <m:r>
                            <m:rPr>
                              <m:sty m:val="p"/>
                            </m:rPr>
                            <m:t>e</m:t>
                          </m:r>
                          <m:r>
                            <m:rPr>
                              <m:sty m:val="p"/>
                            </m:rPr>
                            <m:t>w</m:t>
                          </m:r>
                        </m:sup>
                      </m:sSubSup>
                      <m:r>
                        <m:t> </m:t>
                      </m:r>
                      <m:sSub>
                        <m:e>
                          <m:r>
                            <m:t>z</m:t>
                          </m:r>
                        </m:e>
                        <m:sub>
                          <m:r>
                            <m:t>i</m:t>
                          </m:r>
                          <m:r>
                            <m:t>k</m:t>
                          </m:r>
                          <m:r>
                            <m:t>y</m:t>
                          </m:r>
                        </m:sub>
                      </m:sSub>
                    </m:e>
                  </m:mr>
                  <m:mr>
                    <m:e>
                      <m:r>
                        <m:t>Δ</m:t>
                      </m:r>
                      <m:sSub>
                        <m:e>
                          <m:r>
                            <m:t>S</m:t>
                          </m:r>
                        </m:e>
                        <m:sub>
                          <m:r>
                            <m:t>i</m:t>
                          </m:r>
                          <m:r>
                            <m:t>k</m:t>
                          </m:r>
                          <m:r>
                            <m:t>y</m:t>
                          </m:r>
                        </m:sub>
                      </m:sSub>
                    </m:e>
                    <m:e>
                      <m:r>
                        <m:t>=</m:t>
                      </m:r>
                      <m:d>
                        <m:dPr>
                          <m:begChr m:val="("/>
                          <m:endChr m:val=")"/>
                          <m:grow/>
                        </m:dPr>
                        <m:e>
                          <m:sSubSup>
                            <m:e>
                              <m:r>
                                <m:t>S</m:t>
                              </m:r>
                            </m:e>
                            <m:sub>
                              <m:r>
                                <m:t>i</m:t>
                              </m:r>
                              <m:r>
                                <m:t>k</m:t>
                              </m:r>
                              <m:r>
                                <m:t>y</m:t>
                              </m:r>
                            </m:sub>
                            <m:sup>
                              <m:r>
                                <m:rPr>
                                  <m:sty m:val="p"/>
                                </m:rPr>
                                <m:t>n</m:t>
                              </m:r>
                              <m:r>
                                <m:rPr>
                                  <m:sty m:val="p"/>
                                </m:rPr>
                                <m:t>e</m:t>
                              </m:r>
                              <m:r>
                                <m:rPr>
                                  <m:sty m:val="p"/>
                                </m:rPr>
                                <m:t>w</m:t>
                              </m:r>
                            </m:sup>
                          </m:sSubSup>
                          <m:r>
                            <m:t>−</m:t>
                          </m:r>
                          <m:sSubSup>
                            <m:e>
                              <m:r>
                                <m:t>S</m:t>
                              </m:r>
                            </m:e>
                            <m:sub>
                              <m:r>
                                <m:t>i</m:t>
                              </m:r>
                              <m:r>
                                <m:t>k</m:t>
                              </m:r>
                              <m:r>
                                <m:t>,</m:t>
                              </m:r>
                              <m:r>
                                <m:t>y</m:t>
                              </m:r>
                              <m:r>
                                <m:t>−</m:t>
                              </m:r>
                              <m:r>
                                <m:t>1</m:t>
                              </m:r>
                            </m:sub>
                            <m:sup>
                              <m:r>
                                <m:rPr>
                                  <m:sty m:val="p"/>
                                </m:rPr>
                                <m:t>o</m:t>
                              </m:r>
                              <m:r>
                                <m:rPr>
                                  <m:sty m:val="p"/>
                                </m:rPr>
                                <m:t>l</m:t>
                              </m:r>
                              <m:r>
                                <m:rPr>
                                  <m:sty m:val="p"/>
                                </m:rPr>
                                <m:t>d</m:t>
                              </m:r>
                            </m:sup>
                          </m:sSubSup>
                        </m:e>
                      </m:d>
                      <m:sSub>
                        <m:e>
                          <m:r>
                            <m:t>z</m:t>
                          </m:r>
                        </m:e>
                        <m:sub>
                          <m:r>
                            <m:t>i</m:t>
                          </m:r>
                          <m:r>
                            <m:t>k</m:t>
                          </m:r>
                          <m:r>
                            <m:t>y</m:t>
                          </m:r>
                        </m:sub>
                      </m:sSub>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（4-2）</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r>
          <m:t>i</m:t>
        </m:r>
      </m:oMath>
      <w:r>
        <w:rPr>
          <w:rFonts w:ascii="Times New Roman" w:hAnsi="Times New Roman" w:eastAsia="方正仿宋_GBK"/>
          <w:b w:val="0"/>
          <w:sz w:val="24"/>
        </w:rPr>
        <w:t xml:space="preserve">为站号，</w:t>
      </w:r>
      <m:oMath>
        <m:r>
          <m:t>k</m:t>
        </m:r>
      </m:oMath>
      <w:r>
        <w:rPr>
          <w:rFonts w:ascii="Times New Roman" w:hAnsi="Times New Roman" w:eastAsia="方正仿宋_GBK"/>
          <w:b w:val="0"/>
          <w:sz w:val="24"/>
        </w:rPr>
        <w:t xml:space="preserve">为主变安装位置，</w:t>
      </w:r>
      <m:oMath>
        <m:r>
          <m:t>y</m:t>
        </m:r>
      </m:oMath>
      <w:r>
        <w:rPr>
          <w:rFonts w:ascii="Times New Roman" w:hAnsi="Times New Roman" w:eastAsia="方正仿宋_GBK"/>
          <w:b w:val="0"/>
          <w:sz w:val="24"/>
        </w:rPr>
        <w:t xml:space="preserve">为投运年份；</w:t>
      </w:r>
      <m:oMath>
        <m:sSub>
          <m:e>
            <m:r>
              <m:t>I</m:t>
            </m:r>
          </m:e>
          <m:sub>
            <m:r>
              <m:t>T</m:t>
            </m:r>
            <m:r>
              <m:t>,</m:t>
            </m:r>
            <m:r>
              <m:t>i</m:t>
            </m:r>
            <m:r>
              <m:t>k</m:t>
            </m:r>
            <m:r>
              <m:t>y</m:t>
            </m:r>
          </m:sub>
        </m:sSub>
      </m:oMath>
      <w:r>
        <w:rPr>
          <w:rFonts w:ascii="Times New Roman" w:hAnsi="Times New Roman" w:eastAsia="方正仿宋_GBK"/>
          <w:b w:val="0"/>
          <w:sz w:val="24"/>
        </w:rPr>
        <w:t xml:space="preserve">为更换投资，单位万元；</w:t>
      </w:r>
      <m:oMath>
        <m:sSub>
          <m:e>
            <m:r>
              <m:t>c</m:t>
            </m:r>
          </m:e>
          <m:sub>
            <m:r>
              <m:t>T</m:t>
            </m:r>
          </m:sub>
        </m:sSub>
      </m:oMath>
      <w:r>
        <w:rPr>
          <w:rFonts w:ascii="Times New Roman" w:hAnsi="Times New Roman" w:eastAsia="方正仿宋_GBK"/>
          <w:b w:val="0"/>
          <w:sz w:val="24"/>
        </w:rPr>
        <w:t xml:space="preserve">为单位采购容量工程投资，单位万元/MVA；</w:t>
      </w:r>
      <m:oMath>
        <m:sSubSup>
          <m:e>
            <m:r>
              <m:t>S</m:t>
            </m:r>
          </m:e>
          <m:sub>
            <m:r>
              <m:t>i</m:t>
            </m:r>
            <m:r>
              <m:t>k</m:t>
            </m:r>
            <m:r>
              <m:t>y</m:t>
            </m:r>
          </m:sub>
          <m:sup>
            <m:r>
              <m:rPr>
                <m:sty m:val="p"/>
              </m:rPr>
              <m:t>n</m:t>
            </m:r>
            <m:r>
              <m:rPr>
                <m:sty m:val="p"/>
              </m:rPr>
              <m:t>e</m:t>
            </m:r>
            <m:r>
              <m:rPr>
                <m:sty m:val="p"/>
              </m:rPr>
              <m:t>w</m:t>
            </m:r>
          </m:sup>
        </m:sSubSup>
      </m:oMath>
      <w:r>
        <w:rPr>
          <w:rFonts w:ascii="Times New Roman" w:hAnsi="Times New Roman" w:eastAsia="方正仿宋_GBK"/>
          <w:b w:val="0"/>
          <w:sz w:val="24"/>
        </w:rPr>
        <w:t xml:space="preserve">和</w:t>
      </w:r>
      <m:oMath>
        <m:sSubSup>
          <m:e>
            <m:r>
              <m:t>S</m:t>
            </m:r>
          </m:e>
          <m:sub>
            <m:r>
              <m:t>i</m:t>
            </m:r>
            <m:r>
              <m:t>k</m:t>
            </m:r>
            <m:r>
              <m:t>,</m:t>
            </m:r>
            <m:r>
              <m:t>y</m:t>
            </m:r>
            <m:r>
              <m:t>−</m:t>
            </m:r>
            <m:r>
              <m:t>1</m:t>
            </m:r>
          </m:sub>
          <m:sup>
            <m:r>
              <m:rPr>
                <m:sty m:val="p"/>
              </m:rPr>
              <m:t>o</m:t>
            </m:r>
            <m:r>
              <m:rPr>
                <m:sty m:val="p"/>
              </m:rPr>
              <m:t>l</m:t>
            </m:r>
            <m:r>
              <m:rPr>
                <m:sty m:val="p"/>
              </m:rPr>
              <m:t>d</m:t>
            </m:r>
          </m:sup>
        </m:sSubSup>
      </m:oMath>
      <w:r>
        <w:rPr>
          <w:rFonts w:ascii="Times New Roman" w:hAnsi="Times New Roman" w:eastAsia="方正仿宋_GBK"/>
          <w:b w:val="0"/>
          <w:sz w:val="24"/>
        </w:rPr>
        <w:t xml:space="preserve">为更换前后容量，</w:t>
      </w:r>
      <m:oMath>
        <m:r>
          <m:t>Δ</m:t>
        </m:r>
        <m:sSub>
          <m:e>
            <m:r>
              <m:t>S</m:t>
            </m:r>
          </m:e>
          <m:sub>
            <m:r>
              <m:t>i</m:t>
            </m:r>
            <m:r>
              <m:t>k</m:t>
            </m:r>
            <m:r>
              <m:t>y</m:t>
            </m:r>
          </m:sub>
        </m:sSub>
      </m:oMath>
      <w:r>
        <w:rPr>
          <w:rFonts w:ascii="Times New Roman" w:hAnsi="Times New Roman" w:eastAsia="方正仿宋_GBK"/>
          <w:b w:val="0"/>
          <w:sz w:val="24"/>
        </w:rPr>
        <w:t xml:space="preserve">为容量净增，单位MVA；</w:t>
      </w:r>
      <m:oMath>
        <m:sSub>
          <m:e>
            <m:r>
              <m:t>z</m:t>
            </m:r>
          </m:e>
          <m:sub>
            <m:r>
              <m:t>i</m:t>
            </m:r>
            <m:r>
              <m:t>k</m:t>
            </m:r>
            <m:r>
              <m:t>y</m:t>
            </m:r>
          </m:sub>
        </m:sSub>
      </m:oMath>
      <w:r>
        <w:rPr>
          <w:rFonts w:ascii="Times New Roman" w:hAnsi="Times New Roman" w:eastAsia="方正仿宋_GBK"/>
          <w:b w:val="0"/>
          <w:sz w:val="24"/>
        </w:rPr>
        <w:t xml:space="preserve">为更换状态，发生更换取1，否则取0。未更换时投资为零；更换同一位置后，新容量在后续年份持续在役。</w:t>
      </w:r>
    </w:p>
    <w:p>
      <w:pPr>
        <w:pStyle w:val="5"/>
        <w:keepNext/>
        <w:numPr>
          <w:numId w:val="0"/>
        </w:numPr>
        <w:spacing w:line="360" w:lineRule="auto" w:before="160" w:after="120"/>
        <w:ind w:firstLine="0"/>
      </w:pPr>
      <w:bookmarkStart w:id="141" w:name="主变扩建"/>
      <w:r>
        <w:rPr>
          <w:rFonts w:ascii="Times New Roman" w:hAnsi="Times New Roman" w:eastAsia="方正仿宋_GBK"/>
          <w:b/>
          <w:sz w:val="26"/>
        </w:rPr>
        <w:t xml:space="preserve">4.2.4 主变扩建</w:t>
      </w:r>
      <w:bookmarkEnd w:id="141"/>
    </w:p>
    <w:p>
      <w:pPr>
        <w:pStyle w:val="FirstParagraph"/>
        <w:widowControl/>
        <w:spacing w:line="300" w:lineRule="auto" w:before="0" w:after="0"/>
        <w:ind w:firstLine="480"/>
        <w:jc w:val="both"/>
      </w:pPr>
      <w:r>
        <w:rPr>
          <w:rFonts w:ascii="Times New Roman" w:hAnsi="Times New Roman" w:eastAsia="方正仿宋_GBK"/>
          <w:b w:val="0"/>
          <w:sz w:val="24"/>
        </w:rPr>
        <w:t xml:space="preserve">邢楼和墩集主变扩建工程均采购50 MVA主变，各新增12回10 kV出线，静态总投资分别为1206万元和1240万元[85]。同规模案例均值为1223万元，作为50 MVA主变扩建仿真费用。</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r>
                      <m:t>I</m:t>
                    </m:r>
                  </m:e>
                  <m:sub>
                    <m:r>
                      <m:t>T</m:t>
                    </m:r>
                    <m:r>
                      <m:t>,</m:t>
                    </m:r>
                    <m:r>
                      <m:rPr>
                        <m:sty m:val="p"/>
                      </m:rPr>
                      <m:t>e</m:t>
                    </m:r>
                    <m:r>
                      <m:rPr>
                        <m:sty m:val="p"/>
                      </m:rPr>
                      <m:t>x</m:t>
                    </m:r>
                    <m:r>
                      <m:rPr>
                        <m:sty m:val="p"/>
                      </m:rPr>
                      <m:t>p</m:t>
                    </m:r>
                  </m:sub>
                </m:sSub>
                <m:r>
                  <m:t>=</m:t>
                </m:r>
                <m:f>
                  <m:fPr>
                    <m:type m:val="bar"/>
                  </m:fPr>
                  <m:num>
                    <m:r>
                      <m:t>1206</m:t>
                    </m:r>
                    <m:r>
                      <m:t>+</m:t>
                    </m:r>
                    <m:r>
                      <m:t>1240</m:t>
                    </m:r>
                  </m:num>
                  <m:den>
                    <m:r>
                      <m:t>2</m:t>
                    </m:r>
                  </m:den>
                </m:f>
                <m:r>
                  <m:t>=</m:t>
                </m:r>
                <m:r>
                  <m:t>1223</m:t>
                </m:r>
                <m:r>
                  <m:t> </m:t>
                </m:r>
                <m:r>
                  <m:rPr>
                    <m:nor/>
                    <m:sty m:val="p"/>
                  </m:rPr>
                  <m:t>万元/项</m:t>
                </m:r>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（4-3）</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
          <m:e>
            <m:r>
              <m:t>I</m:t>
            </m:r>
          </m:e>
          <m:sub>
            <m:r>
              <m:t>T</m:t>
            </m:r>
            <m:r>
              <m:t>,</m:t>
            </m:r>
            <m:r>
              <m:rPr>
                <m:sty m:val="p"/>
              </m:rPr>
              <m:t>e</m:t>
            </m:r>
            <m:r>
              <m:rPr>
                <m:sty m:val="p"/>
              </m:rPr>
              <m:t>x</m:t>
            </m:r>
            <m:r>
              <m:rPr>
                <m:sty m:val="p"/>
              </m:rPr>
              <m:t>p</m:t>
            </m:r>
          </m:sub>
        </m:sSub>
      </m:oMath>
      <w:r>
        <w:rPr>
          <w:rFonts w:ascii="Times New Roman" w:hAnsi="Times New Roman" w:eastAsia="方正仿宋_GBK"/>
          <w:b w:val="0"/>
          <w:sz w:val="24"/>
        </w:rPr>
        <w:t xml:space="preserve">为50 MVA主变扩建项目参考投资，单位万元/项。</w:t>
      </w:r>
    </w:p>
    <w:p>
      <w:pPr>
        <w:pStyle w:val="2"/>
        <w:widowControl/>
        <w:spacing w:line="300" w:lineRule="auto" w:before="0" w:after="0"/>
        <w:ind w:firstLine="480"/>
        <w:jc w:val="both"/>
      </w:pPr>
      <w:r>
        <w:rPr>
          <w:rFonts w:ascii="Times New Roman" w:hAnsi="Times New Roman" w:eastAsia="方正仿宋_GBK"/>
          <w:b w:val="0"/>
          <w:sz w:val="24"/>
        </w:rPr>
        <w:t xml:space="preserve">主变扩建按1223万元/项计费，包含增加台数及相应配套工程。模型要求原表预留位置满足主变扩建条件，未预留站不因容量不足而自动获得新台位。</w:t>
      </w:r>
    </w:p>
    <w:p>
      <w:pPr>
        <w:pStyle w:val="2"/>
        <w:widowControl/>
        <w:spacing w:line="300" w:lineRule="auto" w:before="0" w:after="0"/>
        <w:ind w:firstLine="480"/>
        <w:jc w:val="both"/>
      </w:pPr>
      <w:r>
        <w:rPr>
          <w:rFonts w:ascii="Times New Roman" w:hAnsi="Times New Roman" w:eastAsia="方正仿宋_GBK"/>
          <w:b w:val="0"/>
          <w:sz w:val="24"/>
        </w:rPr>
        <w:t xml:space="preserve">主变扩建提高主变总容量与主变N-1后剩余容量，按第五章的容量约束和费用目标评价。既有两台规格、正向需求及供电安全任务不同，会使同样的扩建费用对应不同替代储能规模。</w:t>
      </w:r>
    </w:p>
    <w:p>
      <w:bookmarkStart w:id="1385" w:name="h385"/>
      <w:pPr>
        <w:pStyle w:val="4"/>
        <w:keepNext/>
        <w:numPr>
          <w:numId w:val="0"/>
        </w:numPr>
        <w:spacing w:line="360" w:lineRule="auto" w:before="160" w:after="120"/>
        <w:ind w:firstLine="0"/>
      </w:pPr>
      <w:bookmarkStart w:id="142" w:name="kv联络工程费用"/>
      <w:r>
        <w:rPr>
          <w:rFonts w:ascii="Times New Roman" w:hAnsi="Times New Roman" w:eastAsia="方正仿宋_GBK"/>
          <w:b/>
          <w:sz w:val="32"/>
        </w:rPr>
        <w:t xml:space="preserve">4.3 10 kV联络工程费用</w:t>
      </w:r>
      <w:bookmarkEnd w:id="142"/>
      <w:bookmarkEnd w:id="1385"/>
    </w:p>
    <w:p>
      <w:pPr>
        <w:pStyle w:val="5"/>
        <w:keepNext/>
        <w:numPr>
          <w:numId w:val="0"/>
        </w:numPr>
        <w:spacing w:line="360" w:lineRule="auto" w:before="160" w:after="120"/>
        <w:ind w:firstLine="0"/>
      </w:pPr>
      <w:bookmarkStart w:id="143" w:name="参考工程及单位造价"/>
      <w:r>
        <w:rPr>
          <w:rFonts w:ascii="Times New Roman" w:hAnsi="Times New Roman" w:eastAsia="方正仿宋_GBK"/>
          <w:b/>
          <w:sz w:val="26"/>
        </w:rPr>
        <w:t xml:space="preserve">4.3.1 参考工程及单位造价</w:t>
      </w:r>
      <w:bookmarkEnd w:id="143"/>
    </w:p>
    <w:p>
      <w:pPr>
        <w:pStyle w:val="FirstParagraph"/>
        <w:widowControl/>
        <w:spacing w:line="300" w:lineRule="auto" w:before="0" w:after="0"/>
        <w:ind w:firstLine="480"/>
        <w:jc w:val="both"/>
      </w:pPr>
      <w:r>
        <w:rPr>
          <w:rFonts w:ascii="Times New Roman" w:hAnsi="Times New Roman" w:eastAsia="方正仿宋_GBK"/>
          <w:b w:val="0"/>
          <w:sz w:val="24"/>
        </w:rPr>
        <w:t xml:space="preserve">10 kV联络工程的架空参考造价取华容县配电网规划报告表7-1的24万元/km，电缆电气部分为120万元/km，开关为3万元/台[87]。电缆敷设还包括土建费用，按甲方提出的至少180万元/km采用含电气和土建的综合参考价180万元/km；其中土建按两者差额60万元/km计入研究费用。该取值为本轮计算采用的价格边界，实施时按敷设方式、路面恢复及工程概算核定。徐州线路迁改公告用于核对相应工程内容[88]。</w:t>
      </w:r>
    </w:p>
    <w:p>
      <w:pPr>
        <w:pStyle w:val="5"/>
        <w:keepNext/>
        <w:numPr>
          <w:numId w:val="0"/>
        </w:numPr>
        <w:spacing w:line="360" w:lineRule="auto" w:before="160" w:after="120"/>
        <w:ind w:firstLine="0"/>
      </w:pPr>
      <w:bookmarkStart w:id="144" w:name="长度与敷设比例"/>
      <w:r>
        <w:rPr>
          <w:rFonts w:ascii="Times New Roman" w:hAnsi="Times New Roman" w:eastAsia="方正仿宋_GBK"/>
          <w:b/>
          <w:sz w:val="26"/>
        </w:rPr>
        <w:t xml:space="preserve">4.3.2 长度与敷设比例</w:t>
      </w:r>
      <w:bookmarkEnd w:id="144"/>
    </w:p>
    <w:p>
      <w:pPr>
        <w:pStyle w:val="FirstParagraph"/>
        <w:widowControl/>
        <w:spacing w:line="300" w:lineRule="auto" w:before="0" w:after="0"/>
        <w:ind w:firstLine="480"/>
        <w:jc w:val="both"/>
      </w:pPr>
      <w:r>
        <w:rPr>
          <w:rFonts w:ascii="Times New Roman" w:hAnsi="Times New Roman" w:eastAsia="方正仿宋_GBK"/>
          <w:b w:val="0"/>
          <w:sz w:val="24"/>
        </w:rPr>
        <w:t xml:space="preserve">本研究等效候选新线长3 km。架空为主情景按90.00%架空和10.00%电缆，电缆为主情景按10.00%架空和90.00%电缆；各配置两台等效联络开关。两类开关费用按相同参考值计取，实际城市开关设备在工程概算中核定。邳州案例采用架空为主情景，市区采用电缆为主情景；通用外推将线路类型与供电区域类别交叉计算。架空为主的初始投资按式（4-4）计算。</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r>
                      <m:t>I</m:t>
                    </m:r>
                  </m:e>
                  <m:sub>
                    <m:r>
                      <m:t>L</m:t>
                    </m:r>
                  </m:sub>
                </m:sSub>
                <m:r>
                  <m:t>=</m:t>
                </m:r>
                <m:r>
                  <m:t>3</m:t>
                </m:r>
                <m:d>
                  <m:dPr>
                    <m:begChr m:val="("/>
                    <m:endChr m:val=")"/>
                    <m:grow/>
                  </m:dPr>
                  <m:e>
                    <m:r>
                      <m:t>0.90</m:t>
                    </m:r>
                    <m:r>
                      <m:t>×</m:t>
                    </m:r>
                    <m:r>
                      <m:t>24</m:t>
                    </m:r>
                    <m:r>
                      <m:t>+</m:t>
                    </m:r>
                    <m:r>
                      <m:t>0.10</m:t>
                    </m:r>
                    <m:r>
                      <m:t>×</m:t>
                    </m:r>
                    <m:r>
                      <m:t>180</m:t>
                    </m:r>
                  </m:e>
                </m:d>
                <m:r>
                  <m:t>+</m:t>
                </m:r>
                <m:r>
                  <m:t>2</m:t>
                </m:r>
                <m:r>
                  <m:t>×</m:t>
                </m:r>
                <m:r>
                  <m:t>3</m:t>
                </m:r>
                <m:r>
                  <m:t>=</m:t>
                </m:r>
                <m:r>
                  <m:t>124.80</m:t>
                </m:r>
                <m:r>
                  <m:t> </m:t>
                </m:r>
                <m:r>
                  <m:rPr>
                    <m:nor/>
                    <m:sty m:val="p"/>
                  </m:rPr>
                  <m:t>万元/条</m:t>
                </m:r>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（4-4）</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
          <m:e>
            <m:r>
              <m:t>I</m:t>
            </m:r>
          </m:e>
          <m:sub>
            <m:r>
              <m:t>L</m:t>
            </m:r>
          </m:sub>
        </m:sSub>
      </m:oMath>
      <w:r>
        <w:rPr>
          <w:rFonts w:ascii="Times New Roman" w:hAnsi="Times New Roman" w:eastAsia="方正仿宋_GBK"/>
          <w:b w:val="0"/>
          <w:sz w:val="24"/>
        </w:rPr>
        <w:t xml:space="preserve">为单项目初始投资，单位万元；3为线路长度，单位km；0.90和0.10分别为架空与电缆长度占比；24和180为相应单位造价，单位万元/km；末项按2台开关、3万元/台计算。</w:t>
      </w:r>
    </w:p>
    <w:p>
      <w:pPr>
        <w:pStyle w:val="2"/>
        <w:widowControl/>
        <w:spacing w:line="300" w:lineRule="auto" w:before="0" w:after="0"/>
        <w:ind w:firstLine="480"/>
        <w:jc w:val="both"/>
      </w:pPr>
      <w:r>
        <w:rPr>
          <w:rFonts w:ascii="Times New Roman" w:hAnsi="Times New Roman" w:eastAsia="方正仿宋_GBK"/>
          <w:b w:val="0"/>
          <w:sz w:val="24"/>
        </w:rPr>
        <w:t xml:space="preserve">架空为主项目投资124.80万元，电缆为主为499.20万元；电缆综合单价已包括土建。矩阵改变线路价格倍数时，统一作用于该工程投资和后续固定运维。新增项目按区县内候选站对配置，实施阶段落实实际线路走向。</w:t>
      </w:r>
    </w:p>
    <w:p>
      <w:pPr>
        <w:pStyle w:val="2"/>
        <w:keepNext/>
        <w:spacing w:line="300" w:lineRule="auto" w:before="120" w:after="80"/>
        <w:ind w:firstLine="0"/>
        <w:jc w:val="center"/>
      </w:pPr>
      <w:r>
        <w:rPr>
          <w:rFonts w:ascii="Times New Roman" w:hAnsi="Times New Roman" w:eastAsia="宋体"/>
          <w:b w:val="0"/>
          <w:sz w:val="21"/>
        </w:rPr>
        <w:t xml:space="preserve">表4-3 两类等效联络线投资构成</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项目</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架空为主工程量</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费用/万元</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电缆为主工程量</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费用/万元</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架空</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2.70 km</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64.80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0.30 km</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7.20</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电缆电气</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0.30 km</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2.70 km</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324.00</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电缆土建</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0.30 km</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2.70 km</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162.00</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等效开关</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2台</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2台</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6.00</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合计</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 km及2台开关</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124.80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 km及2台开关</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499.20</w:t>
            </w:r>
          </w:p>
        </w:tc>
      </w:tr>
    </w:tbl>
    <w:p>
      <w:pPr>
        <w:pStyle w:val="5"/>
        <w:keepNext/>
        <w:numPr>
          <w:numId w:val="0"/>
        </w:numPr>
        <w:spacing w:line="360" w:lineRule="auto" w:before="160" w:after="120"/>
        <w:ind w:firstLine="0"/>
      </w:pPr>
      <w:bookmarkStart w:id="145" w:name="有效转接任务及价格比"/>
      <w:r>
        <w:rPr>
          <w:rFonts w:ascii="Times New Roman" w:hAnsi="Times New Roman" w:eastAsia="方正仿宋_GBK"/>
          <w:b/>
          <w:sz w:val="26"/>
        </w:rPr>
        <w:t xml:space="preserve">4.3.3 有效转接任务及价格比</w:t>
      </w:r>
      <w:bookmarkEnd w:id="145"/>
    </w:p>
    <w:p>
      <w:pPr>
        <w:pStyle w:val="FirstParagraph"/>
        <w:widowControl/>
        <w:spacing w:line="300" w:lineRule="auto" w:before="0" w:after="0"/>
        <w:ind w:firstLine="480"/>
        <w:jc w:val="both"/>
      </w:pPr>
      <w:r>
        <w:rPr>
          <w:rFonts w:ascii="Times New Roman" w:hAnsi="Times New Roman" w:eastAsia="方正仿宋_GBK"/>
          <w:b w:val="0"/>
          <w:sz w:val="24"/>
        </w:rPr>
        <w:t xml:space="preserve">候选线2025年区段负荷筛查取7.49 MW，低于按允许电流折算的线路有功容量9.05 MW，因此架空为主、电缆为主的单位可转负荷投资分别为16.66、66.64万元/MW。实际线路的有效可转负荷依据区段负荷、热限及受端余量核定。</w:t>
      </w:r>
    </w:p>
    <w:p>
      <w:pPr>
        <w:pStyle w:val="2"/>
        <w:widowControl/>
        <w:spacing w:line="300" w:lineRule="auto" w:before="0" w:after="0"/>
        <w:ind w:firstLine="480"/>
        <w:jc w:val="both"/>
      </w:pPr>
      <w:r>
        <w:rPr>
          <w:rFonts w:ascii="Times New Roman" w:hAnsi="Times New Roman" w:eastAsia="方正仿宋_GBK"/>
          <w:b w:val="0"/>
          <w:sz w:val="24"/>
        </w:rPr>
        <w:t xml:space="preserve">新增等效联络项目按邳州局部可切换负荷区段提供7.49 MW的能力增量，作用于站级转供能力预算。既有能力利用与新建工程分别进入寻优，项目投资按一次建设计取。</w:t>
      </w:r>
    </w:p>
    <w:p>
      <w:bookmarkStart w:id="1396" w:name="h396"/>
      <w:pPr>
        <w:pStyle w:val="4"/>
        <w:keepNext/>
        <w:numPr>
          <w:numId w:val="0"/>
        </w:numPr>
        <w:spacing w:line="360" w:lineRule="auto" w:before="160" w:after="120"/>
        <w:ind w:firstLine="0"/>
      </w:pPr>
      <w:bookmarkStart w:id="146" w:name="储能投资模型"/>
      <w:r>
        <w:rPr>
          <w:rFonts w:ascii="Times New Roman" w:hAnsi="Times New Roman" w:eastAsia="方正仿宋_GBK"/>
          <w:b/>
          <w:sz w:val="32"/>
        </w:rPr>
        <w:t xml:space="preserve">4.4 储能投资模型</w:t>
      </w:r>
      <w:bookmarkEnd w:id="146"/>
      <w:bookmarkEnd w:id="1396"/>
    </w:p>
    <w:p>
      <w:pPr>
        <w:pStyle w:val="5"/>
        <w:keepNext/>
        <w:numPr>
          <w:numId w:val="0"/>
        </w:numPr>
        <w:spacing w:line="360" w:lineRule="auto" w:before="160" w:after="120"/>
        <w:ind w:firstLine="0"/>
      </w:pPr>
      <w:bookmarkStart w:id="147" w:name="储能规格与采购价格依据"/>
      <w:r>
        <w:rPr>
          <w:rFonts w:ascii="Times New Roman" w:hAnsi="Times New Roman" w:eastAsia="方正仿宋_GBK"/>
          <w:b/>
          <w:sz w:val="26"/>
        </w:rPr>
        <w:t xml:space="preserve">4.4.1 储能规格与采购价格依据</w:t>
      </w:r>
      <w:bookmarkEnd w:id="147"/>
    </w:p>
    <w:p>
      <w:pPr>
        <w:pStyle w:val="FirstParagraph"/>
        <w:widowControl/>
        <w:spacing w:line="300" w:lineRule="auto" w:before="0" w:after="0"/>
        <w:ind w:firstLine="480"/>
        <w:jc w:val="both"/>
      </w:pPr>
      <w:r>
        <w:rPr>
          <w:rFonts w:ascii="Times New Roman" w:hAnsi="Times New Roman" w:eastAsia="方正仿宋_GBK"/>
          <w:b w:val="0"/>
          <w:sz w:val="24"/>
        </w:rPr>
        <w:t xml:space="preserve">储能设备采用100 kW/215 kWh柜规格。苏州采购公告的储能柜子项最高限价为27.20万元，作为单柜价格参考[89]。模型投资采用浏阳用户侧储能项目的成套中标价210.46万元，保证交付规模为1 MW/2.15 MWh，折合10柜[86]。</w:t>
      </w:r>
    </w:p>
    <w:p>
      <w:pPr>
        <w:pStyle w:val="2"/>
        <w:widowControl/>
        <w:spacing w:line="300" w:lineRule="auto" w:before="0" w:after="0"/>
        <w:ind w:firstLine="480"/>
        <w:jc w:val="both"/>
      </w:pPr>
      <w:r>
        <w:rPr>
          <w:rFonts w:ascii="Times New Roman" w:hAnsi="Times New Roman" w:eastAsia="方正仿宋_GBK"/>
          <w:b w:val="0"/>
          <w:sz w:val="24"/>
        </w:rPr>
        <w:t xml:space="preserve">按保证交付规模形成单位价格，单柜参考投资为21.05万元。后续配置按整数柜计取功率、能量和投资。</w:t>
      </w:r>
    </w:p>
    <w:p>
      <w:pPr>
        <w:pStyle w:val="2"/>
        <w:keepNext/>
        <w:spacing w:line="300" w:lineRule="auto" w:before="120" w:after="80"/>
        <w:ind w:firstLine="0"/>
        <w:jc w:val="center"/>
      </w:pPr>
      <w:r>
        <w:rPr>
          <w:rFonts w:ascii="Times New Roman" w:hAnsi="Times New Roman" w:eastAsia="宋体"/>
          <w:b w:val="0"/>
          <w:sz w:val="21"/>
        </w:rPr>
        <w:t xml:space="preserve">表4-4 储能采购价格依据[89][86]</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案例</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公告规模</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保证规模</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价格/万元</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价格性质</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苏州</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 kW/215 kWh</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同公告</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27.20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储能子项最高限价</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浏阳</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 MW/2.20 MWh</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最低1 MW/2.15 MWh</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210.46</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储能项目中标总价</w:t>
            </w:r>
          </w:p>
        </w:tc>
      </w:tr>
    </w:tbl>
    <w:p>
      <w:pPr>
        <w:pStyle w:val="5"/>
        <w:keepNext/>
        <w:numPr>
          <w:numId w:val="0"/>
        </w:numPr>
        <w:spacing w:line="360" w:lineRule="auto" w:before="160" w:after="120"/>
        <w:ind w:firstLine="0"/>
      </w:pPr>
      <w:bookmarkStart w:id="148" w:name="成套柜单位价格"/>
      <w:r>
        <w:rPr>
          <w:rFonts w:ascii="Times New Roman" w:hAnsi="Times New Roman" w:eastAsia="方正仿宋_GBK"/>
          <w:b/>
          <w:sz w:val="26"/>
        </w:rPr>
        <w:t xml:space="preserve">4.4.2 成套柜单位价格</w:t>
      </w:r>
      <w:bookmarkEnd w:id="148"/>
    </w:p>
    <w:p>
      <w:pPr>
        <w:pStyle w:val="FirstParagraph"/>
        <w:widowControl/>
        <w:spacing w:line="300" w:lineRule="auto" w:before="0" w:after="0"/>
        <w:ind w:firstLine="480"/>
        <w:jc w:val="both"/>
      </w:pPr>
      <w:r>
        <w:rPr>
          <w:rFonts w:ascii="Times New Roman" w:hAnsi="Times New Roman" w:eastAsia="方正仿宋_GBK"/>
          <w:b w:val="0"/>
          <w:sz w:val="24"/>
        </w:rPr>
        <w:t xml:space="preserve">模型以10柜成套项目成交总投资线性折算为单柜，得到21.05万元/柜。后续按相同柜型和单位价格进行规模外推；苏州单柜最高限价用于价格对照。</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sSub>
                        <m:e>
                          <m:r>
                            <m:t>c</m:t>
                          </m:r>
                        </m:e>
                        <m:sub>
                          <m:r>
                            <m:t>B</m:t>
                          </m:r>
                        </m:sub>
                      </m:sSub>
                    </m:e>
                    <m:e>
                      <m:r>
                        <m:t>=</m:t>
                      </m:r>
                      <m:f>
                        <m:fPr>
                          <m:type m:val="bar"/>
                        </m:fPr>
                        <m:num>
                          <m:r>
                            <m:t>2104562.62</m:t>
                          </m:r>
                        </m:num>
                        <m:den>
                          <m:r>
                            <m:t>10000</m:t>
                          </m:r>
                          <m:r>
                            <m:t>×</m:t>
                          </m:r>
                          <m:r>
                            <m:t>10</m:t>
                          </m:r>
                        </m:den>
                      </m:f>
                      <m:r>
                        <m:t>≈</m:t>
                      </m:r>
                      <m:r>
                        <m:t>21.05</m:t>
                      </m:r>
                      <m:r>
                        <m:t> </m:t>
                      </m:r>
                      <m:r>
                        <m:rPr>
                          <m:nor/>
                          <m:sty m:val="p"/>
                        </m:rPr>
                        <m:t>万元/柜</m:t>
                      </m:r>
                    </m:e>
                  </m:mr>
                  <m:mr>
                    <m:e>
                      <m:sSub>
                        <m:e>
                          <m:r>
                            <m:t>I</m:t>
                          </m:r>
                        </m:e>
                        <m:sub>
                          <m:r>
                            <m:t>B</m:t>
                          </m:r>
                          <m:r>
                            <m:t>,</m:t>
                          </m:r>
                          <m:r>
                            <m:t>i</m:t>
                          </m:r>
                          <m:r>
                            <m:t>y</m:t>
                          </m:r>
                        </m:sub>
                      </m:sSub>
                    </m:e>
                    <m:e>
                      <m:r>
                        <m:t>=</m:t>
                      </m:r>
                      <m:sSub>
                        <m:e>
                          <m:r>
                            <m:t>c</m:t>
                          </m:r>
                        </m:e>
                        <m:sub>
                          <m:r>
                            <m:t>B</m:t>
                          </m:r>
                        </m:sub>
                      </m:sSub>
                      <m:r>
                        <m:t>Δ</m:t>
                      </m:r>
                      <m:sSub>
                        <m:e>
                          <m:r>
                            <m:t>n</m:t>
                          </m:r>
                        </m:e>
                        <m:sub>
                          <m:r>
                            <m:t>i</m:t>
                          </m:r>
                          <m:r>
                            <m:t>y</m:t>
                          </m:r>
                        </m:sub>
                      </m:sSub>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（4-5）</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
          <m:e>
            <m:r>
              <m:t>c</m:t>
            </m:r>
          </m:e>
          <m:sub>
            <m:r>
              <m:t>B</m:t>
            </m:r>
          </m:sub>
        </m:sSub>
      </m:oMath>
      <w:r>
        <w:rPr>
          <w:rFonts w:ascii="Times New Roman" w:hAnsi="Times New Roman" w:eastAsia="方正仿宋_GBK"/>
          <w:b w:val="0"/>
          <w:sz w:val="24"/>
        </w:rPr>
        <w:t xml:space="preserve">为单柜参考投资，</w:t>
      </w:r>
      <m:oMath>
        <m:sSub>
          <m:e>
            <m:r>
              <m:t>I</m:t>
            </m:r>
          </m:e>
          <m:sub>
            <m:r>
              <m:t>B</m:t>
            </m:r>
            <m:r>
              <m:t>,</m:t>
            </m:r>
            <m:r>
              <m:t>i</m:t>
            </m:r>
            <m:r>
              <m:t>y</m:t>
            </m:r>
          </m:sub>
        </m:sSub>
      </m:oMath>
      <w:r>
        <w:rPr>
          <w:rFonts w:ascii="Times New Roman" w:hAnsi="Times New Roman" w:eastAsia="方正仿宋_GBK"/>
          <w:b w:val="0"/>
          <w:sz w:val="24"/>
        </w:rPr>
        <w:t xml:space="preserve">为站</w:t>
      </w:r>
      <m:oMath>
        <m:r>
          <m:t>i</m:t>
        </m:r>
      </m:oMath>
      <w:r>
        <w:rPr>
          <w:rFonts w:ascii="Times New Roman" w:hAnsi="Times New Roman" w:eastAsia="方正仿宋_GBK"/>
          <w:b w:val="0"/>
          <w:sz w:val="24"/>
        </w:rPr>
        <w:t xml:space="preserve">第</w:t>
      </w:r>
      <m:oMath>
        <m:r>
          <m:t>y</m:t>
        </m:r>
      </m:oMath>
      <w:r>
        <w:rPr>
          <w:rFonts w:ascii="Times New Roman" w:hAnsi="Times New Roman" w:eastAsia="方正仿宋_GBK"/>
          <w:b w:val="0"/>
          <w:sz w:val="24"/>
        </w:rPr>
        <w:t xml:space="preserve">年新增储能投资，单位万元；新增柜数</w:t>
      </w:r>
      <m:oMath>
        <m:r>
          <m:t>Δ</m:t>
        </m:r>
        <m:r>
          <m:t>n</m:t>
        </m:r>
      </m:oMath>
      <w:r>
        <w:rPr>
          <w:rFonts w:ascii="Times New Roman" w:hAnsi="Times New Roman" w:eastAsia="方正仿宋_GBK"/>
          <w:b w:val="0"/>
          <w:sz w:val="24"/>
        </w:rPr>
        <w:t xml:space="preserve">为非负整数；新增功率为</w:t>
      </w:r>
      <w:r>
        <w:rPr>
          <w:rFonts w:ascii="Times New Roman" w:hAnsi="Times New Roman" w:eastAsia="方正仿宋_GBK"/>
          <w:b w:val="0"/>
          <w:sz w:val="24"/>
        </w:rPr>
        <w:t xml:space="preserve"> </w:t>
      </w:r>
      <m:oMath>
        <m:r>
          <m:t>0.10</m:t>
        </m:r>
        <m:r>
          <m:t>Δ</m:t>
        </m:r>
        <m:r>
          <m:t>n</m:t>
        </m:r>
      </m:oMath>
      <w:r>
        <w:rPr>
          <w:rFonts w:ascii="Times New Roman" w:hAnsi="Times New Roman" w:eastAsia="方正仿宋_GBK"/>
          <w:b w:val="0"/>
          <w:sz w:val="24"/>
        </w:rPr>
        <w:t xml:space="preserve"> </w:t>
      </w:r>
      <w:r>
        <w:rPr>
          <w:rFonts w:ascii="Times New Roman" w:hAnsi="Times New Roman" w:eastAsia="方正仿宋_GBK"/>
          <w:b w:val="0"/>
          <w:sz w:val="24"/>
        </w:rPr>
        <w:t xml:space="preserve">MW，新增能量为</w:t>
      </w:r>
      <w:r>
        <w:rPr>
          <w:rFonts w:ascii="Times New Roman" w:hAnsi="Times New Roman" w:eastAsia="方正仿宋_GBK"/>
          <w:b w:val="0"/>
          <w:sz w:val="24"/>
        </w:rPr>
        <w:t xml:space="preserve"> </w:t>
      </w:r>
      <m:oMath>
        <m:f>
          <m:fPr>
            <m:type m:val="bar"/>
          </m:fPr>
          <m:num>
            <m:r>
              <m:t>215</m:t>
            </m:r>
            <m:r>
              <m:t>Δ</m:t>
            </m:r>
            <m:r>
              <m:t>n</m:t>
            </m:r>
          </m:num>
          <m:den>
            <m:r>
              <m:t>1000</m:t>
            </m:r>
          </m:den>
        </m:f>
      </m:oMath>
      <w:r>
        <w:rPr>
          <w:rFonts w:ascii="Times New Roman" w:hAnsi="Times New Roman" w:eastAsia="方正仿宋_GBK"/>
          <w:b w:val="0"/>
          <w:sz w:val="24"/>
        </w:rPr>
        <w:t xml:space="preserve"> </w:t>
      </w:r>
      <w:r>
        <w:rPr>
          <w:rFonts w:ascii="Times New Roman" w:hAnsi="Times New Roman" w:eastAsia="方正仿宋_GBK"/>
          <w:b w:val="0"/>
          <w:sz w:val="24"/>
        </w:rPr>
        <w:t xml:space="preserve">MWh。按能量折算的成交参考价为2104562.62/2150000≈0.98元/Wh。</w:t>
      </w:r>
    </w:p>
    <w:p>
      <w:pPr>
        <w:pStyle w:val="5"/>
        <w:keepNext/>
        <w:numPr>
          <w:numId w:val="0"/>
        </w:numPr>
        <w:spacing w:line="360" w:lineRule="auto" w:before="160" w:after="120"/>
        <w:ind w:firstLine="0"/>
      </w:pPr>
      <w:bookmarkStart w:id="149" w:name="峰段持续功率"/>
      <w:r>
        <w:rPr>
          <w:rFonts w:ascii="Times New Roman" w:hAnsi="Times New Roman" w:eastAsia="方正仿宋_GBK"/>
          <w:b/>
          <w:sz w:val="26"/>
        </w:rPr>
        <w:t xml:space="preserve">4.4.3 峰段持续功率</w:t>
      </w:r>
      <w:bookmarkEnd w:id="149"/>
    </w:p>
    <w:p>
      <w:pPr>
        <w:pStyle w:val="FirstParagraph"/>
        <w:widowControl/>
        <w:spacing w:line="300" w:lineRule="auto" w:before="0" w:after="0"/>
        <w:ind w:firstLine="480"/>
        <w:jc w:val="both"/>
      </w:pPr>
      <w:r>
        <w:rPr>
          <w:rFonts w:ascii="Times New Roman" w:hAnsi="Times New Roman" w:eastAsia="方正仿宋_GBK"/>
          <w:b w:val="0"/>
          <w:sz w:val="24"/>
        </w:rPr>
        <w:t xml:space="preserve">对持续</w:t>
      </w:r>
      <m:oMath>
        <m:r>
          <m:t>d</m:t>
        </m:r>
      </m:oMath>
      <w:r>
        <w:rPr>
          <w:rFonts w:ascii="Times New Roman" w:hAnsi="Times New Roman" w:eastAsia="方正仿宋_GBK"/>
          <w:b w:val="0"/>
          <w:sz w:val="24"/>
        </w:rPr>
        <w:t xml:space="preserve">小时的峰段，</w:t>
      </w:r>
      <m:oMath>
        <m:r>
          <m:t>n</m:t>
        </m:r>
      </m:oMath>
      <w:r>
        <w:rPr>
          <w:rFonts w:ascii="Times New Roman" w:hAnsi="Times New Roman" w:eastAsia="方正仿宋_GBK"/>
          <w:b w:val="0"/>
          <w:sz w:val="24"/>
        </w:rPr>
        <w:t xml:space="preserve">柜储能的理想有效功率取铭牌功率与能量持续功率较小者。为保持模型能量系数统一，表达为式（4-6）。有效支撑功率按额定功率及峰段持续放电能量共同核定。</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r>
                  <m:t>B</m:t>
                </m:r>
                <m:r>
                  <m:t>(</m:t>
                </m:r>
                <m:r>
                  <m:t>n</m:t>
                </m:r>
                <m:r>
                  <m:t>,</m:t>
                </m:r>
                <m:r>
                  <m:t>d</m:t>
                </m:r>
                <m:r>
                  <m:t>)</m:t>
                </m:r>
                <m:r>
                  <m:t>=</m:t>
                </m:r>
                <m:f>
                  <m:fPr>
                    <m:type m:val="bar"/>
                  </m:fPr>
                  <m:num>
                    <m:r>
                      <m:t>215</m:t>
                    </m:r>
                    <m:r>
                      <m:t>n</m:t>
                    </m:r>
                  </m:num>
                  <m:den>
                    <m:r>
                      <m:t>1000</m:t>
                    </m:r>
                    <m:r>
                      <m:rPr>
                        <m:nor/>
                        <m:sty m:val="p"/>
                      </m:rPr>
                      <m:t>max</m:t>
                    </m:r>
                    <m:r>
                      <m:t>(</m:t>
                    </m:r>
                    <m:r>
                      <m:t>2.15</m:t>
                    </m:r>
                    <m:r>
                      <m:t>,</m:t>
                    </m:r>
                    <m:r>
                      <m:t>d</m:t>
                    </m:r>
                    <m:r>
                      <m:t>)</m:t>
                    </m:r>
                  </m:den>
                </m:f>
                <m:r>
                  <m:t>,</m:t>
                </m:r>
                <m:r>
                  <m:t>  </m:t>
                </m:r>
                <m:r>
                  <m:t>d</m:t>
                </m:r>
                <m:r>
                  <m:t>≥</m:t>
                </m:r>
                <m:r>
                  <m:t>0</m:t>
                </m:r>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（4-6）</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r>
          <m:t>B</m:t>
        </m:r>
        <m:r>
          <m:t>(</m:t>
        </m:r>
        <m:r>
          <m:t>n</m:t>
        </m:r>
        <m:r>
          <m:t>,</m:t>
        </m:r>
        <m:r>
          <m:t>d</m:t>
        </m:r>
        <m:r>
          <m:t>)</m:t>
        </m:r>
      </m:oMath>
      <w:r>
        <w:rPr>
          <w:rFonts w:ascii="Times New Roman" w:hAnsi="Times New Roman" w:eastAsia="方正仿宋_GBK"/>
          <w:b w:val="0"/>
          <w:sz w:val="24"/>
        </w:rPr>
        <w:t xml:space="preserve">为</w:t>
      </w:r>
      <m:oMath>
        <m:r>
          <m:t>n</m:t>
        </m:r>
      </m:oMath>
      <w:r>
        <w:rPr>
          <w:rFonts w:ascii="Times New Roman" w:hAnsi="Times New Roman" w:eastAsia="方正仿宋_GBK"/>
          <w:b w:val="0"/>
          <w:sz w:val="24"/>
        </w:rPr>
        <w:t xml:space="preserve">柜储能在持续</w:t>
      </w:r>
      <m:oMath>
        <m:r>
          <m:t>d</m:t>
        </m:r>
      </m:oMath>
      <w:r>
        <w:rPr>
          <w:rFonts w:ascii="Times New Roman" w:hAnsi="Times New Roman" w:eastAsia="方正仿宋_GBK"/>
          <w:b w:val="0"/>
          <w:sz w:val="24"/>
        </w:rPr>
        <w:t xml:space="preserve">小时峰段中的有效支撑功率，单位MW；</w:t>
      </w:r>
      <m:oMath>
        <m:r>
          <m:t>n</m:t>
        </m:r>
      </m:oMath>
      <w:r>
        <w:rPr>
          <w:rFonts w:ascii="Times New Roman" w:hAnsi="Times New Roman" w:eastAsia="方正仿宋_GBK"/>
          <w:b w:val="0"/>
          <w:sz w:val="24"/>
        </w:rPr>
        <w:t xml:space="preserve">为非负整数柜数，</w:t>
      </w:r>
      <m:oMath>
        <m:r>
          <m:t>d</m:t>
        </m:r>
      </m:oMath>
      <w:r>
        <w:rPr>
          <w:rFonts w:ascii="Times New Roman" w:hAnsi="Times New Roman" w:eastAsia="方正仿宋_GBK"/>
          <w:b w:val="0"/>
          <w:sz w:val="24"/>
        </w:rPr>
        <w:t xml:space="preserve">为峰段持续时间，单位h；215为单柜能量，单位kWh，2.15 h为额定能量与功率之比。</w:t>
      </w:r>
    </w:p>
    <w:p>
      <w:pPr>
        <w:pStyle w:val="2"/>
        <w:widowControl/>
        <w:spacing w:line="300" w:lineRule="auto" w:before="0" w:after="0"/>
        <w:ind w:firstLine="480"/>
        <w:jc w:val="both"/>
      </w:pPr>
      <w:r>
        <w:rPr>
          <w:rFonts w:ascii="Times New Roman" w:hAnsi="Times New Roman" w:eastAsia="方正仿宋_GBK"/>
          <w:b w:val="0"/>
          <w:sz w:val="24"/>
        </w:rPr>
        <w:t xml:space="preserve">10柜包在1 h和2 h场景可以提供1 MW，3 h时为0.72 MW，4 h时为0.54 MW。单位有效MW费用按对应持续时间分别计算。</w:t>
      </w:r>
    </w:p>
    <w:p>
      <w:pPr>
        <w:pStyle w:val="2"/>
        <w:keepNext/>
        <w:spacing w:line="300" w:lineRule="auto" w:before="120" w:after="80"/>
        <w:ind w:firstLine="0"/>
        <w:jc w:val="center"/>
      </w:pPr>
      <w:r>
        <w:rPr>
          <w:rFonts w:ascii="Times New Roman" w:hAnsi="Times New Roman" w:eastAsia="宋体"/>
          <w:b w:val="0"/>
          <w:sz w:val="21"/>
        </w:rPr>
        <w:t xml:space="preserve">表4-5 10柜包理想持续支撑与初始费用（式4-6）</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持续时间/h</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有效功率/MW</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单位有效MW费用/万元</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主变／储能成本比</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210.46</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210.46</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2.15</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210.46</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0.72</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293.66</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0.06</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0.54</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391.55</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0.36</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587.32</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0.03</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0.27</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783.09</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0.02</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0.18</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1174.64</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0.01</w:t>
            </w:r>
          </w:p>
        </w:tc>
      </w:tr>
    </w:tbl>
    <w:p>
      <w:pPr>
        <w:pStyle w:val="2"/>
        <w:keepNext/>
        <w:spacing w:line="240" w:lineRule="auto" w:before="120" w:after="0"/>
        <w:ind w:firstLine="0"/>
        <w:jc w:val="center"/>
      </w:pPr>
      <w:r>
        <w:drawing>
          <wp:inline>
            <wp:extent cx="5120640" cy="2707618"/>
            <wp:effectExtent b="0" l="0" r="0" t="0"/>
            <wp:docPr descr="" title="" id="1" name="Picture"/>
            <a:graphic>
              <a:graphicData uri="http://schemas.openxmlformats.org/drawingml/2006/picture">
                <pic:pic>
                  <pic:nvPicPr>
                    <pic:cNvPr descr="研究报告/02图表/当前版/storage_effective_cost.png" id="0" name="Picture"/>
                    <pic:cNvPicPr>
                      <a:picLocks noChangeArrowheads="1" noChangeAspect="1"/>
                    </pic:cNvPicPr>
                  </pic:nvPicPr>
                  <pic:blipFill>
                    <a:blip r:embed="rId150"/>
                    <a:stretch>
                      <a:fillRect/>
                    </a:stretch>
                  </pic:blipFill>
                  <pic:spPr bwMode="auto">
                    <a:xfrm>
                      <a:off x="0" y="0"/>
                      <a:ext cx="5120640" cy="2707618"/>
                    </a:xfrm>
                    <a:prstGeom prst="rect">
                      <a:avLst/>
                    </a:prstGeom>
                    <a:noFill/>
                    <a:ln w="9525">
                      <a:noFill/>
                      <a:headEnd/>
                      <a:tailEnd/>
                    </a:ln>
                  </pic:spPr>
                </pic:pic>
              </a:graphicData>
            </a:graphic>
          </wp:inline>
        </w:drawing>
      </w:r>
    </w:p>
    <w:p>
      <w:pPr>
        <w:pStyle w:val="2"/>
        <w:spacing w:line="300" w:lineRule="auto" w:before="60" w:after="120"/>
        <w:ind w:firstLine="0"/>
        <w:jc w:val="center"/>
      </w:pPr>
      <w:r>
        <w:rPr>
          <w:rFonts w:ascii="Times New Roman" w:hAnsi="Times New Roman" w:eastAsia="宋体"/>
          <w:b w:val="0"/>
          <w:sz w:val="21"/>
        </w:rPr>
        <w:t xml:space="preserve">图4-1 储能单位有效支撑功率费用与持续时间</w:t>
      </w:r>
    </w:p>
    <w:p>
      <w:pPr>
        <w:pStyle w:val="5"/>
        <w:keepNext/>
        <w:numPr>
          <w:numId w:val="0"/>
        </w:numPr>
        <w:spacing w:line="360" w:lineRule="auto" w:before="160" w:after="120"/>
        <w:ind w:firstLine="0"/>
      </w:pPr>
      <w:bookmarkStart w:id="151" w:name="可用能力与工程适用性"/>
      <w:r>
        <w:rPr>
          <w:rFonts w:ascii="Times New Roman" w:hAnsi="Times New Roman" w:eastAsia="方正仿宋_GBK"/>
          <w:b/>
          <w:sz w:val="26"/>
        </w:rPr>
        <w:t xml:space="preserve">4.4.4 可用能力与工程适用性</w:t>
      </w:r>
      <w:bookmarkEnd w:id="151"/>
    </w:p>
    <w:p>
      <w:pPr>
        <w:pStyle w:val="FirstParagraph"/>
        <w:widowControl/>
        <w:spacing w:line="300" w:lineRule="auto" w:before="0" w:after="0"/>
        <w:ind w:firstLine="480"/>
        <w:jc w:val="both"/>
      </w:pPr>
      <w:r>
        <w:rPr>
          <w:rFonts w:ascii="Times New Roman" w:hAnsi="Times New Roman" w:eastAsia="方正仿宋_GBK"/>
          <w:b w:val="0"/>
          <w:sz w:val="24"/>
        </w:rPr>
        <w:t xml:space="preserve">本研究按铭牌功率与能量进行峰段静态折算。工程设计采用保证可用功率、能量和充放电效率，并通过连续时序校核荷电状态及充电条件，核定实际可持续支撑能力。</w:t>
      </w:r>
    </w:p>
    <w:p>
      <w:bookmarkStart w:id="1413" w:name="h413"/>
      <w:pPr>
        <w:pStyle w:val="4"/>
        <w:keepNext/>
        <w:numPr>
          <w:numId w:val="0"/>
        </w:numPr>
        <w:spacing w:line="360" w:lineRule="auto" w:before="160" w:after="120"/>
        <w:ind w:firstLine="0"/>
      </w:pPr>
      <w:bookmarkStart w:id="152" w:name="两个成本比例及敏感性方法"/>
      <w:r>
        <w:rPr>
          <w:rFonts w:ascii="Times New Roman" w:hAnsi="Times New Roman" w:eastAsia="方正仿宋_GBK"/>
          <w:b/>
          <w:sz w:val="32"/>
        </w:rPr>
        <w:t xml:space="preserve">4.5 两个成本比例及敏感性方法</w:t>
      </w:r>
      <w:bookmarkEnd w:id="152"/>
      <w:bookmarkEnd w:id="1413"/>
    </w:p>
    <w:p>
      <w:pPr>
        <w:pStyle w:val="5"/>
        <w:keepNext/>
        <w:numPr>
          <w:numId w:val="0"/>
        </w:numPr>
        <w:spacing w:line="360" w:lineRule="auto" w:before="160" w:after="120"/>
        <w:ind w:firstLine="0"/>
      </w:pPr>
      <w:bookmarkStart w:id="153" w:name="主变与线路成本比例"/>
      <w:r>
        <w:rPr>
          <w:rFonts w:ascii="Times New Roman" w:hAnsi="Times New Roman" w:eastAsia="方正仿宋_GBK"/>
          <w:b/>
          <w:sz w:val="26"/>
        </w:rPr>
        <w:t xml:space="preserve">4.5.1 主变与线路成本比例</w:t>
      </w:r>
      <w:bookmarkEnd w:id="153"/>
    </w:p>
    <w:p>
      <w:pPr>
        <w:pStyle w:val="FirstParagraph"/>
        <w:widowControl/>
        <w:spacing w:line="300" w:lineRule="auto" w:before="0" w:after="0"/>
        <w:ind w:firstLine="480"/>
        <w:jc w:val="both"/>
      </w:pPr>
      <w:r>
        <w:rPr>
          <w:rFonts w:ascii="Times New Roman" w:hAnsi="Times New Roman" w:eastAsia="方正仿宋_GBK"/>
          <w:b w:val="0"/>
          <w:sz w:val="24"/>
        </w:rPr>
        <w:t xml:space="preserve">采用相同单位的初始投资尺度，主变采购有效MW费用与线路可转任务MW费用之比记为</w:t>
      </w:r>
      <m:oMath>
        <m:sSub>
          <m:e>
            <m:r>
              <m:t>k</m:t>
            </m:r>
          </m:e>
          <m:sub>
            <m:r>
              <m:t>T</m:t>
            </m:r>
            <m:r>
              <m:t>L</m:t>
            </m:r>
          </m:sub>
        </m:sSub>
      </m:oMath>
      <w:r>
        <w:rPr>
          <w:rFonts w:ascii="Times New Roman" w:hAnsi="Times New Roman" w:eastAsia="方正仿宋_GBK"/>
          <w:b w:val="0"/>
          <w:sz w:val="24"/>
        </w:rPr>
        <w:t xml:space="preserve">。式（4-7）对应本研究参考规模，主变系数来自实际替换工程，线路价格及有效任务取前述情景[85][87]。</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r>
                      <m:t>k</m:t>
                    </m:r>
                  </m:e>
                  <m:sub>
                    <m:r>
                      <m:t>T</m:t>
                    </m:r>
                    <m:r>
                      <m:t>L</m:t>
                    </m:r>
                  </m:sub>
                </m:sSub>
                <m:r>
                  <m:t>=</m:t>
                </m:r>
                <m:f>
                  <m:fPr>
                    <m:type m:val="bar"/>
                  </m:fPr>
                  <m:num>
                    <m:sSub>
                      <m:e>
                        <m:r>
                          <m:t>c</m:t>
                        </m:r>
                      </m:e>
                      <m:sub>
                        <m:r>
                          <m:t>T</m:t>
                        </m:r>
                      </m:sub>
                    </m:sSub>
                    <m:r>
                      <m:t>/</m:t>
                    </m:r>
                    <m:r>
                      <m:t>0.95</m:t>
                    </m:r>
                  </m:num>
                  <m:den>
                    <m:sSub>
                      <m:e>
                        <m:r>
                          <m:t>I</m:t>
                        </m:r>
                      </m:e>
                      <m:sub>
                        <m:r>
                          <m:t>L</m:t>
                        </m:r>
                      </m:sub>
                    </m:sSub>
                    <m:r>
                      <m:t>/</m:t>
                    </m:r>
                    <m:sSub>
                      <m:e>
                        <m:r>
                          <m:t>F</m:t>
                        </m:r>
                      </m:e>
                      <m:sub>
                        <m:r>
                          <m:t>L</m:t>
                        </m:r>
                      </m:sub>
                    </m:sSub>
                  </m:den>
                </m:f>
                <m:r>
                  <m:t>=</m:t>
                </m:r>
                <m:f>
                  <m:fPr>
                    <m:type m:val="bar"/>
                  </m:fPr>
                  <m:num>
                    <m:r>
                      <m:t>16.57</m:t>
                    </m:r>
                    <m:r>
                      <m:t>/</m:t>
                    </m:r>
                    <m:r>
                      <m:t>0.95</m:t>
                    </m:r>
                  </m:num>
                  <m:den>
                    <m:r>
                      <m:t>124.80</m:t>
                    </m:r>
                    <m:r>
                      <m:t>/</m:t>
                    </m:r>
                    <m:r>
                      <m:t>7.49</m:t>
                    </m:r>
                  </m:den>
                </m:f>
                <m:r>
                  <m:t>≈</m:t>
                </m:r>
                <m:r>
                  <m:t>1.05</m:t>
                </m:r>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（4-7）</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
          <m:e>
            <m:r>
              <m:t>k</m:t>
            </m:r>
          </m:e>
          <m:sub>
            <m:r>
              <m:t>T</m:t>
            </m:r>
            <m:r>
              <m:t>L</m:t>
            </m:r>
          </m:sub>
        </m:sSub>
      </m:oMath>
      <w:r>
        <w:rPr>
          <w:rFonts w:ascii="Times New Roman" w:hAnsi="Times New Roman" w:eastAsia="方正仿宋_GBK"/>
          <w:b w:val="0"/>
          <w:sz w:val="24"/>
        </w:rPr>
        <w:t xml:space="preserve">为主变与线路成本比，无量纲；</w:t>
      </w:r>
      <m:oMath>
        <m:sSub>
          <m:e>
            <m:r>
              <m:t>F</m:t>
            </m:r>
          </m:e>
          <m:sub>
            <m:r>
              <m:t>L</m:t>
            </m:r>
          </m:sub>
        </m:sSub>
      </m:oMath>
      <w:r>
        <w:rPr>
          <w:rFonts w:ascii="Times New Roman" w:hAnsi="Times New Roman" w:eastAsia="方正仿宋_GBK"/>
          <w:b w:val="0"/>
          <w:sz w:val="24"/>
        </w:rPr>
        <w:t xml:space="preserve">为单项目可转负荷，取7.49 MW；</w:t>
      </w:r>
      <m:oMath>
        <m:sSub>
          <m:e>
            <m:r>
              <m:t>I</m:t>
            </m:r>
          </m:e>
          <m:sub>
            <m:r>
              <m:t>L</m:t>
            </m:r>
          </m:sub>
        </m:sSub>
      </m:oMath>
      <w:r>
        <w:rPr>
          <w:rFonts w:ascii="Times New Roman" w:hAnsi="Times New Roman" w:eastAsia="方正仿宋_GBK"/>
          <w:b w:val="0"/>
          <w:sz w:val="24"/>
        </w:rPr>
        <w:t xml:space="preserve">为单项目投资，单位万元；</w:t>
      </w:r>
      <m:oMath>
        <m:sSub>
          <m:e>
            <m:r>
              <m:t>c</m:t>
            </m:r>
          </m:e>
          <m:sub>
            <m:r>
              <m:t>T</m:t>
            </m:r>
          </m:sub>
        </m:sSub>
      </m:oMath>
      <w:r>
        <w:rPr>
          <w:rFonts w:ascii="Times New Roman" w:hAnsi="Times New Roman" w:eastAsia="方正仿宋_GBK"/>
          <w:b w:val="0"/>
          <w:sz w:val="24"/>
        </w:rPr>
        <w:t xml:space="preserve">为主变采购容量投资系数，0.95为功率因数。</w:t>
      </w:r>
    </w:p>
    <w:p>
      <w:pPr>
        <w:pStyle w:val="2"/>
        <w:widowControl/>
        <w:spacing w:line="300" w:lineRule="auto" w:before="0" w:after="0"/>
        <w:ind w:firstLine="480"/>
        <w:jc w:val="both"/>
      </w:pPr>
      <w:r>
        <w:rPr>
          <w:rFonts w:ascii="Times New Roman" w:hAnsi="Times New Roman" w:eastAsia="方正仿宋_GBK"/>
          <w:b w:val="0"/>
          <w:sz w:val="24"/>
        </w:rPr>
        <w:t xml:space="preserve">主变分母表达采购容量，线路分母表达可转负荷，二者的服务机制不同。该比例作为相对价格参数，不可直接写成主变与联络的等效效率，也不用于代数推导容载比上限。实际站级约束决定这些措施能否替代。</w:t>
      </w:r>
    </w:p>
    <w:p>
      <w:pPr>
        <w:pStyle w:val="2"/>
        <w:widowControl/>
        <w:spacing w:line="300" w:lineRule="auto" w:before="0" w:after="0"/>
        <w:ind w:firstLine="480"/>
        <w:jc w:val="both"/>
      </w:pPr>
      <w:r>
        <w:rPr>
          <w:rFonts w:ascii="Times New Roman" w:hAnsi="Times New Roman" w:eastAsia="方正仿宋_GBK"/>
          <w:b w:val="0"/>
          <w:sz w:val="24"/>
        </w:rPr>
        <w:t xml:space="preserve">电缆为主情景的初始成本比约为0.26。主变参考价不变时，线路越贵，该成本比越小；较小的比值表示增加主变容量相对于新建联络更便宜。线路类型通过敷设比例改变费用，价格倍数用于检查同类工程的价格波动。</w:t>
      </w:r>
    </w:p>
    <w:p>
      <w:pPr>
        <w:pStyle w:val="2"/>
        <w:widowControl/>
        <w:spacing w:line="300" w:lineRule="auto" w:before="0" w:after="0"/>
        <w:ind w:firstLine="480"/>
        <w:jc w:val="both"/>
      </w:pPr>
      <w:r>
        <w:rPr>
          <w:rFonts w:ascii="Times New Roman" w:hAnsi="Times New Roman" w:eastAsia="方正仿宋_GBK"/>
          <w:b w:val="0"/>
          <w:sz w:val="24"/>
        </w:rPr>
        <w:t xml:space="preserve">线路价格乘以0.75或1.25时，主变价格保持，比例相对于基准分别变为1/0.75与1/1.25。联络容量、负荷和候选集合不因改变价格而变化。这样可以将价格影响与技术能力影响分开观察。</w:t>
      </w:r>
    </w:p>
    <w:p>
      <w:pPr>
        <w:pStyle w:val="5"/>
        <w:keepNext/>
        <w:numPr>
          <w:numId w:val="0"/>
        </w:numPr>
        <w:spacing w:line="360" w:lineRule="auto" w:before="160" w:after="120"/>
        <w:ind w:firstLine="0"/>
      </w:pPr>
      <w:bookmarkStart w:id="154" w:name="主变与储能成本比例"/>
      <w:r>
        <w:rPr>
          <w:rFonts w:ascii="Times New Roman" w:hAnsi="Times New Roman" w:eastAsia="方正仿宋_GBK"/>
          <w:b/>
          <w:sz w:val="26"/>
        </w:rPr>
        <w:t xml:space="preserve">4.5.2 主变与储能成本比例</w:t>
      </w:r>
      <w:bookmarkEnd w:id="154"/>
    </w:p>
    <w:p>
      <w:pPr>
        <w:pStyle w:val="FirstParagraph"/>
        <w:widowControl/>
        <w:spacing w:line="300" w:lineRule="auto" w:before="0" w:after="0"/>
        <w:ind w:firstLine="480"/>
        <w:jc w:val="both"/>
      </w:pPr>
      <w:r>
        <w:rPr>
          <w:rFonts w:ascii="Times New Roman" w:hAnsi="Times New Roman" w:eastAsia="方正仿宋_GBK"/>
          <w:b w:val="0"/>
          <w:sz w:val="24"/>
        </w:rPr>
        <w:t xml:space="preserve">主变采购有效MW费用与</w:t>
      </w:r>
      <m:oMath>
        <m:r>
          <m:t>d</m:t>
        </m:r>
      </m:oMath>
      <w:r>
        <w:rPr>
          <w:rFonts w:ascii="Times New Roman" w:hAnsi="Times New Roman" w:eastAsia="方正仿宋_GBK"/>
          <w:b w:val="0"/>
          <w:sz w:val="24"/>
        </w:rPr>
        <w:t xml:space="preserve">小时储能有效MW费用之比记为</w:t>
      </w:r>
      <m:oMath>
        <m:sSub>
          <m:e>
            <m:r>
              <m:t>k</m:t>
            </m:r>
          </m:e>
          <m:sub>
            <m:r>
              <m:t>T</m:t>
            </m:r>
            <m:r>
              <m:t>B</m:t>
            </m:r>
          </m:sub>
        </m:sSub>
        <m:r>
          <m:t>(</m:t>
        </m:r>
        <m:r>
          <m:t>d</m:t>
        </m:r>
        <m:r>
          <m:t>)</m:t>
        </m:r>
      </m:oMath>
      <w:r>
        <w:rPr>
          <w:rFonts w:ascii="Times New Roman" w:hAnsi="Times New Roman" w:eastAsia="方正仿宋_GBK"/>
          <w:b w:val="0"/>
          <w:sz w:val="24"/>
        </w:rPr>
        <w:t xml:space="preserve">。式（4-8）以10柜包为尺度，使持续时间明确进入比例。</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r>
                      <m:t>k</m:t>
                    </m:r>
                  </m:e>
                  <m:sub>
                    <m:r>
                      <m:t>T</m:t>
                    </m:r>
                    <m:r>
                      <m:t>B</m:t>
                    </m:r>
                  </m:sub>
                </m:sSub>
                <m:r>
                  <m:t>(</m:t>
                </m:r>
                <m:r>
                  <m:t>d</m:t>
                </m:r>
                <m:r>
                  <m:t>)</m:t>
                </m:r>
                <m:r>
                  <m:t>=</m:t>
                </m:r>
                <m:f>
                  <m:fPr>
                    <m:type m:val="bar"/>
                  </m:fPr>
                  <m:num>
                    <m:sSub>
                      <m:e>
                        <m:r>
                          <m:t>c</m:t>
                        </m:r>
                      </m:e>
                      <m:sub>
                        <m:r>
                          <m:t>T</m:t>
                        </m:r>
                      </m:sub>
                    </m:sSub>
                    <m:r>
                      <m:t>/</m:t>
                    </m:r>
                    <m:r>
                      <m:t>0.95</m:t>
                    </m:r>
                  </m:num>
                  <m:den>
                    <m:r>
                      <m:t>210.46</m:t>
                    </m:r>
                    <m:r>
                      <m:t>/</m:t>
                    </m:r>
                    <m:r>
                      <m:t>B</m:t>
                    </m:r>
                    <m:r>
                      <m:t>(</m:t>
                    </m:r>
                    <m:r>
                      <m:t>10</m:t>
                    </m:r>
                    <m:r>
                      <m:t>,</m:t>
                    </m:r>
                    <m:r>
                      <m:t>d</m:t>
                    </m:r>
                    <m:r>
                      <m:t>)</m:t>
                    </m:r>
                  </m:den>
                </m:f>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（4-8）</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
          <m:e>
            <m:r>
              <m:t>k</m:t>
            </m:r>
          </m:e>
          <m:sub>
            <m:r>
              <m:t>T</m:t>
            </m:r>
            <m:r>
              <m:t>B</m:t>
            </m:r>
          </m:sub>
        </m:sSub>
        <m:r>
          <m:t>(</m:t>
        </m:r>
        <m:r>
          <m:t>d</m:t>
        </m:r>
        <m:r>
          <m:t>)</m:t>
        </m:r>
      </m:oMath>
      <w:r>
        <w:rPr>
          <w:rFonts w:ascii="Times New Roman" w:hAnsi="Times New Roman" w:eastAsia="方正仿宋_GBK"/>
          <w:b w:val="0"/>
          <w:sz w:val="24"/>
        </w:rPr>
        <w:t xml:space="preserve">为持续</w:t>
      </w:r>
      <m:oMath>
        <m:r>
          <m:t>d</m:t>
        </m:r>
      </m:oMath>
      <w:r>
        <w:rPr>
          <w:rFonts w:ascii="Times New Roman" w:hAnsi="Times New Roman" w:eastAsia="方正仿宋_GBK"/>
          <w:b w:val="0"/>
          <w:sz w:val="24"/>
        </w:rPr>
        <w:t xml:space="preserve">小时的主变与储能成本比，无量纲；</w:t>
      </w:r>
      <m:oMath>
        <m:r>
          <m:t>B</m:t>
        </m:r>
        <m:r>
          <m:t>(</m:t>
        </m:r>
        <m:r>
          <m:t>10</m:t>
        </m:r>
        <m:r>
          <m:t>,</m:t>
        </m:r>
        <m:r>
          <m:t>d</m:t>
        </m:r>
        <m:r>
          <m:t>)</m:t>
        </m:r>
      </m:oMath>
      <w:r>
        <w:rPr>
          <w:rFonts w:ascii="Times New Roman" w:hAnsi="Times New Roman" w:eastAsia="方正仿宋_GBK"/>
          <w:b w:val="0"/>
          <w:sz w:val="24"/>
        </w:rPr>
        <w:t xml:space="preserve">为10柜包有效支撑功率，单位MW；210.46为该包参考投资，单位万元。</w:t>
      </w:r>
    </w:p>
    <w:p>
      <w:pPr>
        <w:pStyle w:val="2"/>
        <w:widowControl/>
        <w:spacing w:line="300" w:lineRule="auto" w:before="0" w:after="0"/>
        <w:ind w:firstLine="480"/>
        <w:jc w:val="both"/>
      </w:pPr>
      <w:r>
        <w:rPr>
          <w:rFonts w:ascii="Times New Roman" w:hAnsi="Times New Roman" w:eastAsia="方正仿宋_GBK"/>
          <w:b w:val="0"/>
          <w:sz w:val="24"/>
        </w:rPr>
        <w:t xml:space="preserve">3</w:t>
      </w:r>
      <w:r>
        <w:rPr>
          <w:rFonts w:ascii="Times New Roman" w:hAnsi="Times New Roman" w:eastAsia="方正仿宋_GBK"/>
          <w:b w:val="0"/>
          <w:sz w:val="24"/>
        </w:rPr>
        <w:t xml:space="preserve"> </w:t>
      </w:r>
      <m:oMath>
        <m:r>
          <m:t>h</m:t>
        </m:r>
      </m:oMath>
      <w:r>
        <w:rPr>
          <w:rFonts w:ascii="Times New Roman" w:hAnsi="Times New Roman" w:eastAsia="方正仿宋_GBK"/>
          <w:b w:val="0"/>
          <w:sz w:val="24"/>
        </w:rPr>
        <w:t xml:space="preserve">时，主变与储能成本比</w:t>
      </w:r>
      <m:oMath>
        <m:sSub>
          <m:e>
            <m:r>
              <m:t>k</m:t>
            </m:r>
          </m:e>
          <m:sub>
            <m:r>
              <m:t>T</m:t>
            </m:r>
            <m:r>
              <m:t>B</m:t>
            </m:r>
          </m:sub>
        </m:sSub>
      </m:oMath>
      <w:r>
        <w:rPr>
          <w:rFonts w:ascii="Times New Roman" w:hAnsi="Times New Roman" w:eastAsia="方正仿宋_GBK"/>
          <w:b w:val="0"/>
          <w:sz w:val="24"/>
        </w:rPr>
        <w:t xml:space="preserve">约0.06；2 h及以内约0.08，4</w:t>
      </w:r>
      <w:r>
        <w:rPr>
          <w:rFonts w:ascii="Times New Roman" w:hAnsi="Times New Roman" w:eastAsia="方正仿宋_GBK"/>
          <w:b w:val="0"/>
          <w:sz w:val="24"/>
        </w:rPr>
        <w:t xml:space="preserve"> </w:t>
      </w:r>
      <m:oMath>
        <m:r>
          <m:t>h</m:t>
        </m:r>
      </m:oMath>
      <w:r>
        <w:rPr>
          <w:rFonts w:ascii="Times New Roman" w:hAnsi="Times New Roman" w:eastAsia="方正仿宋_GBK"/>
          <w:b w:val="0"/>
          <w:sz w:val="24"/>
        </w:rPr>
        <w:t xml:space="preserve">时约0.04。报告用3 h参考比例展示价格条件，实际寻优仍对每站正反向持续时间分别计算支撑系数。各站能量约束按本方向持续时间计算。</w:t>
      </w:r>
    </w:p>
    <w:p>
      <w:pPr>
        <w:pStyle w:val="2"/>
        <w:widowControl/>
        <w:spacing w:line="300" w:lineRule="auto" w:before="0" w:after="0"/>
        <w:ind w:firstLine="480"/>
        <w:jc w:val="both"/>
      </w:pPr>
      <w:r>
        <w:rPr>
          <w:rFonts w:ascii="Times New Roman" w:hAnsi="Times New Roman" w:eastAsia="方正仿宋_GBK"/>
          <w:b w:val="0"/>
          <w:sz w:val="24"/>
        </w:rPr>
        <w:t xml:space="preserve">储能价格降低25%或50%时，主变与储能成本比</w:t>
      </w:r>
      <m:oMath>
        <m:sSub>
          <m:e>
            <m:r>
              <m:t>k</m:t>
            </m:r>
          </m:e>
          <m:sub>
            <m:r>
              <m:t>T</m:t>
            </m:r>
            <m:r>
              <m:t>B</m:t>
            </m:r>
          </m:sub>
        </m:sSub>
      </m:oMath>
      <w:r>
        <w:rPr>
          <w:rFonts w:ascii="Times New Roman" w:hAnsi="Times New Roman" w:eastAsia="方正仿宋_GBK"/>
          <w:b w:val="0"/>
          <w:sz w:val="24"/>
        </w:rPr>
        <w:t xml:space="preserve">相对于同持续时间基准分别增加到1.33倍或2倍；提高25%时降为0.80倍。初始投资与未来更新投资共同采用相同价格倍数，避免只降低首次购置而保留原更新成本，造成情景定义不一致。</w:t>
      </w:r>
    </w:p>
    <w:p>
      <w:pPr>
        <w:pStyle w:val="5"/>
        <w:keepNext/>
        <w:numPr>
          <w:numId w:val="0"/>
        </w:numPr>
        <w:spacing w:line="360" w:lineRule="auto" w:before="160" w:after="120"/>
        <w:ind w:firstLine="0"/>
      </w:pPr>
      <w:bookmarkStart w:id="155" w:name="初始投资比与全寿命比"/>
      <w:r>
        <w:rPr>
          <w:rFonts w:ascii="Times New Roman" w:hAnsi="Times New Roman" w:eastAsia="方正仿宋_GBK"/>
          <w:b/>
          <w:sz w:val="26"/>
        </w:rPr>
        <w:t xml:space="preserve">4.5.3 初始投资比与全寿命比</w:t>
      </w:r>
      <w:bookmarkEnd w:id="155"/>
    </w:p>
    <w:p>
      <w:pPr>
        <w:pStyle w:val="FirstParagraph"/>
        <w:widowControl/>
        <w:spacing w:line="300" w:lineRule="auto" w:before="0" w:after="0"/>
        <w:ind w:firstLine="480"/>
        <w:jc w:val="both"/>
      </w:pPr>
      <w:r>
        <w:rPr>
          <w:rFonts w:ascii="Times New Roman" w:hAnsi="Times New Roman" w:eastAsia="方正仿宋_GBK"/>
          <w:b w:val="0"/>
          <w:sz w:val="24"/>
        </w:rPr>
        <w:t xml:space="preserve">初始投资比适于说明工程规模和价格出处，全寿命比还受投运年份、运维及更新影响。对同一年投入的措施，可将各初始费用分别乘以相应现值因子，形成全寿命单位服务能力费用比。本轮评价期内无需寿命更新，全寿命比例与初始比例的差异来自固定运维费率及投运年份。</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sSubSup>
                        <m:e>
                          <m:r>
                            <m:t>k</m:t>
                          </m:r>
                        </m:e>
                        <m:sub>
                          <m:r>
                            <m:t>T</m:t>
                          </m:r>
                          <m:r>
                            <m:t>B</m:t>
                          </m:r>
                        </m:sub>
                        <m:sup>
                          <m:r>
                            <m:rPr>
                              <m:sty m:val="p"/>
                            </m:rPr>
                            <m:t>l</m:t>
                          </m:r>
                          <m:r>
                            <m:rPr>
                              <m:sty m:val="p"/>
                            </m:rPr>
                            <m:t>i</m:t>
                          </m:r>
                          <m:r>
                            <m:rPr>
                              <m:sty m:val="p"/>
                            </m:rPr>
                            <m:t>f</m:t>
                          </m:r>
                          <m:r>
                            <m:rPr>
                              <m:sty m:val="p"/>
                            </m:rPr>
                            <m:t>e</m:t>
                          </m:r>
                        </m:sup>
                      </m:sSubSup>
                      <m:r>
                        <m:t>(</m:t>
                      </m:r>
                      <m:r>
                        <m:t>y</m:t>
                      </m:r>
                      <m:r>
                        <m:t>,</m:t>
                      </m:r>
                      <m:r>
                        <m:t>d</m:t>
                      </m:r>
                      <m:r>
                        <m:t>)</m:t>
                      </m:r>
                    </m:e>
                    <m:e>
                      <m:r>
                        <m:t>=</m:t>
                      </m:r>
                      <m:sSub>
                        <m:e>
                          <m:r>
                            <m:t>k</m:t>
                          </m:r>
                        </m:e>
                        <m:sub>
                          <m:r>
                            <m:t>T</m:t>
                          </m:r>
                          <m:r>
                            <m:t>B</m:t>
                          </m:r>
                        </m:sub>
                      </m:sSub>
                      <m:r>
                        <m:t>(</m:t>
                      </m:r>
                      <m:r>
                        <m:t>d</m:t>
                      </m:r>
                      <m:r>
                        <m:t>)</m:t>
                      </m:r>
                      <m:f>
                        <m:fPr>
                          <m:type m:val="bar"/>
                        </m:fPr>
                        <m:num>
                          <m:sSub>
                            <m:e>
                              <m:r>
                                <m:t>A</m:t>
                              </m:r>
                            </m:e>
                            <m:sub>
                              <m:r>
                                <m:t>T</m:t>
                              </m:r>
                            </m:sub>
                          </m:sSub>
                          <m:r>
                            <m:t>(</m:t>
                          </m:r>
                          <m:r>
                            <m:t>y</m:t>
                          </m:r>
                          <m:r>
                            <m:t>)</m:t>
                          </m:r>
                        </m:num>
                        <m:den>
                          <m:sSub>
                            <m:e>
                              <m:r>
                                <m:t>A</m:t>
                              </m:r>
                            </m:e>
                            <m:sub>
                              <m:r>
                                <m:t>B</m:t>
                              </m:r>
                            </m:sub>
                          </m:sSub>
                          <m:r>
                            <m:t>(</m:t>
                          </m:r>
                          <m:r>
                            <m:t>y</m:t>
                          </m:r>
                          <m:r>
                            <m:t>)</m:t>
                          </m:r>
                        </m:den>
                      </m:f>
                    </m:e>
                  </m:mr>
                  <m:mr>
                    <m:e>
                      <m:sSubSup>
                        <m:e>
                          <m:r>
                            <m:t>k</m:t>
                          </m:r>
                        </m:e>
                        <m:sub>
                          <m:r>
                            <m:t>T</m:t>
                          </m:r>
                          <m:r>
                            <m:t>L</m:t>
                          </m:r>
                        </m:sub>
                        <m:sup>
                          <m:r>
                            <m:rPr>
                              <m:sty m:val="p"/>
                            </m:rPr>
                            <m:t>l</m:t>
                          </m:r>
                          <m:r>
                            <m:rPr>
                              <m:sty m:val="p"/>
                            </m:rPr>
                            <m:t>i</m:t>
                          </m:r>
                          <m:r>
                            <m:rPr>
                              <m:sty m:val="p"/>
                            </m:rPr>
                            <m:t>f</m:t>
                          </m:r>
                          <m:r>
                            <m:rPr>
                              <m:sty m:val="p"/>
                            </m:rPr>
                            <m:t>e</m:t>
                          </m:r>
                        </m:sup>
                      </m:sSubSup>
                      <m:r>
                        <m:t>(</m:t>
                      </m:r>
                      <m:r>
                        <m:t>y</m:t>
                      </m:r>
                      <m:r>
                        <m:t>)</m:t>
                      </m:r>
                    </m:e>
                    <m:e>
                      <m:r>
                        <m:t>=</m:t>
                      </m:r>
                      <m:sSub>
                        <m:e>
                          <m:r>
                            <m:t>k</m:t>
                          </m:r>
                        </m:e>
                        <m:sub>
                          <m:r>
                            <m:t>T</m:t>
                          </m:r>
                          <m:r>
                            <m:t>L</m:t>
                          </m:r>
                        </m:sub>
                      </m:sSub>
                      <m:f>
                        <m:fPr>
                          <m:type m:val="bar"/>
                        </m:fPr>
                        <m:num>
                          <m:sSub>
                            <m:e>
                              <m:r>
                                <m:t>A</m:t>
                              </m:r>
                            </m:e>
                            <m:sub>
                              <m:r>
                                <m:t>T</m:t>
                              </m:r>
                            </m:sub>
                          </m:sSub>
                          <m:r>
                            <m:t>(</m:t>
                          </m:r>
                          <m:r>
                            <m:t>y</m:t>
                          </m:r>
                          <m:r>
                            <m:t>)</m:t>
                          </m:r>
                        </m:num>
                        <m:den>
                          <m:sSub>
                            <m:e>
                              <m:r>
                                <m:t>A</m:t>
                              </m:r>
                            </m:e>
                            <m:sub>
                              <m:r>
                                <m:t>L</m:t>
                              </m:r>
                            </m:sub>
                          </m:sSub>
                          <m:r>
                            <m:t>(</m:t>
                          </m:r>
                          <m:r>
                            <m:t>y</m:t>
                          </m:r>
                          <m:r>
                            <m:t>)</m:t>
                          </m:r>
                        </m:den>
                      </m:f>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（4-9）</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Sup>
          <m:e>
            <m:r>
              <m:t>k</m:t>
            </m:r>
          </m:e>
          <m:sub>
            <m:r>
              <m:t>T</m:t>
            </m:r>
            <m:r>
              <m:t>B</m:t>
            </m:r>
          </m:sub>
          <m:sup>
            <m:r>
              <m:rPr>
                <m:sty m:val="p"/>
              </m:rPr>
              <m:t>l</m:t>
            </m:r>
            <m:r>
              <m:rPr>
                <m:sty m:val="p"/>
              </m:rPr>
              <m:t>i</m:t>
            </m:r>
            <m:r>
              <m:rPr>
                <m:sty m:val="p"/>
              </m:rPr>
              <m:t>f</m:t>
            </m:r>
            <m:r>
              <m:rPr>
                <m:sty m:val="p"/>
              </m:rPr>
              <m:t>e</m:t>
            </m:r>
          </m:sup>
        </m:sSubSup>
      </m:oMath>
      <w:r>
        <w:rPr>
          <w:rFonts w:ascii="Times New Roman" w:hAnsi="Times New Roman" w:eastAsia="方正仿宋_GBK"/>
          <w:b w:val="0"/>
          <w:sz w:val="24"/>
        </w:rPr>
        <w:t xml:space="preserve">、</w:t>
      </w:r>
      <m:oMath>
        <m:sSubSup>
          <m:e>
            <m:r>
              <m:t>k</m:t>
            </m:r>
          </m:e>
          <m:sub>
            <m:r>
              <m:t>T</m:t>
            </m:r>
            <m:r>
              <m:t>L</m:t>
            </m:r>
          </m:sub>
          <m:sup>
            <m:r>
              <m:rPr>
                <m:sty m:val="p"/>
              </m:rPr>
              <m:t>l</m:t>
            </m:r>
            <m:r>
              <m:rPr>
                <m:sty m:val="p"/>
              </m:rPr>
              <m:t>i</m:t>
            </m:r>
            <m:r>
              <m:rPr>
                <m:sty m:val="p"/>
              </m:rPr>
              <m:t>f</m:t>
            </m:r>
            <m:r>
              <m:rPr>
                <m:sty m:val="p"/>
              </m:rPr>
              <m:t>e</m:t>
            </m:r>
          </m:sup>
        </m:sSubSup>
      </m:oMath>
      <w:r>
        <w:rPr>
          <w:rFonts w:ascii="Times New Roman" w:hAnsi="Times New Roman" w:eastAsia="方正仿宋_GBK"/>
          <w:b w:val="0"/>
          <w:sz w:val="24"/>
        </w:rPr>
        <w:t xml:space="preserve">分别为全寿命主变与储能、主变与线路单位能力费用比，无量纲；</w:t>
      </w:r>
      <m:oMath>
        <m:sSub>
          <m:e>
            <m:r>
              <m:t>A</m:t>
            </m:r>
          </m:e>
          <m:sub>
            <m:r>
              <m:t>T</m:t>
            </m:r>
          </m:sub>
        </m:sSub>
        <m:r>
          <m:t>(</m:t>
        </m:r>
        <m:r>
          <m:t>y</m:t>
        </m:r>
        <m:r>
          <m:t>)</m:t>
        </m:r>
      </m:oMath>
      <w:r>
        <w:rPr>
          <w:rFonts w:ascii="Times New Roman" w:hAnsi="Times New Roman" w:eastAsia="方正仿宋_GBK"/>
          <w:b w:val="0"/>
          <w:sz w:val="24"/>
        </w:rPr>
        <w:t xml:space="preserve">、</w:t>
      </w:r>
      <m:oMath>
        <m:sSub>
          <m:e>
            <m:r>
              <m:t>A</m:t>
            </m:r>
          </m:e>
          <m:sub>
            <m:r>
              <m:t>B</m:t>
            </m:r>
          </m:sub>
        </m:sSub>
        <m:r>
          <m:t>(</m:t>
        </m:r>
        <m:r>
          <m:t>y</m:t>
        </m:r>
        <m:r>
          <m:t>)</m:t>
        </m:r>
      </m:oMath>
      <w:r>
        <w:rPr>
          <w:rFonts w:ascii="Times New Roman" w:hAnsi="Times New Roman" w:eastAsia="方正仿宋_GBK"/>
          <w:b w:val="0"/>
          <w:sz w:val="24"/>
        </w:rPr>
        <w:t xml:space="preserve">、</w:t>
      </w:r>
      <m:oMath>
        <m:sSub>
          <m:e>
            <m:r>
              <m:t>A</m:t>
            </m:r>
          </m:e>
          <m:sub>
            <m:r>
              <m:t>L</m:t>
            </m:r>
          </m:sub>
        </m:sSub>
        <m:r>
          <m:t>(</m:t>
        </m:r>
        <m:r>
          <m:t>y</m:t>
        </m:r>
        <m:r>
          <m:t>)</m:t>
        </m:r>
      </m:oMath>
      <w:r>
        <w:rPr>
          <w:rFonts w:ascii="Times New Roman" w:hAnsi="Times New Roman" w:eastAsia="方正仿宋_GBK"/>
          <w:b w:val="0"/>
          <w:sz w:val="24"/>
        </w:rPr>
        <w:t xml:space="preserve">分别为主变、储能和线路的现金流现值因子，按下一节计算。矩阵以两个价格倍数作为敏感性输入，费用目标由全寿命现金流决定；初始比例用于列示参数。</w:t>
      </w:r>
    </w:p>
    <w:p>
      <w:pPr>
        <w:pStyle w:val="5"/>
        <w:keepNext/>
        <w:numPr>
          <w:numId w:val="0"/>
        </w:numPr>
        <w:spacing w:line="360" w:lineRule="auto" w:before="160" w:after="120"/>
        <w:ind w:firstLine="0"/>
      </w:pPr>
      <w:bookmarkStart w:id="156" w:name="参数范围与控制方式"/>
      <w:r>
        <w:rPr>
          <w:rFonts w:ascii="Times New Roman" w:hAnsi="Times New Roman" w:eastAsia="方正仿宋_GBK"/>
          <w:b/>
          <w:sz w:val="26"/>
        </w:rPr>
        <w:t xml:space="preserve">4.5.4 参数范围与控制方式</w:t>
      </w:r>
      <w:bookmarkEnd w:id="156"/>
    </w:p>
    <w:p>
      <w:pPr>
        <w:pStyle w:val="FirstParagraph"/>
        <w:widowControl/>
        <w:spacing w:line="300" w:lineRule="auto" w:before="0" w:after="0"/>
        <w:ind w:firstLine="480"/>
        <w:jc w:val="both"/>
      </w:pPr>
      <w:r>
        <w:rPr>
          <w:rFonts w:ascii="Times New Roman" w:hAnsi="Times New Roman" w:eastAsia="方正仿宋_GBK"/>
          <w:b w:val="0"/>
          <w:sz w:val="24"/>
        </w:rPr>
        <w:t xml:space="preserve">成本敏感性改变主变与线路、主变与储能两个比例。主变价格保持基准，线路采用0.75～1.25倍，储能采用0.50～1.25倍。通用外推取三档线路与三档储能价格的九组交叉组合，与装机渗透率、年负荷平均增长率和峰段持续时间共同形成计算组合。</w:t>
      </w:r>
    </w:p>
    <w:p>
      <w:pPr>
        <w:pStyle w:val="2"/>
        <w:widowControl/>
        <w:spacing w:line="300" w:lineRule="auto" w:before="0" w:after="0"/>
        <w:ind w:firstLine="480"/>
        <w:jc w:val="both"/>
      </w:pPr>
      <w:r>
        <w:rPr>
          <w:rFonts w:ascii="Times New Roman" w:hAnsi="Times New Roman" w:eastAsia="方正仿宋_GBK"/>
          <w:b w:val="0"/>
          <w:sz w:val="24"/>
        </w:rPr>
        <w:t xml:space="preserve">价格范围用于检验相对费用变化对配置的影响。新增线路提高站级转供能力，线路价格变化据此参与主变、储能和联络的费用比较。</w:t>
      </w:r>
    </w:p>
    <w:p>
      <w:bookmarkStart w:id="1431" w:name="h431"/>
      <w:pPr>
        <w:pStyle w:val="4"/>
        <w:keepNext/>
        <w:numPr>
          <w:numId w:val="0"/>
        </w:numPr>
        <w:spacing w:line="360" w:lineRule="auto" w:before="160" w:after="120"/>
        <w:ind w:firstLine="0"/>
      </w:pPr>
      <w:bookmarkStart w:id="157" w:name="现金流现值计算"/>
      <w:r>
        <w:rPr>
          <w:rFonts w:ascii="Times New Roman" w:hAnsi="Times New Roman" w:eastAsia="方正仿宋_GBK"/>
          <w:b/>
          <w:sz w:val="32"/>
        </w:rPr>
        <w:t xml:space="preserve">4.6 现金流现值计算</w:t>
      </w:r>
      <w:bookmarkEnd w:id="157"/>
      <w:bookmarkEnd w:id="1431"/>
    </w:p>
    <w:p>
      <w:pPr>
        <w:pStyle w:val="5"/>
        <w:keepNext/>
        <w:numPr>
          <w:numId w:val="0"/>
        </w:numPr>
        <w:spacing w:line="360" w:lineRule="auto" w:before="160" w:after="120"/>
        <w:ind w:firstLine="0"/>
      </w:pPr>
      <w:bookmarkStart w:id="158" w:name="单项工程现值因子"/>
      <w:r>
        <w:rPr>
          <w:rFonts w:ascii="Times New Roman" w:hAnsi="Times New Roman" w:eastAsia="方正仿宋_GBK"/>
          <w:b/>
          <w:sz w:val="26"/>
        </w:rPr>
        <w:t xml:space="preserve">4.6.1 单项工程现值因子</w:t>
      </w:r>
      <w:bookmarkEnd w:id="158"/>
    </w:p>
    <w:p>
      <w:pPr>
        <w:pStyle w:val="FirstParagraph"/>
        <w:widowControl/>
        <w:spacing w:line="300" w:lineRule="auto" w:before="0" w:after="0"/>
        <w:ind w:firstLine="480"/>
        <w:jc w:val="both"/>
      </w:pPr>
      <w:r>
        <w:rPr>
          <w:rFonts w:ascii="Times New Roman" w:hAnsi="Times New Roman" w:eastAsia="方正仿宋_GBK"/>
          <w:b w:val="0"/>
          <w:sz w:val="24"/>
        </w:rPr>
        <w:t xml:space="preserve">设工程于</w:t>
      </w:r>
      <m:oMath>
        <m:r>
          <m:t>y</m:t>
        </m:r>
      </m:oMath>
      <w:r>
        <w:rPr>
          <w:rFonts w:ascii="Times New Roman" w:hAnsi="Times New Roman" w:eastAsia="方正仿宋_GBK"/>
          <w:b w:val="0"/>
          <w:sz w:val="24"/>
        </w:rPr>
        <w:t xml:space="preserve">年投运，初始投资</w:t>
      </w:r>
      <m:oMath>
        <m:r>
          <m:t>I</m:t>
        </m:r>
      </m:oMath>
      <w:r>
        <w:rPr>
          <w:rFonts w:ascii="Times New Roman" w:hAnsi="Times New Roman" w:eastAsia="方正仿宋_GBK"/>
          <w:b w:val="0"/>
          <w:sz w:val="24"/>
        </w:rPr>
        <w:t xml:space="preserve">，寿命</w:t>
      </w:r>
      <m:oMath>
        <m:r>
          <m:t>L</m:t>
        </m:r>
      </m:oMath>
      <w:r>
        <w:rPr>
          <w:rFonts w:ascii="Times New Roman" w:hAnsi="Times New Roman" w:eastAsia="方正仿宋_GBK"/>
          <w:b w:val="0"/>
          <w:sz w:val="24"/>
        </w:rPr>
        <w:t xml:space="preserve">，固定运维率</w:t>
      </w:r>
      <m:oMath>
        <m:r>
          <m:t>q</m:t>
        </m:r>
      </m:oMath>
      <w:r>
        <w:rPr>
          <w:rFonts w:ascii="Times New Roman" w:hAnsi="Times New Roman" w:eastAsia="方正仿宋_GBK"/>
          <w:b w:val="0"/>
          <w:sz w:val="24"/>
        </w:rPr>
        <w:t xml:space="preserve">，评价截止年</w:t>
      </w:r>
      <m:oMath>
        <m:r>
          <m:t>T</m:t>
        </m:r>
      </m:oMath>
      <w:r>
        <w:rPr>
          <w:rFonts w:ascii="Times New Roman" w:hAnsi="Times New Roman" w:eastAsia="方正仿宋_GBK"/>
          <w:b w:val="0"/>
          <w:sz w:val="24"/>
        </w:rPr>
        <w:t xml:space="preserve">=2041，基准年2021，折现率</w:t>
      </w:r>
      <m:oMath>
        <m:r>
          <m:t>r</m:t>
        </m:r>
      </m:oMath>
      <w:r>
        <w:rPr>
          <w:rFonts w:ascii="Times New Roman" w:hAnsi="Times New Roman" w:eastAsia="方正仿宋_GBK"/>
          <w:b w:val="0"/>
          <w:sz w:val="24"/>
        </w:rPr>
        <w:t xml:space="preserve">=6%。单项工程现值由投运投资、评价期内更新和投运次年起固定运维构成[10][11][12]。</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r>
                        <m:t>C</m:t>
                      </m:r>
                      <m:r>
                        <m:t>(</m:t>
                      </m:r>
                      <m:r>
                        <m:t>I</m:t>
                      </m:r>
                      <m:r>
                        <m:t>,</m:t>
                      </m:r>
                      <m:r>
                        <m:t>y</m:t>
                      </m:r>
                      <m:r>
                        <m:t>,</m:t>
                      </m:r>
                      <m:r>
                        <m:t>L</m:t>
                      </m:r>
                      <m:r>
                        <m:t>,</m:t>
                      </m:r>
                      <m:r>
                        <m:t>q</m:t>
                      </m:r>
                      <m:r>
                        <m:t>)</m:t>
                      </m:r>
                      <m:r>
                        <m:t>=</m:t>
                      </m:r>
                      <m:r>
                        <m:t>​</m:t>
                      </m:r>
                    </m:e>
                    <m:e>
                      <m:f>
                        <m:fPr>
                          <m:type m:val="bar"/>
                        </m:fPr>
                        <m:num>
                          <m:r>
                            <m:t>I</m:t>
                          </m:r>
                        </m:num>
                        <m:den>
                          <m:r>
                            <m:t>(</m:t>
                          </m:r>
                          <m:r>
                            <m:t>1</m:t>
                          </m:r>
                          <m:r>
                            <m:t>+</m:t>
                          </m:r>
                          <m:r>
                            <m:t>r</m:t>
                          </m:r>
                          <m:sSup>
                            <m:e>
                              <m:r>
                                <m:t>)</m:t>
                              </m:r>
                            </m:e>
                            <m:sup>
                              <m:r>
                                <m:t>y</m:t>
                              </m:r>
                              <m:r>
                                <m:t>−</m:t>
                              </m:r>
                              <m:r>
                                <m:t>2021</m:t>
                              </m:r>
                            </m:sup>
                          </m:sSup>
                        </m:den>
                      </m:f>
                      <m:r>
                        <m:t>+</m:t>
                      </m:r>
                      <m:nary>
                        <m:naryPr>
                          <m:chr m:val="∑"/>
                          <m:limLoc m:val="undOvr"/>
                          <m:subHide m:val="0"/>
                          <m:supHide m:val="1"/>
                        </m:naryPr>
                        <m:sub>
                          <m:r>
                            <m:t>k</m:t>
                          </m:r>
                          <m:r>
                            <m:t>≥</m:t>
                          </m:r>
                          <m:r>
                            <m:t>1</m:t>
                          </m:r>
                          <m:r>
                            <m:t>,</m:t>
                          </m:r>
                          <m:r>
                            <m:t> </m:t>
                          </m:r>
                          <m:r>
                            <m:t>y</m:t>
                          </m:r>
                          <m:r>
                            <m:t>+</m:t>
                          </m:r>
                          <m:r>
                            <m:t>k</m:t>
                          </m:r>
                          <m:r>
                            <m:t>L</m:t>
                          </m:r>
                          <m:r>
                            <m:t>&lt;</m:t>
                          </m:r>
                          <m:r>
                            <m:t>T</m:t>
                          </m:r>
                        </m:sub>
                        <m:sup>
                          <m:r>
                            <m:t>​</m:t>
                          </m:r>
                        </m:sup>
                        <m:e>
                          <m:f>
                            <m:fPr>
                              <m:type m:val="bar"/>
                            </m:fPr>
                            <m:num>
                              <m:r>
                                <m:t>I</m:t>
                              </m:r>
                            </m:num>
                            <m:den>
                              <m:r>
                                <m:t>(</m:t>
                              </m:r>
                              <m:r>
                                <m:t>1</m:t>
                              </m:r>
                              <m:r>
                                <m:t>+</m:t>
                              </m:r>
                              <m:r>
                                <m:t>r</m:t>
                              </m:r>
                              <m:sSup>
                                <m:e>
                                  <m:r>
                                    <m:t>)</m:t>
                                  </m:r>
                                </m:e>
                                <m:sup>
                                  <m:r>
                                    <m:t>y</m:t>
                                  </m:r>
                                  <m:r>
                                    <m:t>+</m:t>
                                  </m:r>
                                  <m:r>
                                    <m:t>k</m:t>
                                  </m:r>
                                  <m:r>
                                    <m:t>L</m:t>
                                  </m:r>
                                  <m:r>
                                    <m:t>−</m:t>
                                  </m:r>
                                  <m:r>
                                    <m:t>2021</m:t>
                                  </m:r>
                                </m:sup>
                              </m:sSup>
                            </m:den>
                          </m:f>
                        </m:e>
                      </m:nary>
                    </m:e>
                  </m:mr>
                  <m:mr>
                    <m:e/>
                    <m:e>
                      <m:r>
                        <m:t>+</m:t>
                      </m:r>
                      <m:nary>
                        <m:naryPr>
                          <m:chr m:val="∑"/>
                          <m:limLoc m:val="undOvr"/>
                          <m:subHide m:val="0"/>
                          <m:supHide m:val="0"/>
                        </m:naryPr>
                        <m:sub>
                          <m:r>
                            <m:t>t</m:t>
                          </m:r>
                          <m:r>
                            <m:t>=</m:t>
                          </m:r>
                          <m:r>
                            <m:t>y</m:t>
                          </m:r>
                          <m:r>
                            <m:t>+</m:t>
                          </m:r>
                          <m:r>
                            <m:t>1</m:t>
                          </m:r>
                        </m:sub>
                        <m:sup>
                          <m:r>
                            <m:t>T</m:t>
                          </m:r>
                        </m:sup>
                        <m:e>
                          <m:f>
                            <m:fPr>
                              <m:type m:val="bar"/>
                            </m:fPr>
                            <m:num>
                              <m:r>
                                <m:t>q</m:t>
                              </m:r>
                              <m:r>
                                <m:t>I</m:t>
                              </m:r>
                            </m:num>
                            <m:den>
                              <m:r>
                                <m:t>(</m:t>
                              </m:r>
                              <m:r>
                                <m:t>1</m:t>
                              </m:r>
                              <m:r>
                                <m:t>+</m:t>
                              </m:r>
                              <m:r>
                                <m:t>r</m:t>
                              </m:r>
                              <m:sSup>
                                <m:e>
                                  <m:r>
                                    <m:t>)</m:t>
                                  </m:r>
                                </m:e>
                                <m:sup>
                                  <m:r>
                                    <m:t>t</m:t>
                                  </m:r>
                                  <m:r>
                                    <m:t>−</m:t>
                                  </m:r>
                                  <m:r>
                                    <m:t>2021</m:t>
                                  </m:r>
                                </m:sup>
                              </m:sSup>
                            </m:den>
                          </m:f>
                        </m:e>
                      </m:nary>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（4-10）</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r>
          <m:t>C</m:t>
        </m:r>
        <m:r>
          <m:t>(</m:t>
        </m:r>
        <m:r>
          <m:t>I</m:t>
        </m:r>
        <m:r>
          <m:t>,</m:t>
        </m:r>
        <m:r>
          <m:t>y</m:t>
        </m:r>
        <m:r>
          <m:t>,</m:t>
        </m:r>
        <m:r>
          <m:t>L</m:t>
        </m:r>
        <m:r>
          <m:t>,</m:t>
        </m:r>
        <m:r>
          <m:t>q</m:t>
        </m:r>
        <m:r>
          <m:t>)</m:t>
        </m:r>
      </m:oMath>
      <w:r>
        <w:rPr>
          <w:rFonts w:ascii="Times New Roman" w:hAnsi="Times New Roman" w:eastAsia="方正仿宋_GBK"/>
          <w:b w:val="0"/>
          <w:sz w:val="24"/>
        </w:rPr>
        <w:t xml:space="preserve">为单项工程费用现值，单位万元；</w:t>
      </w:r>
      <m:oMath>
        <m:r>
          <m:t>I</m:t>
        </m:r>
      </m:oMath>
      <w:r>
        <w:rPr>
          <w:rFonts w:ascii="Times New Roman" w:hAnsi="Times New Roman" w:eastAsia="方正仿宋_GBK"/>
          <w:b w:val="0"/>
          <w:sz w:val="24"/>
        </w:rPr>
        <w:t xml:space="preserve">为初始投资，单位万元；</w:t>
      </w:r>
      <m:oMath>
        <m:r>
          <m:t>y</m:t>
        </m:r>
      </m:oMath>
      <w:r>
        <w:rPr>
          <w:rFonts w:ascii="Times New Roman" w:hAnsi="Times New Roman" w:eastAsia="方正仿宋_GBK"/>
          <w:b w:val="0"/>
          <w:sz w:val="24"/>
        </w:rPr>
        <w:t xml:space="preserve">为投运年份，</w:t>
      </w:r>
      <m:oMath>
        <m:r>
          <m:t>L</m:t>
        </m:r>
      </m:oMath>
      <w:r>
        <w:rPr>
          <w:rFonts w:ascii="Times New Roman" w:hAnsi="Times New Roman" w:eastAsia="方正仿宋_GBK"/>
          <w:b w:val="0"/>
          <w:sz w:val="24"/>
        </w:rPr>
        <w:t xml:space="preserve">为寿命，单位年；</w:t>
      </w:r>
      <m:oMath>
        <m:r>
          <m:t>q</m:t>
        </m:r>
      </m:oMath>
      <w:r>
        <w:rPr>
          <w:rFonts w:ascii="Times New Roman" w:hAnsi="Times New Roman" w:eastAsia="方正仿宋_GBK"/>
          <w:b w:val="0"/>
          <w:sz w:val="24"/>
        </w:rPr>
        <w:t xml:space="preserve">为年度固定运维占初始投资的比例，</w:t>
      </w:r>
      <m:oMath>
        <m:r>
          <m:t>r</m:t>
        </m:r>
      </m:oMath>
      <w:r>
        <w:rPr>
          <w:rFonts w:ascii="Times New Roman" w:hAnsi="Times New Roman" w:eastAsia="方正仿宋_GBK"/>
          <w:b w:val="0"/>
          <w:sz w:val="24"/>
        </w:rPr>
        <w:t xml:space="preserve">为折现率；</w:t>
      </w:r>
      <m:oMath>
        <m:r>
          <m:t>k</m:t>
        </m:r>
      </m:oMath>
      <w:r>
        <w:rPr>
          <w:rFonts w:ascii="Times New Roman" w:hAnsi="Times New Roman" w:eastAsia="方正仿宋_GBK"/>
          <w:b w:val="0"/>
          <w:sz w:val="24"/>
        </w:rPr>
        <w:t xml:space="preserve">为更新次数序号，</w:t>
      </w:r>
      <m:oMath>
        <m:r>
          <m:t>t</m:t>
        </m:r>
      </m:oMath>
      <w:r>
        <w:rPr>
          <w:rFonts w:ascii="Times New Roman" w:hAnsi="Times New Roman" w:eastAsia="方正仿宋_GBK"/>
          <w:b w:val="0"/>
          <w:sz w:val="24"/>
        </w:rPr>
        <w:t xml:space="preserve">为运维年份，</w:t>
      </w:r>
      <m:oMath>
        <m:r>
          <m:t>T</m:t>
        </m:r>
      </m:oMath>
      <w:r>
        <w:rPr>
          <w:rFonts w:ascii="Times New Roman" w:hAnsi="Times New Roman" w:eastAsia="方正仿宋_GBK"/>
          <w:b w:val="0"/>
          <w:sz w:val="24"/>
        </w:rPr>
        <w:t xml:space="preserve">为评价截止年。</w:t>
      </w:r>
    </w:p>
    <w:p>
      <w:pPr>
        <w:pStyle w:val="2"/>
        <w:widowControl/>
        <w:spacing w:line="300" w:lineRule="auto" w:before="0" w:after="0"/>
        <w:ind w:firstLine="480"/>
        <w:jc w:val="both"/>
      </w:pPr>
      <w:r>
        <w:rPr>
          <w:rFonts w:ascii="Times New Roman" w:hAnsi="Times New Roman" w:eastAsia="方正仿宋_GBK"/>
          <w:b w:val="0"/>
          <w:sz w:val="24"/>
        </w:rPr>
        <w:t xml:space="preserve">更新发生在</w:t>
      </w:r>
      <m:oMath>
        <m:r>
          <m:t>y</m:t>
        </m:r>
        <m:r>
          <m:t>+</m:t>
        </m:r>
        <m:r>
          <m:t>k</m:t>
        </m:r>
        <m:r>
          <m:t>L</m:t>
        </m:r>
      </m:oMath>
      <w:r>
        <w:rPr>
          <w:rFonts w:ascii="Times New Roman" w:hAnsi="Times New Roman" w:eastAsia="方正仿宋_GBK"/>
          <w:b w:val="0"/>
          <w:sz w:val="24"/>
        </w:rPr>
        <w:t xml:space="preserve">严格小于2041时，截止年达到寿命不另购一套设备。固定运维一直计至2041年。</w:t>
      </w:r>
    </w:p>
    <w:p>
      <w:pPr>
        <w:pStyle w:val="2"/>
        <w:widowControl/>
        <w:spacing w:line="300" w:lineRule="auto" w:before="0" w:after="0"/>
        <w:ind w:firstLine="480"/>
        <w:jc w:val="both"/>
      </w:pPr>
      <w:r>
        <w:rPr>
          <w:rFonts w:ascii="Times New Roman" w:hAnsi="Times New Roman" w:eastAsia="方正仿宋_GBK"/>
          <w:b w:val="0"/>
          <w:sz w:val="24"/>
        </w:rPr>
        <w:t xml:space="preserve">令</w:t>
      </w:r>
      <m:oMath>
        <m:r>
          <m:t>I</m:t>
        </m:r>
        <m:r>
          <m:t>=</m:t>
        </m:r>
        <m:r>
          <m:t>1</m:t>
        </m:r>
      </m:oMath>
      <w:r>
        <w:rPr>
          <w:rFonts w:ascii="Times New Roman" w:hAnsi="Times New Roman" w:eastAsia="方正仿宋_GBK"/>
          <w:b w:val="0"/>
          <w:sz w:val="24"/>
        </w:rPr>
        <w:t xml:space="preserve">，得到现值因子</w:t>
      </w:r>
      <m:oMath>
        <m:r>
          <m:t>A</m:t>
        </m:r>
        <m:r>
          <m:t>(</m:t>
        </m:r>
        <m:r>
          <m:t>y</m:t>
        </m:r>
        <m:r>
          <m:t>,</m:t>
        </m:r>
        <m:r>
          <m:t>L</m:t>
        </m:r>
        <m:r>
          <m:t>,</m:t>
        </m:r>
        <m:r>
          <m:t>q</m:t>
        </m:r>
        <m:r>
          <m:t>)</m:t>
        </m:r>
      </m:oMath>
      <w:r>
        <w:rPr>
          <w:rFonts w:ascii="Times New Roman" w:hAnsi="Times New Roman" w:eastAsia="方正仿宋_GBK"/>
          <w:b w:val="0"/>
          <w:sz w:val="24"/>
        </w:rPr>
        <w:t xml:space="preserve">。主变按40年、4.20%/年，线路按40年、2.20%/年，储能按25年、3.00%/年计算。2022—2025年投运的三类设备均未在2041年评价截止前达到设定寿命，因此本评价期内的更新支出为零。</w:t>
      </w:r>
    </w:p>
    <w:p>
      <w:pPr>
        <w:pStyle w:val="2"/>
        <w:keepNext/>
        <w:spacing w:line="300" w:lineRule="auto" w:before="120" w:after="80"/>
        <w:ind w:firstLine="0"/>
        <w:jc w:val="center"/>
      </w:pPr>
      <w:r>
        <w:rPr>
          <w:rFonts w:ascii="Times New Roman" w:hAnsi="Times New Roman" w:eastAsia="宋体"/>
          <w:b w:val="0"/>
          <w:sz w:val="21"/>
        </w:rPr>
        <w:t xml:space="preserve">表4-6 单位初始投资的2021年末现值因子（式4-10）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投运年</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线路</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1.39</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1.17</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1.26</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2023</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1.29</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1.18</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2024</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1.21</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1.03</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2025</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1.13</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0.97</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1.03</w:t>
            </w:r>
          </w:p>
        </w:tc>
      </w:tr>
    </w:tbl>
    <w:p>
      <w:pPr>
        <w:pStyle w:val="5"/>
        <w:keepNext/>
        <w:numPr>
          <w:numId w:val="0"/>
        </w:numPr>
        <w:spacing w:line="360" w:lineRule="auto" w:before="160" w:after="120"/>
        <w:ind w:firstLine="0"/>
      </w:pPr>
      <w:bookmarkStart w:id="159" w:name="年度投运对现值的影响"/>
      <w:r>
        <w:rPr>
          <w:rFonts w:ascii="Times New Roman" w:hAnsi="Times New Roman" w:eastAsia="方正仿宋_GBK"/>
          <w:b/>
          <w:sz w:val="26"/>
        </w:rPr>
        <w:t xml:space="preserve">4.6.2 年度投运对现值的影响</w:t>
      </w:r>
      <w:bookmarkEnd w:id="159"/>
    </w:p>
    <w:p>
      <w:pPr>
        <w:pStyle w:val="FirstParagraph"/>
        <w:widowControl/>
        <w:spacing w:line="300" w:lineRule="auto" w:before="0" w:after="0"/>
        <w:ind w:firstLine="480"/>
        <w:jc w:val="both"/>
      </w:pPr>
      <w:r>
        <w:rPr>
          <w:rFonts w:ascii="Times New Roman" w:hAnsi="Times New Roman" w:eastAsia="方正仿宋_GBK"/>
          <w:b w:val="0"/>
          <w:sz w:val="24"/>
        </w:rPr>
        <w:t xml:space="preserve">相同工程晚一年投运，初始投资折现减少，计入的运维年数也减少；更新年份相应后移。这使年度建设安排进入经济目标。建设时点在各年技术可行条件下选取。</w:t>
      </w:r>
    </w:p>
    <w:p>
      <w:pPr>
        <w:pStyle w:val="2"/>
        <w:widowControl/>
        <w:spacing w:line="300" w:lineRule="auto" w:before="0" w:after="0"/>
        <w:ind w:firstLine="480"/>
        <w:jc w:val="both"/>
      </w:pPr>
      <w:r>
        <w:rPr>
          <w:rFonts w:ascii="Times New Roman" w:hAnsi="Times New Roman" w:eastAsia="方正仿宋_GBK"/>
          <w:b w:val="0"/>
          <w:sz w:val="24"/>
        </w:rPr>
        <w:t xml:space="preserve">对于2022年已投运储能，后续新增柜按各自投运批次计算，不对全部2025年在役柜再次计首次投资。主变安装位置在不同年份先后升档，每一次更换分别计当年新购整台容量；采购事件合计用于费用，容量净增用于设备状态及容载比。</w:t>
      </w:r>
    </w:p>
    <w:p>
      <w:pPr>
        <w:pStyle w:val="5"/>
        <w:keepNext/>
        <w:numPr>
          <w:numId w:val="0"/>
        </w:numPr>
        <w:spacing w:line="360" w:lineRule="auto" w:before="160" w:after="120"/>
        <w:ind w:firstLine="0"/>
      </w:pPr>
      <w:bookmarkStart w:id="160" w:name="费用构成与结果复算"/>
      <w:r>
        <w:rPr>
          <w:rFonts w:ascii="Times New Roman" w:hAnsi="Times New Roman" w:eastAsia="方正仿宋_GBK"/>
          <w:b/>
          <w:sz w:val="26"/>
        </w:rPr>
        <w:t xml:space="preserve">4.6.3 费用构成与结果复算</w:t>
      </w:r>
      <w:bookmarkEnd w:id="160"/>
    </w:p>
    <w:p>
      <w:pPr>
        <w:pStyle w:val="FirstParagraph"/>
        <w:widowControl/>
        <w:spacing w:line="300" w:lineRule="auto" w:before="0" w:after="0"/>
        <w:ind w:firstLine="480"/>
        <w:jc w:val="both"/>
      </w:pPr>
      <w:r>
        <w:rPr>
          <w:rFonts w:ascii="Times New Roman" w:hAnsi="Times New Roman" w:eastAsia="方正仿宋_GBK"/>
          <w:b w:val="0"/>
          <w:sz w:val="24"/>
        </w:rPr>
        <w:t xml:space="preserve">全方案现值为全部工程事件现值之和。主变、储能和线路分别汇总后相加，应等于求解目标在所选布局中的实际费用。费用表分别列出初始建设投资和全寿命费用现值。</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r>
                      <m:t>C</m:t>
                    </m:r>
                  </m:e>
                  <m:sub>
                    <m:r>
                      <m:rPr>
                        <m:sty m:val="p"/>
                      </m:rPr>
                      <m:t>p</m:t>
                    </m:r>
                    <m:r>
                      <m:rPr>
                        <m:sty m:val="p"/>
                      </m:rPr>
                      <m:t>l</m:t>
                    </m:r>
                    <m:r>
                      <m:rPr>
                        <m:sty m:val="p"/>
                      </m:rPr>
                      <m:t>a</m:t>
                    </m:r>
                    <m:r>
                      <m:rPr>
                        <m:sty m:val="p"/>
                      </m:rPr>
                      <m:t>n</m:t>
                    </m:r>
                  </m:sub>
                </m:sSub>
                <m:r>
                  <m:t>=</m:t>
                </m:r>
                <m:nary>
                  <m:naryPr>
                    <m:chr m:val="∑"/>
                    <m:limLoc m:val="undOvr"/>
                    <m:subHide m:val="0"/>
                    <m:supHide m:val="1"/>
                  </m:naryPr>
                  <m:sub>
                    <m:r>
                      <m:t>e</m:t>
                    </m:r>
                    <m:r>
                      <m:t>∈</m:t>
                    </m:r>
                    <m:sSub>
                      <m:e>
                        <m:r>
                          <m:rPr>
                            <m:sty m:val="p"/>
                            <m:scr m:val="script"/>
                          </m:rPr>
                          <m:t>E</m:t>
                        </m:r>
                      </m:e>
                      <m:sub>
                        <m:r>
                          <m:t>T</m:t>
                        </m:r>
                      </m:sub>
                    </m:sSub>
                  </m:sub>
                  <m:sup>
                    <m:r>
                      <m:t>​</m:t>
                    </m:r>
                  </m:sup>
                  <m:e>
                    <m:sSub>
                      <m:e>
                        <m:r>
                          <m:t>C</m:t>
                        </m:r>
                      </m:e>
                      <m:sub>
                        <m:r>
                          <m:t>e</m:t>
                        </m:r>
                      </m:sub>
                    </m:sSub>
                  </m:e>
                </m:nary>
                <m:r>
                  <m:t>+</m:t>
                </m:r>
                <m:nary>
                  <m:naryPr>
                    <m:chr m:val="∑"/>
                    <m:limLoc m:val="undOvr"/>
                    <m:subHide m:val="0"/>
                    <m:supHide m:val="1"/>
                  </m:naryPr>
                  <m:sub>
                    <m:r>
                      <m:t>e</m:t>
                    </m:r>
                    <m:r>
                      <m:t>∈</m:t>
                    </m:r>
                    <m:sSub>
                      <m:e>
                        <m:r>
                          <m:rPr>
                            <m:sty m:val="p"/>
                            <m:scr m:val="script"/>
                          </m:rPr>
                          <m:t>E</m:t>
                        </m:r>
                      </m:e>
                      <m:sub>
                        <m:r>
                          <m:t>B</m:t>
                        </m:r>
                      </m:sub>
                    </m:sSub>
                  </m:sub>
                  <m:sup>
                    <m:r>
                      <m:t>​</m:t>
                    </m:r>
                  </m:sup>
                  <m:e>
                    <m:sSub>
                      <m:e>
                        <m:r>
                          <m:t>C</m:t>
                        </m:r>
                      </m:e>
                      <m:sub>
                        <m:r>
                          <m:t>e</m:t>
                        </m:r>
                      </m:sub>
                    </m:sSub>
                  </m:e>
                </m:nary>
                <m:r>
                  <m:t>+</m:t>
                </m:r>
                <m:nary>
                  <m:naryPr>
                    <m:chr m:val="∑"/>
                    <m:limLoc m:val="undOvr"/>
                    <m:subHide m:val="0"/>
                    <m:supHide m:val="1"/>
                  </m:naryPr>
                  <m:sub>
                    <m:r>
                      <m:t>e</m:t>
                    </m:r>
                    <m:r>
                      <m:t>∈</m:t>
                    </m:r>
                    <m:sSub>
                      <m:e>
                        <m:r>
                          <m:rPr>
                            <m:sty m:val="p"/>
                            <m:scr m:val="script"/>
                          </m:rPr>
                          <m:t>E</m:t>
                        </m:r>
                      </m:e>
                      <m:sub>
                        <m:r>
                          <m:t>L</m:t>
                        </m:r>
                      </m:sub>
                    </m:sSub>
                  </m:sub>
                  <m:sup>
                    <m:r>
                      <m:t>​</m:t>
                    </m:r>
                  </m:sup>
                  <m:e>
                    <m:sSub>
                      <m:e>
                        <m:r>
                          <m:t>C</m:t>
                        </m:r>
                      </m:e>
                      <m:sub>
                        <m:r>
                          <m:t>e</m:t>
                        </m:r>
                      </m:sub>
                    </m:sSub>
                  </m:e>
                </m:nary>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（4-11）</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
          <m:e>
            <m:r>
              <m:t>C</m:t>
            </m:r>
          </m:e>
          <m:sub>
            <m:r>
              <m:rPr>
                <m:sty m:val="p"/>
              </m:rPr>
              <m:t>p</m:t>
            </m:r>
            <m:r>
              <m:rPr>
                <m:sty m:val="p"/>
              </m:rPr>
              <m:t>l</m:t>
            </m:r>
            <m:r>
              <m:rPr>
                <m:sty m:val="p"/>
              </m:rPr>
              <m:t>a</m:t>
            </m:r>
            <m:r>
              <m:rPr>
                <m:sty m:val="p"/>
              </m:rPr>
              <m:t>n</m:t>
            </m:r>
          </m:sub>
        </m:sSub>
      </m:oMath>
      <w:r>
        <w:rPr>
          <w:rFonts w:ascii="Times New Roman" w:hAnsi="Times New Roman" w:eastAsia="方正仿宋_GBK"/>
          <w:b w:val="0"/>
          <w:sz w:val="24"/>
        </w:rPr>
        <w:t xml:space="preserve">为方案费用现值，</w:t>
      </w:r>
      <m:oMath>
        <m:sSub>
          <m:e>
            <m:r>
              <m:t>C</m:t>
            </m:r>
          </m:e>
          <m:sub>
            <m:r>
              <m:t>e</m:t>
            </m:r>
          </m:sub>
        </m:sSub>
      </m:oMath>
      <w:r>
        <w:rPr>
          <w:rFonts w:ascii="Times New Roman" w:hAnsi="Times New Roman" w:eastAsia="方正仿宋_GBK"/>
          <w:b w:val="0"/>
          <w:sz w:val="24"/>
        </w:rPr>
        <w:t xml:space="preserve">为工程事件</w:t>
      </w:r>
      <m:oMath>
        <m:r>
          <m:t>e</m:t>
        </m:r>
      </m:oMath>
      <w:r>
        <w:rPr>
          <w:rFonts w:ascii="Times New Roman" w:hAnsi="Times New Roman" w:eastAsia="方正仿宋_GBK"/>
          <w:b w:val="0"/>
          <w:sz w:val="24"/>
        </w:rPr>
        <w:t xml:space="preserve">的费用现值，单位万元；</w:t>
      </w:r>
      <m:oMath>
        <m:sSub>
          <m:e>
            <m:r>
              <m:rPr>
                <m:sty m:val="p"/>
                <m:scr m:val="script"/>
              </m:rPr>
              <m:t>E</m:t>
            </m:r>
          </m:e>
          <m:sub>
            <m:r>
              <m:t>T</m:t>
            </m:r>
          </m:sub>
        </m:sSub>
      </m:oMath>
      <w:r>
        <w:rPr>
          <w:rFonts w:ascii="Times New Roman" w:hAnsi="Times New Roman" w:eastAsia="方正仿宋_GBK"/>
          <w:b w:val="0"/>
          <w:sz w:val="24"/>
        </w:rPr>
        <w:t xml:space="preserve">、</w:t>
      </w:r>
      <m:oMath>
        <m:sSub>
          <m:e>
            <m:r>
              <m:rPr>
                <m:sty m:val="p"/>
                <m:scr m:val="script"/>
              </m:rPr>
              <m:t>E</m:t>
            </m:r>
          </m:e>
          <m:sub>
            <m:r>
              <m:t>B</m:t>
            </m:r>
          </m:sub>
        </m:sSub>
      </m:oMath>
      <w:r>
        <w:rPr>
          <w:rFonts w:ascii="Times New Roman" w:hAnsi="Times New Roman" w:eastAsia="方正仿宋_GBK"/>
          <w:b w:val="0"/>
          <w:sz w:val="24"/>
        </w:rPr>
        <w:t xml:space="preserve">、</w:t>
      </w:r>
      <m:oMath>
        <m:sSub>
          <m:e>
            <m:r>
              <m:rPr>
                <m:sty m:val="p"/>
                <m:scr m:val="script"/>
              </m:rPr>
              <m:t>E</m:t>
            </m:r>
          </m:e>
          <m:sub>
            <m:r>
              <m:t>L</m:t>
            </m:r>
          </m:sub>
        </m:sSub>
      </m:oMath>
      <w:r>
        <w:rPr>
          <w:rFonts w:ascii="Times New Roman" w:hAnsi="Times New Roman" w:eastAsia="方正仿宋_GBK"/>
          <w:b w:val="0"/>
          <w:sz w:val="24"/>
        </w:rPr>
        <w:t xml:space="preserve">分别为主变、储能和线路投运事件集合。年度采购量、柜数与新线条数来自方案状态变化，费用复算按工程类型和投运年建立现金流。费用以万元计量。</w:t>
      </w:r>
    </w:p>
    <w:p>
      <w:pPr>
        <w:pStyle w:val="5"/>
        <w:keepNext/>
        <w:numPr>
          <w:numId w:val="0"/>
        </w:numPr>
        <w:spacing w:line="360" w:lineRule="auto" w:before="160" w:after="120"/>
        <w:ind w:firstLine="0"/>
      </w:pPr>
      <w:bookmarkStart w:id="161" w:name="评价期边界与费用解释"/>
      <w:r>
        <w:rPr>
          <w:rFonts w:ascii="Times New Roman" w:hAnsi="Times New Roman" w:eastAsia="方正仿宋_GBK"/>
          <w:b/>
          <w:sz w:val="26"/>
        </w:rPr>
        <w:t xml:space="preserve">4.6.4 评价期边界与费用解释</w:t>
      </w:r>
      <w:bookmarkEnd w:id="161"/>
    </w:p>
    <w:p>
      <w:pPr>
        <w:pStyle w:val="FirstParagraph"/>
        <w:widowControl/>
        <w:spacing w:line="300" w:lineRule="auto" w:before="0" w:after="0"/>
        <w:ind w:firstLine="480"/>
        <w:jc w:val="both"/>
      </w:pPr>
      <w:r>
        <w:rPr>
          <w:rFonts w:ascii="Times New Roman" w:hAnsi="Times New Roman" w:eastAsia="方正仿宋_GBK"/>
          <w:b w:val="0"/>
          <w:sz w:val="24"/>
        </w:rPr>
        <w:t xml:space="preserve">折现率6.00%，主变和线路寿命40年、储能寿命25年及相应固定运维率按本章所列依据使用。更新采用与首次购置相同实价，价格情景对首次购置和更新使用相同倍数。评价截止于2041年，计算新增建设、固定运维和更新支出。工程应用可取得资产处理、充电购电与损耗资料后增加相应现金流，再统一比较方案。</w:t>
      </w:r>
    </w:p>
    <w:p>
      <w:pPr>
        <w:pStyle w:val="2"/>
        <w:widowControl/>
        <w:spacing w:line="300" w:lineRule="auto" w:before="0" w:after="0"/>
        <w:ind w:firstLine="480"/>
        <w:jc w:val="both"/>
      </w:pPr>
      <w:r>
        <w:rPr>
          <w:rFonts w:ascii="Times New Roman" w:hAnsi="Times New Roman" w:eastAsia="方正仿宋_GBK"/>
          <w:b w:val="0"/>
          <w:sz w:val="24"/>
        </w:rPr>
        <w:t xml:space="preserve">年度工程规模与投运时点共同确定费用。</w:t>
      </w:r>
    </w:p>
    <w:p>
      <w:bookmarkStart w:id="1447" w:name="h447"/>
      <w:pPr>
        <w:pStyle w:val="3"/>
        <w:keepNext/>
        <w:pageBreakBefore/>
        <w:numPr>
          <w:numId w:val="0"/>
        </w:numPr>
        <w:spacing w:line="360" w:lineRule="auto" w:before="0" w:after="120"/>
        <w:ind w:firstLine="0"/>
      </w:pPr>
      <w:bookmarkStart w:id="162" w:name="第五章-一片一策弹性容载比规划建议"/>
      <w:r>
        <w:rPr>
          <w:rFonts w:ascii="Times New Roman" w:hAnsi="Times New Roman" w:eastAsia="方正仿宋_GBK"/>
          <w:b/>
          <w:sz w:val="36"/>
        </w:rPr>
        <w:t xml:space="preserve">第五章</w:t>
      </w:r>
      <w:r>
        <w:rPr>
          <w:rFonts w:ascii="Times New Roman" w:hAnsi="Times New Roman" w:eastAsia="方正仿宋_GBK"/>
          <w:b/>
          <w:sz w:val="36"/>
        </w:rPr>
        <w:t xml:space="preserve"> </w:t>
      </w:r>
      <w:r>
        <w:rPr>
          <w:rFonts w:ascii="Times New Roman" w:hAnsi="Times New Roman" w:eastAsia="方正仿宋_GBK"/>
          <w:b/>
          <w:sz w:val="36"/>
        </w:rPr>
        <w:t xml:space="preserve">“</w:t>
      </w:r>
      <w:r>
        <w:rPr>
          <w:rFonts w:ascii="Times New Roman" w:hAnsi="Times New Roman" w:eastAsia="方正仿宋_GBK"/>
          <w:b/>
          <w:sz w:val="36"/>
        </w:rPr>
        <w:t xml:space="preserve">一片一策</w:t>
      </w:r>
      <w:r>
        <w:rPr>
          <w:rFonts w:ascii="Times New Roman" w:hAnsi="Times New Roman" w:eastAsia="方正仿宋_GBK"/>
          <w:b/>
          <w:sz w:val="36"/>
        </w:rPr>
        <w:t xml:space="preserve">”</w:t>
      </w:r>
      <w:r>
        <w:rPr>
          <w:rFonts w:ascii="Times New Roman" w:hAnsi="Times New Roman" w:eastAsia="方正仿宋_GBK"/>
          <w:b/>
          <w:sz w:val="36"/>
        </w:rPr>
        <w:t xml:space="preserve">弹性容载比规划建议</w:t>
      </w:r>
      <w:bookmarkEnd w:id="162"/>
      <w:bookmarkEnd w:id="1447"/>
    </w:p>
    <w:p>
      <w:pPr>
        <w:pStyle w:val="FirstParagraph"/>
        <w:widowControl/>
        <w:spacing w:line="300" w:lineRule="auto" w:before="0" w:after="0"/>
        <w:ind w:firstLine="480"/>
        <w:jc w:val="both"/>
      </w:pPr>
      <w:r>
        <w:rPr>
          <w:rFonts w:ascii="Times New Roman" w:hAnsi="Times New Roman" w:eastAsia="方正仿宋_GBK"/>
          <w:b w:val="0"/>
          <w:sz w:val="24"/>
        </w:rPr>
        <w:t xml:space="preserve">第四章形成了主变增容、储能和10 kV联络工程的投资及全寿命费用系数。本章将这些系数与站级负荷、设备容量和转供能力结合，先说明三类方案在技术约束下的寻优方法，再分析邳州和市区的计算结果，最后通过参数外推建立通用容载比推荐矩阵。主变按整台设备选择，储能按整数柜配置，新建联络按独立项目计费；利用既有联络能力调整负荷归属，新增建设投资计为零。</w:t>
      </w:r>
    </w:p>
    <w:p>
      <w:bookmarkStart w:id="1449" w:name="h449"/>
      <w:pPr>
        <w:pStyle w:val="4"/>
        <w:keepNext/>
        <w:numPr>
          <w:numId w:val="0"/>
        </w:numPr>
        <w:spacing w:line="360" w:lineRule="auto" w:before="160" w:after="120"/>
        <w:ind w:firstLine="0"/>
      </w:pPr>
      <w:bookmarkStart w:id="163" w:name="寻优问题与共同起点"/>
      <w:r>
        <w:rPr>
          <w:rFonts w:ascii="Times New Roman" w:hAnsi="Times New Roman" w:eastAsia="方正仿宋_GBK"/>
          <w:b/>
          <w:sz w:val="32"/>
        </w:rPr>
        <w:t xml:space="preserve">5.1 寻优问题与共同起点</w:t>
      </w:r>
      <w:bookmarkEnd w:id="163"/>
      <w:bookmarkEnd w:id="1449"/>
    </w:p>
    <w:p>
      <w:pPr>
        <w:pStyle w:val="5"/>
        <w:keepNext/>
        <w:numPr>
          <w:numId w:val="0"/>
        </w:numPr>
        <w:spacing w:line="360" w:lineRule="auto" w:before="160" w:after="120"/>
        <w:ind w:firstLine="0"/>
      </w:pPr>
      <w:bookmarkStart w:id="164" w:name="容载比2.0的仿真起点"/>
      <w:r>
        <w:rPr>
          <w:rFonts w:ascii="Times New Roman" w:hAnsi="Times New Roman" w:eastAsia="方正仿宋_GBK"/>
          <w:b/>
          <w:sz w:val="26"/>
        </w:rPr>
        <w:t xml:space="preserve">5.1.1 容载比2.0的仿真起点</w:t>
      </w:r>
      <w:bookmarkEnd w:id="164"/>
    </w:p>
    <w:p>
      <w:pPr>
        <w:pStyle w:val="FirstParagraph"/>
        <w:widowControl/>
        <w:spacing w:line="300" w:lineRule="auto" w:before="0" w:after="0"/>
        <w:ind w:firstLine="480"/>
        <w:jc w:val="both"/>
      </w:pPr>
      <w:r>
        <w:rPr>
          <w:rFonts w:ascii="Times New Roman" w:hAnsi="Times New Roman" w:eastAsia="方正仿宋_GBK"/>
          <w:b w:val="0"/>
          <w:sz w:val="24"/>
        </w:rPr>
        <w:t xml:space="preserve">刚性、弹性方案在同一区县共用初始设备、负荷和工程价格。为比较后续措施的作用，将基期容载比统一设为2.00，基期年网供最大负荷取离散主变总容量的二分之一。该起点用于规划仿真，现状容量与历史负荷仍按第三章列示。</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r>
                      <m:t>P</m:t>
                    </m:r>
                  </m:e>
                  <m:sub>
                    <m:r>
                      <m:t>c</m:t>
                    </m:r>
                    <m:r>
                      <m:t>,</m:t>
                    </m:r>
                    <m:r>
                      <m:t>0</m:t>
                    </m:r>
                  </m:sub>
                </m:sSub>
                <m:r>
                  <m:t>=</m:t>
                </m:r>
                <m:f>
                  <m:fPr>
                    <m:type m:val="bar"/>
                  </m:fPr>
                  <m:num>
                    <m:sSub>
                      <m:e>
                        <m:r>
                          <m:t>S</m:t>
                        </m:r>
                      </m:e>
                      <m:sub>
                        <m:r>
                          <m:t>c</m:t>
                        </m:r>
                        <m:r>
                          <m:t>,</m:t>
                        </m:r>
                        <m:r>
                          <m:t>0</m:t>
                        </m:r>
                      </m:sub>
                    </m:sSub>
                  </m:num>
                  <m:den>
                    <m:r>
                      <m:t>2</m:t>
                    </m:r>
                  </m:den>
                </m:f>
                <m:r>
                  <m:t>,</m:t>
                </m:r>
                <m:r>
                  <m:t>  </m:t>
                </m:r>
                <m:sSub>
                  <m:e>
                    <m:r>
                      <m:t>P</m:t>
                    </m:r>
                  </m:e>
                  <m:sub>
                    <m:r>
                      <m:t>c</m:t>
                    </m:r>
                    <m:r>
                      <m:t>,</m:t>
                    </m:r>
                    <m:r>
                      <m:t>y</m:t>
                    </m:r>
                  </m:sub>
                </m:sSub>
                <m:r>
                  <m:t>=</m:t>
                </m:r>
                <m:sSub>
                  <m:e>
                    <m:r>
                      <m:t>P</m:t>
                    </m:r>
                  </m:e>
                  <m:sub>
                    <m:r>
                      <m:t>c</m:t>
                    </m:r>
                    <m:r>
                      <m:t>,</m:t>
                    </m:r>
                    <m:r>
                      <m:t>0</m:t>
                    </m:r>
                  </m:sub>
                </m:sSub>
                <m:r>
                  <m:t>(</m:t>
                </m:r>
                <m:r>
                  <m:t>1</m:t>
                </m:r>
                <m:r>
                  <m:t>+</m:t>
                </m:r>
                <m:sSub>
                  <m:e>
                    <m:acc>
                      <m:accPr>
                        <m:chr m:val="‾"/>
                      </m:accPr>
                      <m:e>
                        <m:r>
                          <m:t>g</m:t>
                        </m:r>
                      </m:e>
                    </m:acc>
                  </m:e>
                  <m:sub>
                    <m:r>
                      <m:t>c</m:t>
                    </m:r>
                  </m:sub>
                </m:sSub>
                <m:sSup>
                  <m:e>
                    <m:r>
                      <m:t>)</m:t>
                    </m:r>
                  </m:e>
                  <m:sup>
                    <m:r>
                      <m:t>y</m:t>
                    </m:r>
                  </m:sup>
                </m:sSup>
                <m:r>
                  <m:t>,</m:t>
                </m:r>
                <m:r>
                  <m:t> </m:t>
                </m:r>
                <m:r>
                  <m:t>y</m:t>
                </m:r>
                <m:r>
                  <m:t>=</m:t>
                </m:r>
                <m:r>
                  <m:t>1</m:t>
                </m:r>
                <m:r>
                  <m:t>,</m:t>
                </m:r>
                <m:r>
                  <m:t>2</m:t>
                </m:r>
                <m:r>
                  <m:t>,</m:t>
                </m:r>
                <m:r>
                  <m:t>3</m:t>
                </m:r>
                <m:r>
                  <m:t>,</m:t>
                </m:r>
                <m:r>
                  <m:t>4</m:t>
                </m:r>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（5-1）</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r>
          <m:t>c</m:t>
        </m:r>
      </m:oMath>
      <w:r>
        <w:rPr>
          <w:rFonts w:ascii="Times New Roman" w:hAnsi="Times New Roman" w:eastAsia="方正仿宋_GBK"/>
          <w:b w:val="0"/>
          <w:sz w:val="24"/>
        </w:rPr>
        <w:t xml:space="preserve">为区县标识，</w:t>
      </w:r>
      <m:oMath>
        <m:sSub>
          <m:e>
            <m:r>
              <m:t>S</m:t>
            </m:r>
          </m:e>
          <m:sub>
            <m:r>
              <m:t>c</m:t>
            </m:r>
            <m:r>
              <m:t>,</m:t>
            </m:r>
            <m:r>
              <m:t>0</m:t>
            </m:r>
          </m:sub>
        </m:sSub>
      </m:oMath>
      <w:r>
        <w:rPr>
          <w:rFonts w:ascii="Times New Roman" w:hAnsi="Times New Roman" w:eastAsia="方正仿宋_GBK"/>
          <w:b w:val="0"/>
          <w:sz w:val="24"/>
        </w:rPr>
        <w:t xml:space="preserve">为基期公用主变总容量，单位MVA；</w:t>
      </w:r>
      <m:oMath>
        <m:sSub>
          <m:e>
            <m:r>
              <m:t>P</m:t>
            </m:r>
          </m:e>
          <m:sub>
            <m:r>
              <m:t>c</m:t>
            </m:r>
            <m:r>
              <m:t>,</m:t>
            </m:r>
            <m:r>
              <m:t>0</m:t>
            </m:r>
          </m:sub>
        </m:sSub>
      </m:oMath>
      <w:r>
        <w:rPr>
          <w:rFonts w:ascii="Times New Roman" w:hAnsi="Times New Roman" w:eastAsia="方正仿宋_GBK"/>
          <w:b w:val="0"/>
          <w:sz w:val="24"/>
        </w:rPr>
        <w:t xml:space="preserve">和</w:t>
      </w:r>
      <m:oMath>
        <m:sSub>
          <m:e>
            <m:r>
              <m:t>P</m:t>
            </m:r>
          </m:e>
          <m:sub>
            <m:r>
              <m:t>c</m:t>
            </m:r>
            <m:r>
              <m:t>,</m:t>
            </m:r>
            <m:r>
              <m:t>y</m:t>
            </m:r>
          </m:sub>
        </m:sSub>
      </m:oMath>
      <w:r>
        <w:rPr>
          <w:rFonts w:ascii="Times New Roman" w:hAnsi="Times New Roman" w:eastAsia="方正仿宋_GBK"/>
          <w:b w:val="0"/>
          <w:sz w:val="24"/>
        </w:rPr>
        <w:t xml:space="preserve">分别为基期及第</w:t>
      </w:r>
      <m:oMath>
        <m:r>
          <m:t>y</m:t>
        </m:r>
      </m:oMath>
      <w:r>
        <w:rPr>
          <w:rFonts w:ascii="Times New Roman" w:hAnsi="Times New Roman" w:eastAsia="方正仿宋_GBK"/>
          <w:b w:val="0"/>
          <w:sz w:val="24"/>
        </w:rPr>
        <w:t xml:space="preserve">年网供最大负荷，单位MW；</w:t>
      </w:r>
      <m:oMath>
        <m:sSub>
          <m:e>
            <m:acc>
              <m:accPr>
                <m:chr m:val="‾"/>
              </m:accPr>
              <m:e>
                <m:r>
                  <m:t>g</m:t>
                </m:r>
              </m:e>
            </m:acc>
          </m:e>
          <m:sub>
            <m:r>
              <m:t>c</m:t>
            </m:r>
          </m:sub>
        </m:sSub>
      </m:oMath>
      <w:r>
        <w:rPr>
          <w:rFonts w:ascii="Times New Roman" w:hAnsi="Times New Roman" w:eastAsia="方正仿宋_GBK"/>
          <w:b w:val="0"/>
          <w:sz w:val="24"/>
        </w:rPr>
        <w:t xml:space="preserve">为该区县年负荷平均增长率，按第三章所列递增权重方法估计。</w:t>
      </w:r>
      <m:oMath>
        <m:r>
          <m:t>y</m:t>
        </m:r>
      </m:oMath>
      <w:r>
        <w:rPr>
          <w:rFonts w:ascii="Times New Roman" w:hAnsi="Times New Roman" w:eastAsia="方正仿宋_GBK"/>
          <w:b w:val="0"/>
          <w:sz w:val="24"/>
        </w:rPr>
        <w:t xml:space="preserve">为仿真年序号。计算文件采用2022—2025年作为第1—4年的折现时点。</w:t>
      </w:r>
    </w:p>
    <w:p>
      <w:pPr>
        <w:pStyle w:val="2"/>
        <w:widowControl/>
        <w:spacing w:line="300" w:lineRule="auto" w:before="0" w:after="0"/>
        <w:ind w:firstLine="480"/>
        <w:jc w:val="both"/>
      </w:pPr>
      <w:r>
        <w:rPr>
          <w:rFonts w:ascii="Times New Roman" w:hAnsi="Times New Roman" w:eastAsia="方正仿宋_GBK"/>
          <w:b w:val="0"/>
          <w:sz w:val="24"/>
        </w:rPr>
        <w:t xml:space="preserve">站级最大正向、反向净负荷按2025年样本的空间分布标定到仿真年度规模。邳州保留样本供电区域类别，市区按A类规划。样本设备规格、供电区域类别和主变扩建预留位置进入候选集合，后续投运的主变、储能和联络项目持续在役。</w:t>
      </w:r>
    </w:p>
    <w:p>
      <w:pPr>
        <w:pStyle w:val="2"/>
        <w:keepNext/>
        <w:spacing w:line="300" w:lineRule="auto" w:before="120" w:after="80"/>
        <w:ind w:firstLine="0"/>
        <w:jc w:val="center"/>
      </w:pPr>
      <w:r>
        <w:rPr>
          <w:rFonts w:ascii="Times New Roman" w:hAnsi="Times New Roman" w:eastAsia="宋体"/>
          <w:b w:val="0"/>
          <w:sz w:val="21"/>
        </w:rPr>
        <w:t xml:space="preserve">表5-1 统一容载比2.00的仿真起点</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地区</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基期主变容量/MVA</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基期年网供最大负荷/MW</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容载比</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年负荷平均增长率</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初始转供率</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1463.50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731.75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8.07%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28.29%</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2462.00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1231.00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w:t>
            </w:r>
          </w:p>
        </w:tc>
      </w:tr>
    </w:tbl>
    <w:p>
      <w:pPr>
        <w:pStyle w:val="5"/>
        <w:keepNext/>
        <w:numPr>
          <w:numId w:val="0"/>
        </w:numPr>
        <w:spacing w:line="360" w:lineRule="auto" w:before="160" w:after="120"/>
        <w:ind w:firstLine="0"/>
      </w:pPr>
      <w:bookmarkStart w:id="165" w:name="刚性与弹性规划条件"/>
      <w:r>
        <w:rPr>
          <w:rFonts w:ascii="Times New Roman" w:hAnsi="Times New Roman" w:eastAsia="方正仿宋_GBK"/>
          <w:b/>
          <w:sz w:val="26"/>
        </w:rPr>
        <w:t xml:space="preserve">5.1.2 刚性与弹性规划条件</w:t>
      </w:r>
      <w:bookmarkEnd w:id="165"/>
    </w:p>
    <w:p>
      <w:pPr>
        <w:pStyle w:val="FirstParagraph"/>
        <w:widowControl/>
        <w:spacing w:line="300" w:lineRule="auto" w:before="0" w:after="0"/>
        <w:ind w:firstLine="480"/>
        <w:jc w:val="both"/>
      </w:pPr>
      <w:r>
        <w:rPr>
          <w:rFonts w:ascii="Times New Roman" w:hAnsi="Times New Roman" w:eastAsia="方正仿宋_GBK"/>
          <w:b w:val="0"/>
          <w:sz w:val="24"/>
        </w:rPr>
        <w:t xml:space="preserve">刚性方案各年容载比不超过2.00。弹性方案在满足相同技术约束下，允许容载比在大于2.00至2.60的研究范围内选择。两地区案例按市区同方案容载比低于邳州、同区县弹性容载比高于刚性的条件进行比较。</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sSub>
                        <m:e>
                          <m:r>
                            <m:t>R</m:t>
                          </m:r>
                        </m:e>
                        <m:sub>
                          <m:r>
                            <m:t>c</m:t>
                          </m:r>
                          <m:r>
                            <m:t>,</m:t>
                          </m:r>
                          <m:r>
                            <m:t>s</m:t>
                          </m:r>
                          <m:r>
                            <m:t>,</m:t>
                          </m:r>
                          <m:r>
                            <m:t>y</m:t>
                          </m:r>
                        </m:sub>
                      </m:sSub>
                    </m:e>
                    <m:e>
                      <m:r>
                        <m:t>=</m:t>
                      </m:r>
                      <m:f>
                        <m:fPr>
                          <m:type m:val="bar"/>
                        </m:fPr>
                        <m:num>
                          <m:sSub>
                            <m:e>
                              <m:r>
                                <m:t>S</m:t>
                              </m:r>
                            </m:e>
                            <m:sub>
                              <m:r>
                                <m:t>c</m:t>
                              </m:r>
                              <m:r>
                                <m:t>,</m:t>
                              </m:r>
                              <m:r>
                                <m:t>s</m:t>
                              </m:r>
                              <m:r>
                                <m:t>,</m:t>
                              </m:r>
                              <m:r>
                                <m:t>y</m:t>
                              </m:r>
                            </m:sub>
                          </m:sSub>
                        </m:num>
                        <m:den>
                          <m:sSub>
                            <m:e>
                              <m:r>
                                <m:t>P</m:t>
                              </m:r>
                            </m:e>
                            <m:sub>
                              <m:r>
                                <m:t>c</m:t>
                              </m:r>
                              <m:r>
                                <m:t>,</m:t>
                              </m:r>
                              <m:r>
                                <m:t>y</m:t>
                              </m:r>
                            </m:sub>
                          </m:sSub>
                        </m:den>
                      </m:f>
                    </m:e>
                  </m:mr>
                  <m:mr>
                    <m:e/>
                    <m:e>
                      <m:sSub>
                        <m:e>
                          <m:r>
                            <m:t>R</m:t>
                          </m:r>
                        </m:e>
                        <m:sub>
                          <m:r>
                            <m:t>c</m:t>
                          </m:r>
                          <m:r>
                            <m:t>,</m:t>
                          </m:r>
                          <m:r>
                            <m:rPr>
                              <m:sty m:val="p"/>
                            </m:rPr>
                            <m:t>r</m:t>
                          </m:r>
                          <m:r>
                            <m:rPr>
                              <m:sty m:val="p"/>
                            </m:rPr>
                            <m:t>i</m:t>
                          </m:r>
                          <m:r>
                            <m:rPr>
                              <m:sty m:val="p"/>
                            </m:rPr>
                            <m:t>g</m:t>
                          </m:r>
                          <m:r>
                            <m:rPr>
                              <m:sty m:val="p"/>
                            </m:rPr>
                            <m:t>i</m:t>
                          </m:r>
                          <m:r>
                            <m:rPr>
                              <m:sty m:val="p"/>
                            </m:rPr>
                            <m:t>d</m:t>
                          </m:r>
                          <m:r>
                            <m:t>,</m:t>
                          </m:r>
                          <m:r>
                            <m:t>y</m:t>
                          </m:r>
                        </m:sub>
                      </m:sSub>
                      <m:r>
                        <m:t>≤</m:t>
                      </m:r>
                      <m:r>
                        <m:t>2.00</m:t>
                      </m:r>
                    </m:e>
                  </m:mr>
                  <m:mr>
                    <m:e/>
                    <m:e>
                      <m:r>
                        <m:t>2.00</m:t>
                      </m:r>
                      <m:r>
                        <m:t>&lt;</m:t>
                      </m:r>
                      <m:sSub>
                        <m:e>
                          <m:r>
                            <m:t>R</m:t>
                          </m:r>
                        </m:e>
                        <m:sub>
                          <m:r>
                            <m:t>c</m:t>
                          </m:r>
                          <m:r>
                            <m:t>,</m:t>
                          </m:r>
                          <m:r>
                            <m:rPr>
                              <m:sty m:val="p"/>
                            </m:rPr>
                            <m:t>e</m:t>
                          </m:r>
                          <m:r>
                            <m:rPr>
                              <m:sty m:val="p"/>
                            </m:rPr>
                            <m:t>l</m:t>
                          </m:r>
                          <m:r>
                            <m:rPr>
                              <m:sty m:val="p"/>
                            </m:rPr>
                            <m:t>a</m:t>
                          </m:r>
                          <m:r>
                            <m:rPr>
                              <m:sty m:val="p"/>
                            </m:rPr>
                            <m:t>s</m:t>
                          </m:r>
                          <m:r>
                            <m:rPr>
                              <m:sty m:val="p"/>
                            </m:rPr>
                            <m:t>t</m:t>
                          </m:r>
                          <m:r>
                            <m:rPr>
                              <m:sty m:val="p"/>
                            </m:rPr>
                            <m:t>i</m:t>
                          </m:r>
                          <m:r>
                            <m:rPr>
                              <m:sty m:val="p"/>
                            </m:rPr>
                            <m:t>c</m:t>
                          </m:r>
                          <m:r>
                            <m:t>,</m:t>
                          </m:r>
                          <m:r>
                            <m:t>y</m:t>
                          </m:r>
                        </m:sub>
                      </m:sSub>
                      <m:r>
                        <m:t>≤</m:t>
                      </m:r>
                      <m:r>
                        <m:t>2.60</m:t>
                      </m:r>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（5-2）</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
          <m:e>
            <m:r>
              <m:t>R</m:t>
            </m:r>
          </m:e>
          <m:sub>
            <m:r>
              <m:t>c</m:t>
            </m:r>
            <m:r>
              <m:t>,</m:t>
            </m:r>
            <m:r>
              <m:t>s</m:t>
            </m:r>
            <m:r>
              <m:t>,</m:t>
            </m:r>
            <m:r>
              <m:t>y</m:t>
            </m:r>
          </m:sub>
        </m:sSub>
      </m:oMath>
      <w:r>
        <w:rPr>
          <w:rFonts w:ascii="Times New Roman" w:hAnsi="Times New Roman" w:eastAsia="方正仿宋_GBK"/>
          <w:b w:val="0"/>
          <w:sz w:val="24"/>
        </w:rPr>
        <w:t xml:space="preserve">为容载比，</w:t>
      </w:r>
      <m:oMath>
        <m:r>
          <m:t>s</m:t>
        </m:r>
      </m:oMath>
      <w:r>
        <w:rPr>
          <w:rFonts w:ascii="Times New Roman" w:hAnsi="Times New Roman" w:eastAsia="方正仿宋_GBK"/>
          <w:b w:val="0"/>
          <w:sz w:val="24"/>
        </w:rPr>
        <w:t xml:space="preserve">为刚性或弹性方案标识，</w:t>
      </w:r>
      <m:oMath>
        <m:sSub>
          <m:e>
            <m:r>
              <m:t>S</m:t>
            </m:r>
          </m:e>
          <m:sub>
            <m:r>
              <m:t>c</m:t>
            </m:r>
            <m:r>
              <m:t>,</m:t>
            </m:r>
            <m:r>
              <m:t>s</m:t>
            </m:r>
            <m:r>
              <m:t>,</m:t>
            </m:r>
            <m:r>
              <m:t>y</m:t>
            </m:r>
          </m:sub>
        </m:sSub>
      </m:oMath>
      <w:r>
        <w:rPr>
          <w:rFonts w:ascii="Times New Roman" w:hAnsi="Times New Roman" w:eastAsia="方正仿宋_GBK"/>
          <w:b w:val="0"/>
          <w:sz w:val="24"/>
        </w:rPr>
        <w:t xml:space="preserve">为该年公用主变总容量。主变容量计入分子，储能和联络能力用于局部容量校核。</w:t>
      </w:r>
      <m:oMath>
        <m:sSub>
          <m:e>
            <m:r>
              <m:t>P</m:t>
            </m:r>
          </m:e>
          <m:sub>
            <m:r>
              <m:t>c</m:t>
            </m:r>
            <m:r>
              <m:t>,</m:t>
            </m:r>
            <m:r>
              <m:t>y</m:t>
            </m:r>
          </m:sub>
        </m:sSub>
      </m:oMath>
      <w:r>
        <w:rPr>
          <w:rFonts w:ascii="Times New Roman" w:hAnsi="Times New Roman" w:eastAsia="方正仿宋_GBK"/>
          <w:b w:val="0"/>
          <w:sz w:val="24"/>
        </w:rPr>
        <w:t xml:space="preserve">在同一区县、同一年两种方案中保持一致。2.60为本研究设定的扩展比选上限，较2.00增加30.00%的容量储备，用于覆盖2.20、2.40和2.60等参考档位。该值不由规范条文或成本比直接推导。第5.6节另对2.40、2.60和2.80上限作条件比较，检查扩大搜索范围后费用和容量的变化。</w:t>
      </w:r>
    </w:p>
    <w:p>
      <w:pPr>
        <w:pStyle w:val="2"/>
        <w:widowControl/>
        <w:spacing w:line="300" w:lineRule="auto" w:before="0" w:after="0"/>
        <w:ind w:firstLine="480"/>
        <w:jc w:val="both"/>
      </w:pPr>
      <w:r>
        <w:rPr>
          <w:rFonts w:ascii="Times New Roman" w:hAnsi="Times New Roman" w:eastAsia="方正仿宋_GBK"/>
          <w:b w:val="0"/>
          <w:sz w:val="24"/>
        </w:rPr>
        <w:t xml:space="preserve">区县内转接保持负荷总量。储能参与站级峰段支撑时，区域容载比仍按预先确定的年网供最大负荷计算，保证两方案在同一负荷口径下比较。</w:t>
      </w:r>
    </w:p>
    <w:p>
      <w:pPr>
        <w:pStyle w:val="5"/>
        <w:keepNext/>
        <w:numPr>
          <w:numId w:val="0"/>
        </w:numPr>
        <w:spacing w:line="360" w:lineRule="auto" w:before="160" w:after="120"/>
        <w:ind w:firstLine="0"/>
      </w:pPr>
      <w:bookmarkStart w:id="166" w:name="指标参数的选取依据"/>
      <w:r>
        <w:rPr>
          <w:rFonts w:ascii="Times New Roman" w:hAnsi="Times New Roman" w:eastAsia="方正仿宋_GBK"/>
          <w:b/>
          <w:sz w:val="26"/>
        </w:rPr>
        <w:t xml:space="preserve">5.1.3 指标参数的选取依据</w:t>
      </w:r>
      <w:bookmarkEnd w:id="166"/>
    </w:p>
    <w:p>
      <w:pPr>
        <w:pStyle w:val="FirstParagraph"/>
        <w:widowControl/>
        <w:spacing w:line="300" w:lineRule="auto" w:before="0" w:after="0"/>
        <w:ind w:firstLine="480"/>
        <w:jc w:val="both"/>
      </w:pPr>
      <w:r>
        <w:rPr>
          <w:rFonts w:ascii="Times New Roman" w:hAnsi="Times New Roman" w:eastAsia="方正仿宋_GBK"/>
          <w:b w:val="0"/>
          <w:sz w:val="24"/>
        </w:rPr>
        <w:t xml:space="preserve">“</w:t>
      </w:r>
      <w:r>
        <w:rPr>
          <w:rFonts w:ascii="Times New Roman" w:hAnsi="Times New Roman" w:eastAsia="方正仿宋_GBK"/>
          <w:b w:val="0"/>
          <w:sz w:val="24"/>
        </w:rPr>
        <w:t xml:space="preserve">一片一策</w:t>
      </w:r>
      <w:r>
        <w:rPr>
          <w:rFonts w:ascii="Times New Roman" w:hAnsi="Times New Roman" w:eastAsia="方正仿宋_GBK"/>
          <w:b w:val="0"/>
          <w:sz w:val="24"/>
        </w:rPr>
        <w:t xml:space="preserve">”</w:t>
      </w:r>
      <w:r>
        <w:rPr>
          <w:rFonts w:ascii="Times New Roman" w:hAnsi="Times New Roman" w:eastAsia="方正仿宋_GBK"/>
          <w:b w:val="0"/>
          <w:sz w:val="24"/>
        </w:rPr>
        <w:t xml:space="preserve">规划需要同时描述片区负荷发展、分布式电源规模、峰段支撑需求和工程经济条件。容载比作为规划输出，以公用主变总容量和年网供最大负荷计算；源荷指标确定需要校核的运行场景，持续时间确定储能的功率与能量配置，成本比反映措施之间的经济替代关系。第三章第3.5.4节列出了候选指标、样本相关性和相关指标的合并处理。本节据此说明各入选参数与容量约束或工程费用的对应关系。</w:t>
      </w:r>
    </w:p>
    <w:p>
      <w:pPr>
        <w:pStyle w:val="2"/>
        <w:widowControl/>
        <w:spacing w:line="300" w:lineRule="auto" w:before="0" w:after="0"/>
        <w:ind w:firstLine="480"/>
        <w:jc w:val="both"/>
      </w:pPr>
      <w:r>
        <w:rPr>
          <w:rFonts w:ascii="Times New Roman" w:hAnsi="Times New Roman" w:eastAsia="方正仿宋_GBK"/>
          <w:b w:val="0"/>
          <w:sz w:val="24"/>
        </w:rPr>
        <w:t xml:space="preserve">分布式电源装机渗透率即源荷比，以同一供电范围内分布式电源装机容量除以用户最大负荷，采用《配电网规划设计技术导则（修订稿，2025年4月）》第3.1.18条和第6.5.4条的定义[7]。该指标反映电源与负荷的规模关系；第7.4.2.2条提出源荷比超过2.00时，应以反向净负荷极值校核主变容量[7]。邳州、市区分别约为1.63、0.32，外推据此取0.00～3.00，在1.00和2.00附近设置计算点，覆盖负荷主导、源荷规模接近及电源规模较大的情景。各情景再结合日间出力和用户负荷形成反向净负荷。</w:t>
      </w:r>
    </w:p>
    <w:p>
      <w:pPr>
        <w:pStyle w:val="2"/>
        <w:widowControl/>
        <w:spacing w:line="300" w:lineRule="auto" w:before="0" w:after="0"/>
        <w:ind w:firstLine="480"/>
        <w:jc w:val="both"/>
      </w:pPr>
      <w:r>
        <w:rPr>
          <w:rFonts w:ascii="Times New Roman" w:hAnsi="Times New Roman" w:eastAsia="方正仿宋_GBK"/>
          <w:b w:val="0"/>
          <w:sz w:val="24"/>
        </w:rPr>
        <w:t xml:space="preserve">分布式电源电量渗透率以同范围分布式电源年发电量除以用户年用电量，采用上述导则修订稿第3.1.19条的定义。第7.4.2.2条将电量渗透率超过40.00%～50.00%列为开展反向容量校核的条件[7]；Holweger等也按光伏年发电量占年用电量的比例分析灵活性服务与网架建设费用[29]。选取该指标，可将年度源荷电量关系与装机规模对应。外推在光伏利用小时1200 h、用户年负荷率0.50的统一假定下换算，范围为0.00%～82.19%；案例按月度装机及典型出力估计。容量配置由正反向峰值及其持续时间共同确定。</w:t>
      </w:r>
    </w:p>
    <w:p>
      <w:pPr>
        <w:pStyle w:val="2"/>
        <w:widowControl/>
        <w:spacing w:line="300" w:lineRule="auto" w:before="0" w:after="0"/>
        <w:ind w:firstLine="480"/>
        <w:jc w:val="both"/>
      </w:pPr>
      <w:r>
        <w:rPr>
          <w:rFonts w:ascii="Times New Roman" w:hAnsi="Times New Roman" w:eastAsia="方正仿宋_GBK"/>
          <w:b w:val="0"/>
          <w:sz w:val="24"/>
        </w:rPr>
        <w:t xml:space="preserve">年负荷平均增长率在本研究中按年最大正向净负荷的增长计算，用于表征规划期净负荷年增长及容量储备需求。DL/T 5729—2023《配电网规划设计技术导则》表6.3.4按负荷增长水平给出容载比范围[5]，上述导则修订稿表2进一步采用年最大净负荷平均增长率分档[7]。刘炜彬等将负荷发展储备纳入容载比精细化配置，Martínez等分析了持续负荷增长对储能延缓扩网经济性的影响[46][28]。外推取0.00%～10.00%，包含2.00%、4.00%、7.00%的导则分档节点，并以8.00%、10.00%覆盖较快增长情景。案例按第三章的历史同比率递增权重方法取8.07%、1.80%，在设定源荷结构下同步缩放站级正反向净负荷。</w:t>
      </w:r>
    </w:p>
    <w:p>
      <w:pPr>
        <w:pStyle w:val="2"/>
        <w:widowControl/>
        <w:spacing w:line="300" w:lineRule="auto" w:before="0" w:after="0"/>
        <w:ind w:firstLine="480"/>
        <w:jc w:val="both"/>
      </w:pPr>
      <w:r>
        <w:rPr>
          <w:rFonts w:ascii="Times New Roman" w:hAnsi="Times New Roman" w:eastAsia="方正仿宋_GBK"/>
          <w:b w:val="0"/>
          <w:sz w:val="24"/>
        </w:rPr>
        <w:t xml:space="preserve">净负荷峰值取绝对值，用于比较正向供电与反向输送的容量压力。导则修订稿第3.1.13条按输送方向规定净负荷正负号，第7.4.1条和第7.4.2条要求分别分析正向、反向净负荷并校核容量[7]。本研究据此分别提取两方向峰值，再取较大幅值作为净负荷最大绝对值，同时保留方向进行容量校核。容载比按公用主变总容量与区域年最大正向净负荷计算；站级绝对峰值用于局部设备校核，两者分别承担区域规划和站级定容的作用。</w:t>
      </w:r>
    </w:p>
    <w:p>
      <w:pPr>
        <w:pStyle w:val="2"/>
        <w:widowControl/>
        <w:spacing w:line="300" w:lineRule="auto" w:before="0" w:after="0"/>
        <w:ind w:firstLine="480"/>
        <w:jc w:val="both"/>
      </w:pPr>
      <w:r>
        <w:rPr>
          <w:rFonts w:ascii="Times New Roman" w:hAnsi="Times New Roman" w:eastAsia="方正仿宋_GBK"/>
          <w:b w:val="0"/>
          <w:sz w:val="24"/>
        </w:rPr>
        <w:t xml:space="preserve">95%峰值持续时间用于将近峰运行特征转化为储能能量需求。Xu等的全寿命储能规划及Martínez等的峰段削减研究均将功率、能量和负荷时段纳入配置分析[10][28]。同一功率缺口持续越久，所需储能能量越大。本研究以方向峰值的95%作为近峰幅值门槛，识别相邻高负荷时段，并以最长连续段确定一次峰段的支撑时长。95%为依据小时曲线设置的研究参数。外推取1、2、3、4、6 h，覆盖短时尖峰与较长连续峰段；其中2～3 h跨越单柜额定能量与功率之比2.15 h，可反映储能由功率约束转为能量约束的配置差异。</w:t>
      </w:r>
    </w:p>
    <w:p>
      <w:pPr>
        <w:pStyle w:val="2"/>
        <w:widowControl/>
        <w:spacing w:line="300" w:lineRule="auto" w:before="0" w:after="0"/>
        <w:ind w:firstLine="480"/>
        <w:jc w:val="both"/>
      </w:pPr>
      <w:r>
        <w:rPr>
          <w:rFonts w:ascii="Times New Roman" w:hAnsi="Times New Roman" w:eastAsia="方正仿宋_GBK"/>
          <w:b w:val="0"/>
          <w:sz w:val="24"/>
        </w:rPr>
        <w:t xml:space="preserve">主变与线路成本比用于比较增加变电容量和新建10 kV联络的经济条件。肖峻等量化了中压网络联络能力与上级变电容量的关系，金勇等研究了高压配电网负荷转供的分层优化[8][76]。两类措施均可改善站级容量约束，故按相同有效MW将主变投资与联络投资相除。主变价格依据徐州工程投资表，线路价格依据华容县规划造价并按本研究联络工程规模折算[85][87]。围绕线路基价设置0.75、1.00、1.25倍的敏感性情景，考察线路工程费用变化对措施选取的影响；含土建费用后，架空为主情景对应成本比约0.84～1.40，电缆为主约0.21～0.35。矩阵按各自三个价格条件列示，线路越贵，主变与线路成本比越小；供电区域类别和线路类型分别设置，避免将城区直接等同于单一工程价格。</w:t>
      </w:r>
    </w:p>
    <w:p>
      <w:pPr>
        <w:pStyle w:val="2"/>
        <w:widowControl/>
        <w:spacing w:line="300" w:lineRule="auto" w:before="0" w:after="0"/>
        <w:ind w:firstLine="480"/>
        <w:jc w:val="both"/>
      </w:pPr>
      <w:r>
        <w:rPr>
          <w:rFonts w:ascii="Times New Roman" w:hAnsi="Times New Roman" w:eastAsia="方正仿宋_GBK"/>
          <w:b w:val="0"/>
          <w:sz w:val="24"/>
        </w:rPr>
        <w:t xml:space="preserve">主变与储能成本比用于比较变电容量建设和峰段储能支撑的经济条件。Matthiss等比较储能配置与网架加强投资，Martínez等进一步分析投资、寿命和负荷条件对储能替代扩网的影响[30][28]。本研究以主变单位有效MW投资除以储能单位有效MW投资，储能基价采用浏阳项目成交资料并按215 kWh柜折算[86]。选取3 h参考峰段，使成本比同时体现功率和能量配置条件，并与1～6 h持续时间情景衔接。储能基价设置0.50、1.00、1.25倍的敏感性情景，考察价格下降及费用提高的影响；对应成本比约0.04～0.12，归纳为0.04～0.05、大于0.05至0.08、大于0.08至0.12三档。实际寻优按各场景持续时间及全寿命费用比较。</w:t>
      </w:r>
    </w:p>
    <w:p>
      <w:pPr>
        <w:pStyle w:val="2"/>
        <w:keepNext/>
        <w:spacing w:line="300" w:lineRule="auto" w:before="120" w:after="80"/>
        <w:ind w:firstLine="0"/>
        <w:jc w:val="center"/>
      </w:pPr>
      <w:r>
        <w:rPr>
          <w:rFonts w:ascii="Times New Roman" w:hAnsi="Times New Roman" w:eastAsia="宋体"/>
          <w:b w:val="0"/>
          <w:sz w:val="21"/>
        </w:rPr>
        <w:t xml:space="preserve">表5-2 参数定义及寻优作用</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793"/>
        <w:gridCol w:w="3259"/>
        <w:gridCol w:w="3259"/>
      </w:tblGrid>
      <w:tr>
        <w:trPr>
          <w:cantSplit/>
          <w:tblHeader/>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参数</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采用口径</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模型作用</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容载比</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公用主变总容量/年网供最大负荷[5]</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规划结果</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分布式电源装机渗透率</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装机容量/用户最大负荷[7]</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构造源荷情景</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分布式电源电量渗透率</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发电量/用户用电量[7]</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源荷背景</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最大正向、反向净负荷</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站级方向极值</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正常与退出容量校核</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95%峰值持续时间</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最长连续达到本方向峰值95%的时段</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储能能量折算</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年负荷平均增长率</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历史同比率递增权重平均值</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后续负荷推演</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主变与线路成本比</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相同有效MW初始投资比</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联络费用敏感性</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主变与储能成本比</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 h参考有效MW初始投资比</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储能费用敏感性</w:t>
            </w:r>
          </w:p>
        </w:tc>
      </w:tr>
    </w:tbl>
    <w:p>
      <w:pPr>
        <w:pStyle w:val="2"/>
        <w:widowControl/>
        <w:spacing w:line="300" w:lineRule="auto" w:before="0" w:after="0"/>
        <w:ind w:firstLine="480"/>
        <w:jc w:val="both"/>
      </w:pPr>
      <w:r>
        <w:rPr>
          <w:rFonts w:ascii="Times New Roman" w:hAnsi="Times New Roman" w:eastAsia="方正仿宋_GBK"/>
          <w:b w:val="0"/>
          <w:sz w:val="24"/>
        </w:rPr>
        <w:t xml:space="preserve">站间转供率、供电区域类别及主变规格作为规划条件保留。市区50.00%的初始转供率对应A类研究情景，邳州28.29%由馈线样本计算后应用于县域站群。主变增容、储能配置与联络建设均在这些条件下寻优，推荐容载比由最终在役容量形成。</w:t>
      </w:r>
    </w:p>
    <w:p>
      <w:bookmarkStart w:id="1470" w:name="h470"/>
      <w:pPr>
        <w:pStyle w:val="4"/>
        <w:keepNext/>
        <w:numPr>
          <w:numId w:val="0"/>
        </w:numPr>
        <w:spacing w:line="360" w:lineRule="auto" w:before="160" w:after="120"/>
        <w:ind w:firstLine="0"/>
      </w:pPr>
      <w:bookmarkStart w:id="167" w:name="三类方案的选取与寻优方法"/>
      <w:r>
        <w:rPr>
          <w:rFonts w:ascii="Times New Roman" w:hAnsi="Times New Roman" w:eastAsia="方正仿宋_GBK"/>
          <w:b/>
          <w:sz w:val="32"/>
        </w:rPr>
        <w:t xml:space="preserve">5.2 三类方案的选取与寻优方法</w:t>
      </w:r>
      <w:bookmarkEnd w:id="167"/>
      <w:bookmarkEnd w:id="1470"/>
    </w:p>
    <w:p>
      <w:pPr>
        <w:pStyle w:val="5"/>
        <w:keepNext/>
        <w:numPr>
          <w:numId w:val="0"/>
        </w:numPr>
        <w:spacing w:line="360" w:lineRule="auto" w:before="160" w:after="120"/>
        <w:ind w:firstLine="0"/>
      </w:pPr>
      <w:bookmarkStart w:id="168" w:name="主变增容及扩建方案"/>
      <w:r>
        <w:rPr>
          <w:rFonts w:ascii="Times New Roman" w:hAnsi="Times New Roman" w:eastAsia="方正仿宋_GBK"/>
          <w:b/>
          <w:sz w:val="26"/>
        </w:rPr>
        <w:t xml:space="preserve">5.2.1 主变增容及扩建方案</w:t>
      </w:r>
      <w:bookmarkEnd w:id="168"/>
    </w:p>
    <w:p>
      <w:pPr>
        <w:pStyle w:val="FirstParagraph"/>
        <w:widowControl/>
        <w:spacing w:line="300" w:lineRule="auto" w:before="0" w:after="0"/>
        <w:ind w:firstLine="480"/>
        <w:jc w:val="both"/>
      </w:pPr>
      <w:r>
        <w:rPr>
          <w:rFonts w:ascii="Times New Roman" w:hAnsi="Times New Roman" w:eastAsia="方正仿宋_GBK"/>
          <w:b w:val="0"/>
          <w:sz w:val="24"/>
        </w:rPr>
        <w:t xml:space="preserve">主变建设包括既有主变增容和增加主变台数的扩建。每台既有主变在每年选择一种允许容量规格，容量逐年非减。既有规格可以继续使用，新购规格按供电区域类别和候选目录确定；主变扩建须具备可用预留位置。</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nary>
                        <m:naryPr>
                          <m:chr m:val="∑"/>
                          <m:limLoc m:val="undOvr"/>
                          <m:subHide m:val="0"/>
                          <m:supHide m:val="1"/>
                        </m:naryPr>
                        <m:sub>
                          <m:r>
                            <m:t>a</m:t>
                          </m:r>
                          <m:r>
                            <m:t>∈</m:t>
                          </m:r>
                          <m:sSub>
                            <m:e>
                              <m:r>
                                <m:rPr>
                                  <m:sty m:val="p"/>
                                  <m:scr m:val="script"/>
                                </m:rPr>
                                <m:t>A</m:t>
                              </m:r>
                            </m:e>
                            <m:sub>
                              <m:r>
                                <m:t>i</m:t>
                              </m:r>
                              <m:r>
                                <m:t>k</m:t>
                              </m:r>
                            </m:sub>
                          </m:sSub>
                        </m:sub>
                        <m:sup>
                          <m:r>
                            <m:t>​</m:t>
                          </m:r>
                        </m:sup>
                        <m:e>
                          <m:sSub>
                            <m:e>
                              <m:r>
                                <m:t>x</m:t>
                              </m:r>
                            </m:e>
                            <m:sub>
                              <m:r>
                                <m:t>i</m:t>
                              </m:r>
                              <m:r>
                                <m:t>,</m:t>
                              </m:r>
                              <m:r>
                                <m:t>k</m:t>
                              </m:r>
                              <m:r>
                                <m:t>,</m:t>
                              </m:r>
                              <m:r>
                                <m:t>y</m:t>
                              </m:r>
                              <m:r>
                                <m:t>,</m:t>
                              </m:r>
                              <m:r>
                                <m:t>a</m:t>
                              </m:r>
                            </m:sub>
                          </m:sSub>
                        </m:e>
                      </m:nary>
                    </m:e>
                    <m:e>
                      <m:r>
                        <m:t>=</m:t>
                      </m:r>
                      <m:r>
                        <m:t>1</m:t>
                      </m:r>
                    </m:e>
                  </m:mr>
                  <m:mr>
                    <m:e>
                      <m:sSub>
                        <m:e>
                          <m:r>
                            <m:t>S</m:t>
                          </m:r>
                        </m:e>
                        <m:sub>
                          <m:r>
                            <m:t>i</m:t>
                          </m:r>
                          <m:r>
                            <m:t>,</m:t>
                          </m:r>
                          <m:r>
                            <m:t>k</m:t>
                          </m:r>
                          <m:r>
                            <m:t>,</m:t>
                          </m:r>
                          <m:r>
                            <m:t>y</m:t>
                          </m:r>
                        </m:sub>
                      </m:sSub>
                    </m:e>
                    <m:e>
                      <m:r>
                        <m:t>=</m:t>
                      </m:r>
                      <m:nary>
                        <m:naryPr>
                          <m:chr m:val="∑"/>
                          <m:limLoc m:val="undOvr"/>
                          <m:subHide m:val="0"/>
                          <m:supHide m:val="1"/>
                        </m:naryPr>
                        <m:sub>
                          <m:r>
                            <m:t>a</m:t>
                          </m:r>
                          <m:r>
                            <m:t>∈</m:t>
                          </m:r>
                          <m:sSub>
                            <m:e>
                              <m:r>
                                <m:rPr>
                                  <m:sty m:val="p"/>
                                  <m:scr m:val="script"/>
                                </m:rPr>
                                <m:t>A</m:t>
                              </m:r>
                            </m:e>
                            <m:sub>
                              <m:r>
                                <m:t>i</m:t>
                              </m:r>
                              <m:r>
                                <m:t>k</m:t>
                              </m:r>
                            </m:sub>
                          </m:sSub>
                        </m:sub>
                        <m:sup>
                          <m:r>
                            <m:t>​</m:t>
                          </m:r>
                        </m:sup>
                        <m:e>
                          <m:r>
                            <m:t>a</m:t>
                          </m:r>
                        </m:e>
                      </m:nary>
                      <m:r>
                        <m:t> </m:t>
                      </m:r>
                      <m:sSub>
                        <m:e>
                          <m:r>
                            <m:t>x</m:t>
                          </m:r>
                        </m:e>
                        <m:sub>
                          <m:r>
                            <m:t>i</m:t>
                          </m:r>
                          <m:r>
                            <m:t>,</m:t>
                          </m:r>
                          <m:r>
                            <m:t>k</m:t>
                          </m:r>
                          <m:r>
                            <m:t>,</m:t>
                          </m:r>
                          <m:r>
                            <m:t>y</m:t>
                          </m:r>
                          <m:r>
                            <m:t>,</m:t>
                          </m:r>
                          <m:r>
                            <m:t>a</m:t>
                          </m:r>
                        </m:sub>
                      </m:sSub>
                    </m:e>
                  </m:mr>
                  <m:mr>
                    <m:e>
                      <m:sSub>
                        <m:e>
                          <m:r>
                            <m:t>S</m:t>
                          </m:r>
                        </m:e>
                        <m:sub>
                          <m:r>
                            <m:t>i</m:t>
                          </m:r>
                          <m:r>
                            <m:t>,</m:t>
                          </m:r>
                          <m:r>
                            <m:t>y</m:t>
                          </m:r>
                        </m:sub>
                      </m:sSub>
                    </m:e>
                    <m:e>
                      <m:r>
                        <m:t>=</m:t>
                      </m:r>
                      <m:sSub>
                        <m:e>
                          <m:r>
                            <m:t>S</m:t>
                          </m:r>
                        </m:e>
                        <m:sub>
                          <m:r>
                            <m:t>i</m:t>
                          </m:r>
                          <m:r>
                            <m:t>,</m:t>
                          </m:r>
                          <m:r>
                            <m:t>1</m:t>
                          </m:r>
                          <m:r>
                            <m:t>,</m:t>
                          </m:r>
                          <m:r>
                            <m:t>y</m:t>
                          </m:r>
                        </m:sub>
                      </m:sSub>
                      <m:r>
                        <m:t>+</m:t>
                      </m:r>
                      <m:sSub>
                        <m:e>
                          <m:r>
                            <m:t>S</m:t>
                          </m:r>
                        </m:e>
                        <m:sub>
                          <m:r>
                            <m:t>i</m:t>
                          </m:r>
                          <m:r>
                            <m:t>,</m:t>
                          </m:r>
                          <m:r>
                            <m:t>2</m:t>
                          </m:r>
                          <m:r>
                            <m:t>,</m:t>
                          </m:r>
                          <m:r>
                            <m:t>y</m:t>
                          </m:r>
                        </m:sub>
                      </m:sSub>
                      <m:r>
                        <m:t>+</m:t>
                      </m:r>
                      <m:r>
                        <m:t>50</m:t>
                      </m:r>
                      <m:sSub>
                        <m:e>
                          <m:r>
                            <m:t>u</m:t>
                          </m:r>
                        </m:e>
                        <m:sub>
                          <m:r>
                            <m:t>i</m:t>
                          </m:r>
                          <m:r>
                            <m:t>,</m:t>
                          </m:r>
                          <m:r>
                            <m:t>y</m:t>
                          </m:r>
                        </m:sub>
                      </m:sSub>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（5-3）</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r>
          <m:t>i</m:t>
        </m:r>
      </m:oMath>
      <w:r>
        <w:rPr>
          <w:rFonts w:ascii="Times New Roman" w:hAnsi="Times New Roman" w:eastAsia="方正仿宋_GBK"/>
          <w:b w:val="0"/>
          <w:sz w:val="24"/>
        </w:rPr>
        <w:t xml:space="preserve">为变电站，</w:t>
      </w:r>
      <m:oMath>
        <m:r>
          <m:t>k</m:t>
        </m:r>
      </m:oMath>
      <w:r>
        <w:rPr>
          <w:rFonts w:ascii="Times New Roman" w:hAnsi="Times New Roman" w:eastAsia="方正仿宋_GBK"/>
          <w:b w:val="0"/>
          <w:sz w:val="24"/>
        </w:rPr>
        <w:t xml:space="preserve">为既有主变安装位置，</w:t>
      </w:r>
      <m:oMath>
        <m:sSub>
          <m:e>
            <m:r>
              <m:rPr>
                <m:sty m:val="p"/>
                <m:scr m:val="script"/>
              </m:rPr>
              <m:t>A</m:t>
            </m:r>
          </m:e>
          <m:sub>
            <m:r>
              <m:t>i</m:t>
            </m:r>
            <m:r>
              <m:t>k</m:t>
            </m:r>
          </m:sub>
        </m:sSub>
      </m:oMath>
      <w:r>
        <w:rPr>
          <w:rFonts w:ascii="Times New Roman" w:hAnsi="Times New Roman" w:eastAsia="方正仿宋_GBK"/>
          <w:b w:val="0"/>
          <w:sz w:val="24"/>
        </w:rPr>
        <w:t xml:space="preserve">为允许容量规格集合，</w:t>
      </w:r>
      <m:oMath>
        <m:r>
          <m:t>a</m:t>
        </m:r>
      </m:oMath>
      <w:r>
        <w:rPr>
          <w:rFonts w:ascii="Times New Roman" w:hAnsi="Times New Roman" w:eastAsia="方正仿宋_GBK"/>
          <w:b w:val="0"/>
          <w:sz w:val="24"/>
        </w:rPr>
        <w:t xml:space="preserve">为其中一种规格，单位MVA；</w:t>
      </w:r>
      <m:oMath>
        <m:sSub>
          <m:e>
            <m:r>
              <m:t>x</m:t>
            </m:r>
          </m:e>
          <m:sub>
            <m:r>
              <m:t>i</m:t>
            </m:r>
            <m:r>
              <m:t>,</m:t>
            </m:r>
            <m:r>
              <m:t>k</m:t>
            </m:r>
            <m:r>
              <m:t>,</m:t>
            </m:r>
            <m:r>
              <m:t>y</m:t>
            </m:r>
            <m:r>
              <m:t>,</m:t>
            </m:r>
            <m:r>
              <m:t>a</m:t>
            </m:r>
          </m:sub>
        </m:sSub>
      </m:oMath>
      <w:r>
        <w:rPr>
          <w:rFonts w:ascii="Times New Roman" w:hAnsi="Times New Roman" w:eastAsia="方正仿宋_GBK"/>
          <w:b w:val="0"/>
          <w:sz w:val="24"/>
        </w:rPr>
        <w:t xml:space="preserve">为0或1的规格选择变量，</w:t>
      </w:r>
      <m:oMath>
        <m:sSub>
          <m:e>
            <m:r>
              <m:t>S</m:t>
            </m:r>
          </m:e>
          <m:sub>
            <m:r>
              <m:t>i</m:t>
            </m:r>
            <m:r>
              <m:t>,</m:t>
            </m:r>
            <m:r>
              <m:t>k</m:t>
            </m:r>
            <m:r>
              <m:t>,</m:t>
            </m:r>
            <m:r>
              <m:t>y</m:t>
            </m:r>
          </m:sub>
        </m:sSub>
      </m:oMath>
      <w:r>
        <w:rPr>
          <w:rFonts w:ascii="Times New Roman" w:hAnsi="Times New Roman" w:eastAsia="方正仿宋_GBK"/>
          <w:b w:val="0"/>
          <w:sz w:val="24"/>
        </w:rPr>
        <w:t xml:space="preserve">为该位置主变在役容量，</w:t>
      </w:r>
      <m:oMath>
        <m:sSub>
          <m:e>
            <m:r>
              <m:t>S</m:t>
            </m:r>
          </m:e>
          <m:sub>
            <m:r>
              <m:t>i</m:t>
            </m:r>
            <m:r>
              <m:t>,</m:t>
            </m:r>
            <m:r>
              <m:t>y</m:t>
            </m:r>
          </m:sub>
        </m:sSub>
      </m:oMath>
      <w:r>
        <w:rPr>
          <w:rFonts w:ascii="Times New Roman" w:hAnsi="Times New Roman" w:eastAsia="方正仿宋_GBK"/>
          <w:b w:val="0"/>
          <w:sz w:val="24"/>
        </w:rPr>
        <w:t xml:space="preserve">为站内主变总容量；</w:t>
      </w:r>
      <m:oMath>
        <m:sSub>
          <m:e>
            <m:r>
              <m:t>u</m:t>
            </m:r>
          </m:e>
          <m:sub>
            <m:r>
              <m:t>i</m:t>
            </m:r>
            <m:r>
              <m:t>,</m:t>
            </m:r>
            <m:r>
              <m:t>y</m:t>
            </m:r>
          </m:sub>
        </m:sSub>
      </m:oMath>
      <w:r>
        <w:rPr>
          <w:rFonts w:ascii="Times New Roman" w:hAnsi="Times New Roman" w:eastAsia="方正仿宋_GBK"/>
          <w:b w:val="0"/>
          <w:sz w:val="24"/>
        </w:rPr>
        <w:t xml:space="preserve">为扩建50 MVA主变的在役状态。该式省略区县和方案下标，各区县、各方案分别应用。</w:t>
      </w:r>
    </w:p>
    <w:p>
      <w:pPr>
        <w:pStyle w:val="2"/>
        <w:widowControl/>
        <w:spacing w:line="300" w:lineRule="auto" w:before="0" w:after="0"/>
        <w:ind w:firstLine="480"/>
        <w:jc w:val="both"/>
      </w:pPr>
      <w:r>
        <w:rPr>
          <w:rFonts w:ascii="Times New Roman" w:hAnsi="Times New Roman" w:eastAsia="方正仿宋_GBK"/>
          <w:b w:val="0"/>
          <w:sz w:val="24"/>
        </w:rPr>
        <w:t xml:space="preserve">模型先计算候选增容对正常供电、反向输送及主变N-1后剩余容量的改善，再按新购整台容量计算替换费用。主变扩建采用1223万元/项的扩建费用。新增容量和采购容量同时列示，用于分别解释容载比变化与工程投资[85]。</w:t>
      </w:r>
    </w:p>
    <w:p>
      <w:pPr>
        <w:pStyle w:val="5"/>
        <w:keepNext/>
        <w:numPr>
          <w:numId w:val="0"/>
        </w:numPr>
        <w:spacing w:line="360" w:lineRule="auto" w:before="160" w:after="120"/>
        <w:ind w:firstLine="0"/>
      </w:pPr>
      <w:bookmarkStart w:id="169" w:name="利用既有10-kv联络能力"/>
      <w:r>
        <w:rPr>
          <w:rFonts w:ascii="Times New Roman" w:hAnsi="Times New Roman" w:eastAsia="方正仿宋_GBK"/>
          <w:b/>
          <w:sz w:val="26"/>
        </w:rPr>
        <w:t xml:space="preserve">5.2.2 利用既有10 kV联络能力</w:t>
      </w:r>
      <w:bookmarkEnd w:id="169"/>
    </w:p>
    <w:p>
      <w:pPr>
        <w:pStyle w:val="FirstParagraph"/>
        <w:widowControl/>
        <w:spacing w:line="300" w:lineRule="auto" w:before="0" w:after="0"/>
        <w:ind w:firstLine="480"/>
        <w:jc w:val="both"/>
      </w:pPr>
      <w:r>
        <w:rPr>
          <w:rFonts w:ascii="Times New Roman" w:hAnsi="Times New Roman" w:eastAsia="方正仿宋_GBK"/>
          <w:b w:val="0"/>
          <w:sz w:val="24"/>
        </w:rPr>
        <w:t xml:space="preserve">10 kV联络在区县内部调整用电负荷的供电归属。首先确定初始转供率，再将其乘以转接前站级负荷，得到可使用的既有转供能力。市区分布式光伏较少，按A类规划假定初始转供率50%；邳州依据六馈线与跨站联络数据具体测算[5]。</w:t>
      </w:r>
    </w:p>
    <w:p>
      <w:pPr>
        <w:pStyle w:val="2"/>
        <w:widowControl/>
        <w:spacing w:line="300" w:lineRule="auto" w:before="0" w:after="0"/>
        <w:ind w:firstLine="480"/>
        <w:jc w:val="both"/>
      </w:pPr>
      <w:r>
        <w:rPr>
          <w:rFonts w:ascii="Times New Roman" w:hAnsi="Times New Roman" w:eastAsia="方正仿宋_GBK"/>
          <w:b w:val="0"/>
          <w:sz w:val="24"/>
        </w:rPr>
        <w:t xml:space="preserve">邳州样本将最大电流折算为有功负荷，并以允许电流与已用电流之差估计受端余量。</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sSub>
                        <m:e>
                          <m:r>
                            <m:t>P</m:t>
                          </m:r>
                        </m:e>
                        <m:sub>
                          <m:r>
                            <m:t>f</m:t>
                          </m:r>
                        </m:sub>
                      </m:sSub>
                    </m:e>
                    <m:e>
                      <m:r>
                        <m:t>=</m:t>
                      </m:r>
                      <m:f>
                        <m:fPr>
                          <m:type m:val="bar"/>
                        </m:fPr>
                        <m:num>
                          <m:rad>
                            <m:radPr>
                              <m:degHide m:val="1"/>
                            </m:radPr>
                            <m:deg/>
                            <m:e>
                              <m:r>
                                <m:t>3</m:t>
                              </m:r>
                            </m:e>
                          </m:rad>
                          <m:r>
                            <m:t>U</m:t>
                          </m:r>
                          <m:sSub>
                            <m:e>
                              <m:r>
                                <m:t>I</m:t>
                              </m:r>
                            </m:e>
                            <m:sub>
                              <m:r>
                                <m:t>f</m:t>
                              </m:r>
                            </m:sub>
                          </m:sSub>
                          <m:r>
                            <m:rPr>
                              <m:nor/>
                              <m:sty m:val="p"/>
                            </m:rPr>
                            <m:t>cos</m:t>
                          </m:r>
                          <m:r>
                            <m:t>φ</m:t>
                          </m:r>
                        </m:num>
                        <m:den>
                          <m:r>
                            <m:t>1000</m:t>
                          </m:r>
                        </m:den>
                      </m:f>
                    </m:e>
                  </m:mr>
                  <m:mr>
                    <m:e>
                      <m:sSub>
                        <m:e>
                          <m:r>
                            <m:t>H</m:t>
                          </m:r>
                        </m:e>
                        <m:sub>
                          <m:r>
                            <m:t>f</m:t>
                          </m:r>
                        </m:sub>
                      </m:sSub>
                    </m:e>
                    <m:e>
                      <m:r>
                        <m:t>=</m:t>
                      </m:r>
                      <m:f>
                        <m:fPr>
                          <m:type m:val="bar"/>
                        </m:fPr>
                        <m:num>
                          <m:rad>
                            <m:radPr>
                              <m:degHide m:val="1"/>
                            </m:radPr>
                            <m:deg/>
                            <m:e>
                              <m:r>
                                <m:t>3</m:t>
                              </m:r>
                            </m:e>
                          </m:rad>
                          <m:r>
                            <m:t>U</m:t>
                          </m:r>
                          <m:r>
                            <m:rPr>
                              <m:nor/>
                              <m:sty m:val="p"/>
                            </m:rPr>
                            <m:t>max</m:t>
                          </m:r>
                          <m:r>
                            <m:t>(</m:t>
                          </m:r>
                          <m:sSubSup>
                            <m:e>
                              <m:r>
                                <m:t>I</m:t>
                              </m:r>
                            </m:e>
                            <m:sub>
                              <m:r>
                                <m:t>f</m:t>
                              </m:r>
                            </m:sub>
                            <m:sup>
                              <m:r>
                                <m:rPr>
                                  <m:sty m:val="p"/>
                                </m:rPr>
                                <m:t>a</m:t>
                              </m:r>
                              <m:r>
                                <m:rPr>
                                  <m:sty m:val="p"/>
                                </m:rPr>
                                <m:t>l</m:t>
                              </m:r>
                              <m:r>
                                <m:rPr>
                                  <m:sty m:val="p"/>
                                </m:rPr>
                                <m:t>l</m:t>
                              </m:r>
                              <m:r>
                                <m:rPr>
                                  <m:sty m:val="p"/>
                                </m:rPr>
                                <m:t>o</m:t>
                              </m:r>
                              <m:r>
                                <m:rPr>
                                  <m:sty m:val="p"/>
                                </m:rPr>
                                <m:t>w</m:t>
                              </m:r>
                            </m:sup>
                          </m:sSubSup>
                          <m:r>
                            <m:t>−</m:t>
                          </m:r>
                          <m:sSub>
                            <m:e>
                              <m:r>
                                <m:t>I</m:t>
                              </m:r>
                            </m:e>
                            <m:sub>
                              <m:r>
                                <m:t>f</m:t>
                              </m:r>
                            </m:sub>
                          </m:sSub>
                          <m:r>
                            <m:t>,</m:t>
                          </m:r>
                          <m:r>
                            <m:t>0</m:t>
                          </m:r>
                          <m:r>
                            <m:t>)</m:t>
                          </m:r>
                          <m:r>
                            <m:rPr>
                              <m:nor/>
                              <m:sty m:val="p"/>
                            </m:rPr>
                            <m:t>cos</m:t>
                          </m:r>
                          <m:r>
                            <m:t>φ</m:t>
                          </m:r>
                        </m:num>
                        <m:den>
                          <m:r>
                            <m:t>1000</m:t>
                          </m:r>
                        </m:den>
                      </m:f>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（5-4）</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r>
          <m:t>f</m:t>
        </m:r>
      </m:oMath>
      <w:r>
        <w:rPr>
          <w:rFonts w:ascii="Times New Roman" w:hAnsi="Times New Roman" w:eastAsia="方正仿宋_GBK"/>
          <w:b w:val="0"/>
          <w:sz w:val="24"/>
        </w:rPr>
        <w:t xml:space="preserve">为馈线，</w:t>
      </w:r>
      <m:oMath>
        <m:r>
          <m:t>U</m:t>
        </m:r>
      </m:oMath>
      <w:r>
        <w:rPr>
          <w:rFonts w:ascii="Times New Roman" w:hAnsi="Times New Roman" w:eastAsia="方正仿宋_GBK"/>
          <w:b w:val="0"/>
          <w:sz w:val="24"/>
        </w:rPr>
        <w:t xml:space="preserve">为线电压，取10 kV；</w:t>
      </w:r>
      <m:oMath>
        <m:sSub>
          <m:e>
            <m:r>
              <m:t>I</m:t>
            </m:r>
          </m:e>
          <m:sub>
            <m:r>
              <m:t>f</m:t>
            </m:r>
          </m:sub>
        </m:sSub>
      </m:oMath>
      <w:r>
        <w:rPr>
          <w:rFonts w:ascii="Times New Roman" w:hAnsi="Times New Roman" w:eastAsia="方正仿宋_GBK"/>
          <w:b w:val="0"/>
          <w:sz w:val="24"/>
        </w:rPr>
        <w:t xml:space="preserve">为样本最大电流，</w:t>
      </w:r>
      <m:oMath>
        <m:sSubSup>
          <m:e>
            <m:r>
              <m:t>I</m:t>
            </m:r>
          </m:e>
          <m:sub>
            <m:r>
              <m:t>f</m:t>
            </m:r>
          </m:sub>
          <m:sup>
            <m:r>
              <m:rPr>
                <m:sty m:val="p"/>
              </m:rPr>
              <m:t>a</m:t>
            </m:r>
            <m:r>
              <m:rPr>
                <m:sty m:val="p"/>
              </m:rPr>
              <m:t>l</m:t>
            </m:r>
            <m:r>
              <m:rPr>
                <m:sty m:val="p"/>
              </m:rPr>
              <m:t>l</m:t>
            </m:r>
            <m:r>
              <m:rPr>
                <m:sty m:val="p"/>
              </m:rPr>
              <m:t>o</m:t>
            </m:r>
            <m:r>
              <m:rPr>
                <m:sty m:val="p"/>
              </m:rPr>
              <m:t>w</m:t>
            </m:r>
          </m:sup>
        </m:sSubSup>
      </m:oMath>
      <w:r>
        <w:rPr>
          <w:rFonts w:ascii="Times New Roman" w:hAnsi="Times New Roman" w:eastAsia="方正仿宋_GBK"/>
          <w:b w:val="0"/>
          <w:sz w:val="24"/>
        </w:rPr>
        <w:t xml:space="preserve">为允许电流，单位A；</w:t>
      </w:r>
      <m:oMath>
        <m:r>
          <m:rPr>
            <m:nor/>
            <m:sty m:val="p"/>
          </m:rPr>
          <m:t>cos</m:t>
        </m:r>
        <m:r>
          <m:t>φ</m:t>
        </m:r>
      </m:oMath>
      <w:r>
        <w:rPr>
          <w:rFonts w:ascii="Times New Roman" w:hAnsi="Times New Roman" w:eastAsia="方正仿宋_GBK"/>
          <w:b w:val="0"/>
          <w:sz w:val="24"/>
        </w:rPr>
        <w:t xml:space="preserve">取0.95；</w:t>
      </w:r>
      <m:oMath>
        <m:sSub>
          <m:e>
            <m:r>
              <m:t>P</m:t>
            </m:r>
          </m:e>
          <m:sub>
            <m:r>
              <m:t>f</m:t>
            </m:r>
          </m:sub>
        </m:sSub>
      </m:oMath>
      <w:r>
        <w:rPr>
          <w:rFonts w:ascii="Times New Roman" w:hAnsi="Times New Roman" w:eastAsia="方正仿宋_GBK"/>
          <w:b w:val="0"/>
          <w:sz w:val="24"/>
        </w:rPr>
        <w:t xml:space="preserve">为馈线有功负荷，</w:t>
      </w:r>
      <m:oMath>
        <m:sSub>
          <m:e>
            <m:r>
              <m:t>H</m:t>
            </m:r>
          </m:e>
          <m:sub>
            <m:r>
              <m:t>f</m:t>
            </m:r>
          </m:sub>
        </m:sSub>
      </m:oMath>
      <w:r>
        <w:rPr>
          <w:rFonts w:ascii="Times New Roman" w:hAnsi="Times New Roman" w:eastAsia="方正仿宋_GBK"/>
          <w:b w:val="0"/>
          <w:sz w:val="24"/>
        </w:rPr>
        <w:t xml:space="preserve">为受端有功余量，单位MW。系数1000用于将kW换算为MW。</w:t>
      </w:r>
    </w:p>
    <w:p>
      <w:pPr>
        <w:pStyle w:val="2"/>
        <w:widowControl/>
        <w:spacing w:line="300" w:lineRule="auto" w:before="0" w:after="0"/>
        <w:ind w:firstLine="480"/>
        <w:jc w:val="both"/>
      </w:pPr>
      <w:r>
        <w:rPr>
          <w:rFonts w:ascii="Times New Roman" w:hAnsi="Times New Roman" w:eastAsia="方正仿宋_GBK"/>
          <w:b w:val="0"/>
          <w:sz w:val="24"/>
        </w:rPr>
        <w:t xml:space="preserve">对跨站联络分别枚举不使用、正向及反向转接，求各方向组合的最大可转负荷。每条馈线转出量不超过其负荷，转入量不超过受端余量。共享同一馈线的联络共同使用该端能力预算。</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sSub>
                        <m:e>
                          <m:r>
                            <m:t>Q</m:t>
                          </m:r>
                        </m:e>
                        <m:sub>
                          <m:r>
                            <m:rPr>
                              <m:sty m:val="p"/>
                            </m:rPr>
                            <m:t>s</m:t>
                          </m:r>
                          <m:r>
                            <m:rPr>
                              <m:sty m:val="p"/>
                            </m:rPr>
                            <m:t>a</m:t>
                          </m:r>
                          <m:r>
                            <m:rPr>
                              <m:sty m:val="p"/>
                            </m:rPr>
                            <m:t>m</m:t>
                          </m:r>
                          <m:r>
                            <m:rPr>
                              <m:sty m:val="p"/>
                            </m:rPr>
                            <m:t>p</m:t>
                          </m:r>
                          <m:r>
                            <m:rPr>
                              <m:sty m:val="p"/>
                            </m:rPr>
                            <m:t>l</m:t>
                          </m:r>
                          <m:r>
                            <m:rPr>
                              <m:sty m:val="p"/>
                            </m:rPr>
                            <m:t>e</m:t>
                          </m:r>
                        </m:sub>
                      </m:sSub>
                    </m:e>
                    <m:e>
                      <m:r>
                        <m:t>=</m:t>
                      </m:r>
                      <m:r>
                        <m:rPr>
                          <m:nor/>
                          <m:sty m:val="p"/>
                        </m:rPr>
                        <m:t>max</m:t>
                      </m:r>
                      <m:nary>
                        <m:naryPr>
                          <m:chr m:val="∑"/>
                          <m:limLoc m:val="undOvr"/>
                          <m:subHide m:val="0"/>
                          <m:supHide m:val="1"/>
                        </m:naryPr>
                        <m:sub>
                          <m:r>
                            <m:t>(</m:t>
                          </m:r>
                          <m:r>
                            <m:t>f</m:t>
                          </m:r>
                          <m:r>
                            <m:t>,</m:t>
                          </m:r>
                          <m:r>
                            <m:t>h</m:t>
                          </m:r>
                          <m:r>
                            <m:t>)</m:t>
                          </m:r>
                          <m:r>
                            <m:t>∈</m:t>
                          </m:r>
                          <m:r>
                            <m:rPr>
                              <m:sty m:val="p"/>
                              <m:scr m:val="script"/>
                            </m:rPr>
                            <m:t>E</m:t>
                          </m:r>
                        </m:sub>
                        <m:sup>
                          <m:r>
                            <m:t>​</m:t>
                          </m:r>
                        </m:sup>
                        <m:e>
                          <m:sSub>
                            <m:e>
                              <m:r>
                                <m:t>q</m:t>
                              </m:r>
                            </m:e>
                            <m:sub>
                              <m:r>
                                <m:t>f</m:t>
                              </m:r>
                              <m:r>
                                <m:t>h</m:t>
                              </m:r>
                            </m:sub>
                          </m:sSub>
                        </m:e>
                      </m:nary>
                    </m:e>
                  </m:mr>
                  <m:mr>
                    <m:e/>
                    <m:e>
                      <m:nary>
                        <m:naryPr>
                          <m:chr m:val="∑"/>
                          <m:limLoc m:val="undOvr"/>
                          <m:subHide m:val="0"/>
                          <m:supHide m:val="1"/>
                        </m:naryPr>
                        <m:sub>
                          <m:r>
                            <m:t>h</m:t>
                          </m:r>
                        </m:sub>
                        <m:sup>
                          <m:r>
                            <m:t>​</m:t>
                          </m:r>
                        </m:sup>
                        <m:e>
                          <m:sSub>
                            <m:e>
                              <m:r>
                                <m:t>q</m:t>
                              </m:r>
                            </m:e>
                            <m:sub>
                              <m:r>
                                <m:t>f</m:t>
                              </m:r>
                              <m:r>
                                <m:t>h</m:t>
                              </m:r>
                            </m:sub>
                          </m:sSub>
                        </m:e>
                      </m:nary>
                      <m:r>
                        <m:t>≤</m:t>
                      </m:r>
                      <m:sSub>
                        <m:e>
                          <m:r>
                            <m:t>P</m:t>
                          </m:r>
                        </m:e>
                        <m:sub>
                          <m:r>
                            <m:t>f</m:t>
                          </m:r>
                        </m:sub>
                      </m:sSub>
                    </m:e>
                  </m:mr>
                  <m:mr>
                    <m:e/>
                    <m:e>
                      <m:nary>
                        <m:naryPr>
                          <m:chr m:val="∑"/>
                          <m:limLoc m:val="undOvr"/>
                          <m:subHide m:val="0"/>
                          <m:supHide m:val="1"/>
                        </m:naryPr>
                        <m:sub>
                          <m:r>
                            <m:t>f</m:t>
                          </m:r>
                        </m:sub>
                        <m:sup>
                          <m:r>
                            <m:t>​</m:t>
                          </m:r>
                        </m:sup>
                        <m:e>
                          <m:sSub>
                            <m:e>
                              <m:r>
                                <m:t>q</m:t>
                              </m:r>
                            </m:e>
                            <m:sub>
                              <m:r>
                                <m:t>f</m:t>
                              </m:r>
                              <m:r>
                                <m:t>h</m:t>
                              </m:r>
                            </m:sub>
                          </m:sSub>
                        </m:e>
                      </m:nary>
                      <m:r>
                        <m:t>≤</m:t>
                      </m:r>
                      <m:sSub>
                        <m:e>
                          <m:r>
                            <m:t>H</m:t>
                          </m:r>
                        </m:e>
                        <m:sub>
                          <m:r>
                            <m:t>h</m:t>
                          </m:r>
                        </m:sub>
                      </m:sSub>
                    </m:e>
                  </m:mr>
                  <m:mr>
                    <m:e/>
                    <m:e>
                      <m:sSub>
                        <m:e>
                          <m:r>
                            <m:t>q</m:t>
                          </m:r>
                        </m:e>
                        <m:sub>
                          <m:r>
                            <m:t>f</m:t>
                          </m:r>
                          <m:r>
                            <m:t>h</m:t>
                          </m:r>
                        </m:sub>
                      </m:sSub>
                      <m:r>
                        <m:t>≥</m:t>
                      </m:r>
                      <m:r>
                        <m:t>0</m:t>
                      </m:r>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（5-5）</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r>
          <m:rPr>
            <m:sty m:val="p"/>
            <m:scr m:val="script"/>
          </m:rPr>
          <m:t>E</m:t>
        </m:r>
      </m:oMath>
      <w:r>
        <w:rPr>
          <w:rFonts w:ascii="Times New Roman" w:hAnsi="Times New Roman" w:eastAsia="方正仿宋_GBK"/>
          <w:b w:val="0"/>
          <w:sz w:val="24"/>
        </w:rPr>
        <w:t xml:space="preserve">为当前方向组合下的跨站联络集合，</w:t>
      </w:r>
      <m:oMath>
        <m:sSub>
          <m:e>
            <m:r>
              <m:t>q</m:t>
            </m:r>
          </m:e>
          <m:sub>
            <m:r>
              <m:t>f</m:t>
            </m:r>
            <m:r>
              <m:t>h</m:t>
            </m:r>
          </m:sub>
        </m:sSub>
      </m:oMath>
      <w:r>
        <w:rPr>
          <w:rFonts w:ascii="Times New Roman" w:hAnsi="Times New Roman" w:eastAsia="方正仿宋_GBK"/>
          <w:b w:val="0"/>
          <w:sz w:val="24"/>
        </w:rPr>
        <w:t xml:space="preserve">为由馈线</w:t>
      </w:r>
      <m:oMath>
        <m:r>
          <m:t>f</m:t>
        </m:r>
      </m:oMath>
      <w:r>
        <w:rPr>
          <w:rFonts w:ascii="Times New Roman" w:hAnsi="Times New Roman" w:eastAsia="方正仿宋_GBK"/>
          <w:b w:val="0"/>
          <w:sz w:val="24"/>
        </w:rPr>
        <w:t xml:space="preserve">向馈线</w:t>
      </w:r>
      <m:oMath>
        <m:r>
          <m:t>h</m:t>
        </m:r>
      </m:oMath>
      <w:r>
        <w:rPr>
          <w:rFonts w:ascii="Times New Roman" w:hAnsi="Times New Roman" w:eastAsia="方正仿宋_GBK"/>
          <w:b w:val="0"/>
          <w:sz w:val="24"/>
        </w:rPr>
        <w:t xml:space="preserve">转接的负荷，单位MW；</w:t>
      </w:r>
      <m:oMath>
        <m:sSub>
          <m:e>
            <m:r>
              <m:t>Q</m:t>
            </m:r>
          </m:e>
          <m:sub>
            <m:r>
              <m:rPr>
                <m:sty m:val="p"/>
              </m:rPr>
              <m:t>s</m:t>
            </m:r>
            <m:r>
              <m:rPr>
                <m:sty m:val="p"/>
              </m:rPr>
              <m:t>a</m:t>
            </m:r>
            <m:r>
              <m:rPr>
                <m:sty m:val="p"/>
              </m:rPr>
              <m:t>m</m:t>
            </m:r>
            <m:r>
              <m:rPr>
                <m:sty m:val="p"/>
              </m:rPr>
              <m:t>p</m:t>
            </m:r>
            <m:r>
              <m:rPr>
                <m:sty m:val="p"/>
              </m:rPr>
              <m:t>l</m:t>
            </m:r>
            <m:r>
              <m:rPr>
                <m:sty m:val="p"/>
              </m:rPr>
              <m:t>e</m:t>
            </m:r>
          </m:sub>
        </m:sSub>
      </m:oMath>
      <w:r>
        <w:rPr>
          <w:rFonts w:ascii="Times New Roman" w:hAnsi="Times New Roman" w:eastAsia="方正仿宋_GBK"/>
          <w:b w:val="0"/>
          <w:sz w:val="24"/>
        </w:rPr>
        <w:t xml:space="preserve">为在共享预算内的样本最大可转负荷。该筛查得到9.98 MW，六馈线负荷合计35.29 MW。</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r>
                      <m:t>ρ</m:t>
                    </m:r>
                  </m:e>
                  <m:sub>
                    <m:r>
                      <m:rPr>
                        <m:sty m:val="p"/>
                      </m:rPr>
                      <m:t>P</m:t>
                    </m:r>
                    <m:r>
                      <m:rPr>
                        <m:sty m:val="p"/>
                      </m:rPr>
                      <m:t>i</m:t>
                    </m:r>
                    <m:r>
                      <m:rPr>
                        <m:sty m:val="p"/>
                      </m:rPr>
                      <m:t>z</m:t>
                    </m:r>
                    <m:r>
                      <m:rPr>
                        <m:sty m:val="p"/>
                      </m:rPr>
                      <m:t>h</m:t>
                    </m:r>
                    <m:r>
                      <m:rPr>
                        <m:sty m:val="p"/>
                      </m:rPr>
                      <m:t>o</m:t>
                    </m:r>
                    <m:r>
                      <m:rPr>
                        <m:sty m:val="p"/>
                      </m:rPr>
                      <m:t>u</m:t>
                    </m:r>
                    <m:r>
                      <m:t>,</m:t>
                    </m:r>
                    <m:r>
                      <m:t>0</m:t>
                    </m:r>
                  </m:sub>
                </m:sSub>
                <m:r>
                  <m:t>=</m:t>
                </m:r>
                <m:f>
                  <m:fPr>
                    <m:type m:val="bar"/>
                  </m:fPr>
                  <m:num>
                    <m:sSub>
                      <m:e>
                        <m:r>
                          <m:t>Q</m:t>
                        </m:r>
                      </m:e>
                      <m:sub>
                        <m:r>
                          <m:rPr>
                            <m:sty m:val="p"/>
                          </m:rPr>
                          <m:t>s</m:t>
                        </m:r>
                        <m:r>
                          <m:rPr>
                            <m:sty m:val="p"/>
                          </m:rPr>
                          <m:t>a</m:t>
                        </m:r>
                        <m:r>
                          <m:rPr>
                            <m:sty m:val="p"/>
                          </m:rPr>
                          <m:t>m</m:t>
                        </m:r>
                        <m:r>
                          <m:rPr>
                            <m:sty m:val="p"/>
                          </m:rPr>
                          <m:t>p</m:t>
                        </m:r>
                        <m:r>
                          <m:rPr>
                            <m:sty m:val="p"/>
                          </m:rPr>
                          <m:t>l</m:t>
                        </m:r>
                        <m:r>
                          <m:rPr>
                            <m:sty m:val="p"/>
                          </m:rPr>
                          <m:t>e</m:t>
                        </m:r>
                      </m:sub>
                    </m:sSub>
                  </m:num>
                  <m:den>
                    <m:nary>
                      <m:naryPr>
                        <m:chr m:val="∑"/>
                        <m:limLoc m:val="undOvr"/>
                        <m:subHide m:val="0"/>
                        <m:supHide m:val="1"/>
                      </m:naryPr>
                      <m:sub>
                        <m:r>
                          <m:t>f</m:t>
                        </m:r>
                      </m:sub>
                      <m:sup>
                        <m:r>
                          <m:t>​</m:t>
                        </m:r>
                      </m:sup>
                      <m:e>
                        <m:sSub>
                          <m:e>
                            <m:r>
                              <m:t>P</m:t>
                            </m:r>
                          </m:e>
                          <m:sub>
                            <m:r>
                              <m:t>f</m:t>
                            </m:r>
                          </m:sub>
                        </m:sSub>
                      </m:e>
                    </m:nary>
                  </m:den>
                </m:f>
                <m:r>
                  <m:t>≈</m:t>
                </m:r>
                <m:r>
                  <m:t>28.29</m:t>
                </m:r>
                <m:r>
                  <m:t>%</m:t>
                </m:r>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（5-6）</w:t>
            </w:r>
          </w:p>
        </w:tc>
      </w:tr>
    </w:tbl>
    <w:p>
      <w:pPr>
        <w:pStyle w:val="FirstParagraph"/>
        <w:widowControl/>
        <w:spacing w:line="300" w:lineRule="auto" w:before="0" w:after="0"/>
        <w:ind w:firstLine="480"/>
        <w:jc w:val="both"/>
      </w:pPr>
      <m:oMath>
        <m:sSub>
          <m:e>
            <m:r>
              <m:t>ρ</m:t>
            </m:r>
          </m:e>
          <m:sub>
            <m:r>
              <m:rPr>
                <m:sty m:val="p"/>
              </m:rPr>
              <m:t>P</m:t>
            </m:r>
            <m:r>
              <m:rPr>
                <m:sty m:val="p"/>
              </m:rPr>
              <m:t>i</m:t>
            </m:r>
            <m:r>
              <m:rPr>
                <m:sty m:val="p"/>
              </m:rPr>
              <m:t>z</m:t>
            </m:r>
            <m:r>
              <m:rPr>
                <m:sty m:val="p"/>
              </m:rPr>
              <m:t>h</m:t>
            </m:r>
            <m:r>
              <m:rPr>
                <m:sty m:val="p"/>
              </m:rPr>
              <m:t>o</m:t>
            </m:r>
            <m:r>
              <m:rPr>
                <m:sty m:val="p"/>
              </m:rPr>
              <m:t>u</m:t>
            </m:r>
            <m:r>
              <m:t>,</m:t>
            </m:r>
            <m:r>
              <m:t>0</m:t>
            </m:r>
          </m:sub>
        </m:sSub>
      </m:oMath>
      <w:r>
        <w:rPr>
          <w:rFonts w:ascii="Times New Roman" w:hAnsi="Times New Roman" w:eastAsia="方正仿宋_GBK"/>
          <w:b w:val="0"/>
          <w:sz w:val="24"/>
        </w:rPr>
        <w:t xml:space="preserve">为邳州初始站间转供率。本研究将局部测算比例统一外推到邳州各仿真站，形成县域内部能力配置参数。市区50%为研究假定。既有能力利用的新增建设投资计为零，送端可转负荷及受端主变、储能能力共同决定实际使用量。</w:t>
      </w:r>
    </w:p>
    <w:p>
      <w:pPr>
        <w:pStyle w:val="5"/>
        <w:keepNext/>
        <w:numPr>
          <w:numId w:val="0"/>
        </w:numPr>
        <w:spacing w:line="360" w:lineRule="auto" w:before="160" w:after="120"/>
        <w:ind w:firstLine="0"/>
      </w:pPr>
      <w:bookmarkStart w:id="170" w:name="新建10-kv联络提升转供率"/>
      <w:r>
        <w:rPr>
          <w:rFonts w:ascii="Times New Roman" w:hAnsi="Times New Roman" w:eastAsia="方正仿宋_GBK"/>
          <w:b/>
          <w:sz w:val="26"/>
        </w:rPr>
        <w:t xml:space="preserve">5.2.3 新建10 kV联络提升转供率</w:t>
      </w:r>
      <w:bookmarkEnd w:id="170"/>
    </w:p>
    <w:p>
      <w:pPr>
        <w:pStyle w:val="FirstParagraph"/>
        <w:widowControl/>
        <w:spacing w:line="300" w:lineRule="auto" w:before="0" w:after="0"/>
        <w:ind w:firstLine="480"/>
        <w:jc w:val="both"/>
      </w:pPr>
      <w:r>
        <w:rPr>
          <w:rFonts w:ascii="Times New Roman" w:hAnsi="Times New Roman" w:eastAsia="方正仿宋_GBK"/>
          <w:b w:val="0"/>
          <w:sz w:val="24"/>
        </w:rPr>
        <w:t xml:space="preserve">既有能力不足时，新增独立联络项目提高可转负荷预算。每个项目采用邳州局部可切换负荷区段标定的7.49 MW能力增量，参考投资按线路类型分别为124.80万元和499.20万元。区县内任意两个不同站均可作为新增等效项目端点，项目在两端关联、建设投资计一次[87]。</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Sup>
                  <m:e>
                    <m:r>
                      <m:t>Q</m:t>
                    </m:r>
                  </m:e>
                  <m:sub>
                    <m:r>
                      <m:t>i</m:t>
                    </m:r>
                    <m:r>
                      <m:t>,</m:t>
                    </m:r>
                    <m:r>
                      <m:t>y</m:t>
                    </m:r>
                  </m:sub>
                  <m:sup>
                    <m:r>
                      <m:rPr>
                        <m:sty m:val="p"/>
                      </m:rPr>
                      <m:t>c</m:t>
                    </m:r>
                    <m:r>
                      <m:rPr>
                        <m:sty m:val="p"/>
                      </m:rPr>
                      <m:t>a</m:t>
                    </m:r>
                    <m:r>
                      <m:rPr>
                        <m:sty m:val="p"/>
                      </m:rPr>
                      <m:t>p</m:t>
                    </m:r>
                  </m:sup>
                </m:sSubSup>
                <m:r>
                  <m:t>=</m:t>
                </m:r>
                <m:r>
                  <m:rPr>
                    <m:nor/>
                    <m:sty m:val="p"/>
                  </m:rPr>
                  <m:t>min</m:t>
                </m:r>
                <m:d>
                  <m:dPr>
                    <m:begChr m:val="("/>
                    <m:endChr m:val=")"/>
                    <m:grow/>
                  </m:dPr>
                  <m:e>
                    <m:sSubSup>
                      <m:e>
                        <m:r>
                          <m:t>ρ</m:t>
                        </m:r>
                      </m:e>
                      <m:sub>
                        <m:r>
                          <m:t>c</m:t>
                        </m:r>
                      </m:sub>
                      <m:sup>
                        <m:r>
                          <m:rPr>
                            <m:nor/>
                            <m:sty m:val="p"/>
                          </m:rPr>
                          <m:t>max</m:t>
                        </m:r>
                      </m:sup>
                    </m:sSubSup>
                    <m:sSubSup>
                      <m:e>
                        <m:r>
                          <m:t>L</m:t>
                        </m:r>
                      </m:e>
                      <m:sub>
                        <m:r>
                          <m:t>i</m:t>
                        </m:r>
                        <m:r>
                          <m:t>,</m:t>
                        </m:r>
                        <m:r>
                          <m:t>y</m:t>
                        </m:r>
                      </m:sub>
                      <m:sup>
                        <m:r>
                          <m:t>+</m:t>
                        </m:r>
                      </m:sup>
                    </m:sSubSup>
                    <m:r>
                      <m:t>,</m:t>
                    </m:r>
                    <m:sSub>
                      <m:e>
                        <m:r>
                          <m:t>ρ</m:t>
                        </m:r>
                      </m:e>
                      <m:sub>
                        <m:r>
                          <m:t>c</m:t>
                        </m:r>
                        <m:r>
                          <m:t>,</m:t>
                        </m:r>
                        <m:r>
                          <m:t>0</m:t>
                        </m:r>
                      </m:sub>
                    </m:sSub>
                    <m:sSubSup>
                      <m:e>
                        <m:r>
                          <m:t>L</m:t>
                        </m:r>
                      </m:e>
                      <m:sub>
                        <m:r>
                          <m:t>i</m:t>
                        </m:r>
                        <m:r>
                          <m:t>,</m:t>
                        </m:r>
                        <m:r>
                          <m:t>y</m:t>
                        </m:r>
                      </m:sub>
                      <m:sup>
                        <m:r>
                          <m:t>+</m:t>
                        </m:r>
                      </m:sup>
                    </m:sSubSup>
                    <m:r>
                      <m:t>+</m:t>
                    </m:r>
                    <m:sSub>
                      <m:e>
                        <m:r>
                          <m:t>m</m:t>
                        </m:r>
                      </m:e>
                      <m:sub>
                        <m:r>
                          <m:t>i</m:t>
                        </m:r>
                        <m:r>
                          <m:t>,</m:t>
                        </m:r>
                        <m:r>
                          <m:t>y</m:t>
                        </m:r>
                      </m:sub>
                    </m:sSub>
                    <m:r>
                      <m:t>Δ</m:t>
                    </m:r>
                    <m:r>
                      <m:t>Q</m:t>
                    </m:r>
                  </m:e>
                </m:d>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（5-7）</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Sup>
          <m:e>
            <m:r>
              <m:t>Q</m:t>
            </m:r>
          </m:e>
          <m:sub>
            <m:r>
              <m:t>i</m:t>
            </m:r>
            <m:r>
              <m:t>,</m:t>
            </m:r>
            <m:r>
              <m:t>y</m:t>
            </m:r>
          </m:sub>
          <m:sup>
            <m:r>
              <m:rPr>
                <m:sty m:val="p"/>
              </m:rPr>
              <m:t>c</m:t>
            </m:r>
            <m:r>
              <m:rPr>
                <m:sty m:val="p"/>
              </m:rPr>
              <m:t>a</m:t>
            </m:r>
            <m:r>
              <m:rPr>
                <m:sty m:val="p"/>
              </m:rPr>
              <m:t>p</m:t>
            </m:r>
          </m:sup>
        </m:sSubSup>
      </m:oMath>
      <w:r>
        <w:rPr>
          <w:rFonts w:ascii="Times New Roman" w:hAnsi="Times New Roman" w:eastAsia="方正仿宋_GBK"/>
          <w:b w:val="0"/>
          <w:sz w:val="24"/>
        </w:rPr>
        <w:t xml:space="preserve">为站</w:t>
      </w:r>
      <m:oMath>
        <m:r>
          <m:t>i</m:t>
        </m:r>
      </m:oMath>
      <w:r>
        <w:rPr>
          <w:rFonts w:ascii="Times New Roman" w:hAnsi="Times New Roman" w:eastAsia="方正仿宋_GBK"/>
          <w:b w:val="0"/>
          <w:sz w:val="24"/>
        </w:rPr>
        <w:t xml:space="preserve">可用转供能力，单位MW；</w:t>
      </w:r>
      <m:oMath>
        <m:sSub>
          <m:e>
            <m:r>
              <m:t>ρ</m:t>
            </m:r>
          </m:e>
          <m:sub>
            <m:r>
              <m:t>c</m:t>
            </m:r>
            <m:r>
              <m:t>,</m:t>
            </m:r>
            <m:r>
              <m:t>0</m:t>
            </m:r>
          </m:sub>
        </m:sSub>
      </m:oMath>
      <w:r>
        <w:rPr>
          <w:rFonts w:ascii="Times New Roman" w:hAnsi="Times New Roman" w:eastAsia="方正仿宋_GBK"/>
          <w:b w:val="0"/>
          <w:sz w:val="24"/>
        </w:rPr>
        <w:t xml:space="preserve">为区县初始转供率，</w:t>
      </w:r>
      <m:oMath>
        <m:sSubSup>
          <m:e>
            <m:r>
              <m:t>ρ</m:t>
            </m:r>
          </m:e>
          <m:sub>
            <m:r>
              <m:t>c</m:t>
            </m:r>
          </m:sub>
          <m:sup>
            <m:r>
              <m:rPr>
                <m:nor/>
                <m:sty m:val="p"/>
              </m:rPr>
              <m:t>max</m:t>
            </m:r>
          </m:sup>
        </m:sSubSup>
      </m:oMath>
      <w:r>
        <w:rPr>
          <w:rFonts w:ascii="Times New Roman" w:hAnsi="Times New Roman" w:eastAsia="方正仿宋_GBK"/>
          <w:b w:val="0"/>
          <w:sz w:val="24"/>
        </w:rPr>
        <w:t xml:space="preserve">为研究上限；</w:t>
      </w:r>
      <m:oMath>
        <m:sSubSup>
          <m:e>
            <m:r>
              <m:t>L</m:t>
            </m:r>
          </m:e>
          <m:sub>
            <m:r>
              <m:t>i</m:t>
            </m:r>
            <m:r>
              <m:t>,</m:t>
            </m:r>
            <m:r>
              <m:t>y</m:t>
            </m:r>
          </m:sub>
          <m:sup>
            <m:r>
              <m:t>+</m:t>
            </m:r>
          </m:sup>
        </m:sSubSup>
      </m:oMath>
      <w:r>
        <w:rPr>
          <w:rFonts w:ascii="Times New Roman" w:hAnsi="Times New Roman" w:eastAsia="方正仿宋_GBK"/>
          <w:b w:val="0"/>
          <w:sz w:val="24"/>
        </w:rPr>
        <w:t xml:space="preserve">为转接前最大正向净负荷；</w:t>
      </w:r>
      <m:oMath>
        <m:sSub>
          <m:e>
            <m:r>
              <m:t>m</m:t>
            </m:r>
          </m:e>
          <m:sub>
            <m:r>
              <m:t>i</m:t>
            </m:r>
            <m:r>
              <m:t>,</m:t>
            </m:r>
            <m:r>
              <m:t>y</m:t>
            </m:r>
          </m:sub>
        </m:sSub>
      </m:oMath>
      <w:r>
        <w:rPr>
          <w:rFonts w:ascii="Times New Roman" w:hAnsi="Times New Roman" w:eastAsia="方正仿宋_GBK"/>
          <w:b w:val="0"/>
          <w:sz w:val="24"/>
        </w:rPr>
        <w:t xml:space="preserve">为该站关联的在役新增项目数，非负整数；</w:t>
      </w:r>
      <m:oMath>
        <m:r>
          <m:t>Δ</m:t>
        </m:r>
        <m:r>
          <m:t>Q</m:t>
        </m:r>
      </m:oMath>
      <w:r>
        <w:rPr>
          <w:rFonts w:ascii="Times New Roman" w:hAnsi="Times New Roman" w:eastAsia="方正仿宋_GBK"/>
          <w:b w:val="0"/>
          <w:sz w:val="24"/>
        </w:rPr>
        <w:t xml:space="preserve">为单项目固定能力增量，取7.49 MW。邳州转供率规划目标与上限分别为30%和50%，市区分别为50%和70%。</w:t>
      </w:r>
    </w:p>
    <w:p>
      <w:pPr>
        <w:pStyle w:val="2"/>
        <w:widowControl/>
        <w:spacing w:line="300" w:lineRule="auto" w:before="0" w:after="0"/>
        <w:ind w:firstLine="480"/>
        <w:jc w:val="both"/>
      </w:pPr>
      <w:r>
        <w:rPr>
          <w:rFonts w:ascii="Times New Roman" w:hAnsi="Times New Roman" w:eastAsia="方正仿宋_GBK"/>
          <w:b w:val="0"/>
          <w:sz w:val="24"/>
        </w:rPr>
        <w:t xml:space="preserve">新增项目数量同时满足双端计数和区县新增能力的共享预算。</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nary>
                        <m:naryPr>
                          <m:chr m:val="∑"/>
                          <m:limLoc m:val="undOvr"/>
                          <m:subHide m:val="0"/>
                          <m:supHide m:val="1"/>
                        </m:naryPr>
                        <m:sub>
                          <m:r>
                            <m:t>i</m:t>
                          </m:r>
                        </m:sub>
                        <m:sup>
                          <m:r>
                            <m:t>​</m:t>
                          </m:r>
                        </m:sup>
                        <m:e>
                          <m:sSub>
                            <m:e>
                              <m:r>
                                <m:t>m</m:t>
                              </m:r>
                            </m:e>
                            <m:sub>
                              <m:r>
                                <m:t>i</m:t>
                              </m:r>
                              <m:r>
                                <m:t>,</m:t>
                              </m:r>
                              <m:r>
                                <m:t>y</m:t>
                              </m:r>
                            </m:sub>
                          </m:sSub>
                        </m:e>
                      </m:nary>
                    </m:e>
                    <m:e>
                      <m:r>
                        <m:t>=</m:t>
                      </m:r>
                      <m:r>
                        <m:t>2</m:t>
                      </m:r>
                      <m:sSub>
                        <m:e>
                          <m:r>
                            <m:t>M</m:t>
                          </m:r>
                        </m:e>
                        <m:sub>
                          <m:r>
                            <m:t>c</m:t>
                          </m:r>
                          <m:r>
                            <m:t>,</m:t>
                          </m:r>
                          <m:r>
                            <m:t>y</m:t>
                          </m:r>
                        </m:sub>
                      </m:sSub>
                    </m:e>
                  </m:mr>
                  <m:mr>
                    <m:e/>
                    <m:e>
                      <m:r>
                        <m:t>0</m:t>
                      </m:r>
                      <m:r>
                        <m:t>≤</m:t>
                      </m:r>
                      <m:sSub>
                        <m:e>
                          <m:r>
                            <m:t>m</m:t>
                          </m:r>
                        </m:e>
                        <m:sub>
                          <m:r>
                            <m:t>i</m:t>
                          </m:r>
                          <m:r>
                            <m:t>,</m:t>
                          </m:r>
                          <m:r>
                            <m:t>y</m:t>
                          </m:r>
                        </m:sub>
                      </m:sSub>
                      <m:r>
                        <m:t>≤</m:t>
                      </m:r>
                      <m:sSub>
                        <m:e>
                          <m:r>
                            <m:t>M</m:t>
                          </m:r>
                        </m:e>
                        <m:sub>
                          <m:r>
                            <m:t>c</m:t>
                          </m:r>
                          <m:r>
                            <m:t>,</m:t>
                          </m:r>
                          <m:r>
                            <m:t>y</m:t>
                          </m:r>
                        </m:sub>
                      </m:sSub>
                    </m:e>
                  </m:mr>
                  <m:mr>
                    <m:e/>
                    <m:e>
                      <m:nary>
                        <m:naryPr>
                          <m:chr m:val="∑"/>
                          <m:limLoc m:val="undOvr"/>
                          <m:subHide m:val="0"/>
                          <m:supHide m:val="1"/>
                        </m:naryPr>
                        <m:sub>
                          <m:r>
                            <m:t>i</m:t>
                          </m:r>
                        </m:sub>
                        <m:sup>
                          <m:r>
                            <m:t>​</m:t>
                          </m:r>
                        </m:sup>
                        <m:e>
                          <m:sSub>
                            <m:e>
                              <m:r>
                                <m:t>e</m:t>
                              </m:r>
                            </m:e>
                            <m:sub>
                              <m:r>
                                <m:t>i</m:t>
                              </m:r>
                              <m:r>
                                <m:t>,</m:t>
                              </m:r>
                              <m:r>
                                <m:t>y</m:t>
                              </m:r>
                            </m:sub>
                          </m:sSub>
                        </m:e>
                      </m:nary>
                      <m:r>
                        <m:t>≤</m:t>
                      </m:r>
                      <m:sSub>
                        <m:e>
                          <m:r>
                            <m:t>M</m:t>
                          </m:r>
                        </m:e>
                        <m:sub>
                          <m:r>
                            <m:t>c</m:t>
                          </m:r>
                          <m:r>
                            <m:t>,</m:t>
                          </m:r>
                          <m:r>
                            <m:t>y</m:t>
                          </m:r>
                        </m:sub>
                      </m:sSub>
                      <m:r>
                        <m:t>Δ</m:t>
                      </m:r>
                      <m:r>
                        <m:t>Q</m:t>
                      </m:r>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（5-8）</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
          <m:e>
            <m:r>
              <m:t>M</m:t>
            </m:r>
          </m:e>
          <m:sub>
            <m:r>
              <m:t>c</m:t>
            </m:r>
            <m:r>
              <m:t>,</m:t>
            </m:r>
            <m:r>
              <m:t>y</m:t>
            </m:r>
          </m:sub>
        </m:sSub>
      </m:oMath>
      <w:r>
        <w:rPr>
          <w:rFonts w:ascii="Times New Roman" w:hAnsi="Times New Roman" w:eastAsia="方正仿宋_GBK"/>
          <w:b w:val="0"/>
          <w:sz w:val="24"/>
        </w:rPr>
        <w:t xml:space="preserve">为区县在役新增项目数，</w:t>
      </w:r>
      <m:oMath>
        <m:sSub>
          <m:e>
            <m:r>
              <m:t>e</m:t>
            </m:r>
          </m:e>
          <m:sub>
            <m:r>
              <m:t>i</m:t>
            </m:r>
            <m:r>
              <m:t>,</m:t>
            </m:r>
            <m:r>
              <m:t>y</m:t>
            </m:r>
          </m:sub>
        </m:sSub>
      </m:oMath>
      <w:r>
        <w:rPr>
          <w:rFonts w:ascii="Times New Roman" w:hAnsi="Times New Roman" w:eastAsia="方正仿宋_GBK"/>
          <w:b w:val="0"/>
          <w:sz w:val="24"/>
        </w:rPr>
        <w:t xml:space="preserve">为站</w:t>
      </w:r>
      <m:oMath>
        <m:r>
          <m:t>i</m:t>
        </m:r>
      </m:oMath>
      <w:r>
        <w:rPr>
          <w:rFonts w:ascii="Times New Roman" w:hAnsi="Times New Roman" w:eastAsia="方正仿宋_GBK"/>
          <w:b w:val="0"/>
          <w:sz w:val="24"/>
        </w:rPr>
        <w:t xml:space="preserve">实际使用的新增转供能力，单位MW。单项目关联两个不同站；全区县实际使用的新增能力按每个项目一份计取。既有能力与新增能力共同满足转出需求：</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e>
                      <m:sSubSup>
                        <m:e>
                          <m:r>
                            <m:t>Q</m:t>
                          </m:r>
                        </m:e>
                        <m:sub>
                          <m:r>
                            <m:t>i</m:t>
                          </m:r>
                          <m:r>
                            <m:t>,</m:t>
                          </m:r>
                          <m:r>
                            <m:t>y</m:t>
                          </m:r>
                        </m:sub>
                        <m:sup>
                          <m:r>
                            <m:rPr>
                              <m:sty m:val="p"/>
                            </m:rPr>
                            <m:t>o</m:t>
                          </m:r>
                          <m:r>
                            <m:rPr>
                              <m:sty m:val="p"/>
                            </m:rPr>
                            <m:t>u</m:t>
                          </m:r>
                          <m:r>
                            <m:rPr>
                              <m:sty m:val="p"/>
                            </m:rPr>
                            <m:t>t</m:t>
                          </m:r>
                        </m:sup>
                      </m:sSubSup>
                      <m:r>
                        <m:t>≤</m:t>
                      </m:r>
                      <m:sSub>
                        <m:e>
                          <m:r>
                            <m:t>ρ</m:t>
                          </m:r>
                        </m:e>
                        <m:sub>
                          <m:r>
                            <m:t>c</m:t>
                          </m:r>
                          <m:r>
                            <m:t>,</m:t>
                          </m:r>
                          <m:r>
                            <m:t>0</m:t>
                          </m:r>
                        </m:sub>
                      </m:sSub>
                      <m:sSubSup>
                        <m:e>
                          <m:r>
                            <m:t>L</m:t>
                          </m:r>
                        </m:e>
                        <m:sub>
                          <m:r>
                            <m:t>i</m:t>
                          </m:r>
                          <m:r>
                            <m:t>,</m:t>
                          </m:r>
                          <m:r>
                            <m:t>y</m:t>
                          </m:r>
                        </m:sub>
                        <m:sup>
                          <m:r>
                            <m:t>+</m:t>
                          </m:r>
                        </m:sup>
                      </m:sSubSup>
                      <m:r>
                        <m:t>+</m:t>
                      </m:r>
                      <m:sSub>
                        <m:e>
                          <m:r>
                            <m:t>e</m:t>
                          </m:r>
                        </m:e>
                        <m:sub>
                          <m:r>
                            <m:t>i</m:t>
                          </m:r>
                          <m:r>
                            <m:t>,</m:t>
                          </m:r>
                          <m:r>
                            <m:t>y</m:t>
                          </m:r>
                        </m:sub>
                      </m:sSub>
                    </m:e>
                  </m:mr>
                  <m:mr>
                    <m:e/>
                    <m:e>
                      <m:sSubSup>
                        <m:e>
                          <m:r>
                            <m:t>Q</m:t>
                          </m:r>
                        </m:e>
                        <m:sub>
                          <m:r>
                            <m:t>i</m:t>
                          </m:r>
                          <m:r>
                            <m:t>,</m:t>
                          </m:r>
                          <m:r>
                            <m:t>y</m:t>
                          </m:r>
                        </m:sub>
                        <m:sup>
                          <m:r>
                            <m:rPr>
                              <m:sty m:val="p"/>
                            </m:rPr>
                            <m:t>o</m:t>
                          </m:r>
                          <m:r>
                            <m:rPr>
                              <m:sty m:val="p"/>
                            </m:rPr>
                            <m:t>u</m:t>
                          </m:r>
                          <m:r>
                            <m:rPr>
                              <m:sty m:val="p"/>
                            </m:rPr>
                            <m:t>t</m:t>
                          </m:r>
                        </m:sup>
                      </m:sSubSup>
                      <m:r>
                        <m:t>≤</m:t>
                      </m:r>
                      <m:sSubSup>
                        <m:e>
                          <m:r>
                            <m:t>Q</m:t>
                          </m:r>
                        </m:e>
                        <m:sub>
                          <m:r>
                            <m:t>i</m:t>
                          </m:r>
                          <m:r>
                            <m:t>,</m:t>
                          </m:r>
                          <m:r>
                            <m:t>y</m:t>
                          </m:r>
                        </m:sub>
                        <m:sup>
                          <m:r>
                            <m:rPr>
                              <m:sty m:val="p"/>
                            </m:rPr>
                            <m:t>c</m:t>
                          </m:r>
                          <m:r>
                            <m:rPr>
                              <m:sty m:val="p"/>
                            </m:rPr>
                            <m:t>a</m:t>
                          </m:r>
                          <m:r>
                            <m:rPr>
                              <m:sty m:val="p"/>
                            </m:rPr>
                            <m:t>p</m:t>
                          </m:r>
                        </m:sup>
                      </m:sSubSup>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（5-9）</w:t>
            </w:r>
          </w:p>
        </w:tc>
      </w:tr>
    </w:tbl>
    <w:p>
      <w:pPr>
        <w:pStyle w:val="FirstParagraph"/>
        <w:widowControl/>
        <w:spacing w:line="300" w:lineRule="auto" w:before="0" w:after="0"/>
        <w:ind w:firstLine="480"/>
        <w:jc w:val="both"/>
      </w:pPr>
      <m:oMath>
        <m:sSubSup>
          <m:e>
            <m:r>
              <m:t>Q</m:t>
            </m:r>
          </m:e>
          <m:sub>
            <m:r>
              <m:t>i</m:t>
            </m:r>
            <m:r>
              <m:t>,</m:t>
            </m:r>
            <m:r>
              <m:t>y</m:t>
            </m:r>
          </m:sub>
          <m:sup>
            <m:r>
              <m:rPr>
                <m:sty m:val="p"/>
              </m:rPr>
              <m:t>o</m:t>
            </m:r>
            <m:r>
              <m:rPr>
                <m:sty m:val="p"/>
              </m:rPr>
              <m:t>u</m:t>
            </m:r>
            <m:r>
              <m:rPr>
                <m:sty m:val="p"/>
              </m:rPr>
              <m:t>t</m:t>
            </m:r>
          </m:sup>
        </m:sSubSup>
      </m:oMath>
      <w:r>
        <w:rPr>
          <w:rFonts w:ascii="Times New Roman" w:hAnsi="Times New Roman" w:eastAsia="方正仿宋_GBK"/>
          <w:b w:val="0"/>
          <w:sz w:val="24"/>
        </w:rPr>
        <w:t xml:space="preserve">为站级转出负荷，单位MW。能力目标用于保证规划转供能力达到相应比例，实际转出量由负荷分布和费用优化确定。新增项目每区县最多30项，为本研究候选规模设定。</w:t>
      </w:r>
    </w:p>
    <w:p>
      <w:pPr>
        <w:pStyle w:val="2"/>
        <w:widowControl/>
        <w:spacing w:line="300" w:lineRule="auto" w:before="0" w:after="0"/>
        <w:ind w:firstLine="480"/>
        <w:jc w:val="both"/>
      </w:pPr>
      <w:r>
        <w:rPr>
          <w:rFonts w:ascii="Times New Roman" w:hAnsi="Times New Roman" w:eastAsia="方正仿宋_GBK"/>
          <w:b w:val="0"/>
          <w:sz w:val="24"/>
        </w:rPr>
        <w:t xml:space="preserve">等效项目先参与县域容量与负荷优化，再按站级端点数量生成项目配对。实际建设可依据规划转供率和受端需求核定线路走向、分段位置及可切换负荷区段。</w:t>
      </w:r>
    </w:p>
    <w:p>
      <w:pPr>
        <w:pStyle w:val="5"/>
        <w:keepNext/>
        <w:numPr>
          <w:numId w:val="0"/>
        </w:numPr>
        <w:spacing w:line="360" w:lineRule="auto" w:before="160" w:after="120"/>
        <w:ind w:firstLine="0"/>
      </w:pPr>
      <w:bookmarkStart w:id="171" w:name="负荷转接与容量衔接"/>
      <w:r>
        <w:rPr>
          <w:rFonts w:ascii="Times New Roman" w:hAnsi="Times New Roman" w:eastAsia="方正仿宋_GBK"/>
          <w:b/>
          <w:sz w:val="26"/>
        </w:rPr>
        <w:t xml:space="preserve">5.2.4 负荷转接与容量衔接</w:t>
      </w:r>
      <w:bookmarkEnd w:id="171"/>
    </w:p>
    <w:p>
      <w:pPr>
        <w:pStyle w:val="FirstParagraph"/>
        <w:widowControl/>
        <w:spacing w:line="300" w:lineRule="auto" w:before="0" w:after="0"/>
        <w:ind w:firstLine="480"/>
        <w:jc w:val="both"/>
      </w:pPr>
      <w:r>
        <w:rPr>
          <w:rFonts w:ascii="Times New Roman" w:hAnsi="Times New Roman" w:eastAsia="方正仿宋_GBK"/>
          <w:b w:val="0"/>
          <w:sz w:val="24"/>
        </w:rPr>
        <w:t xml:space="preserve">转接后正向负荷由原站负荷减转出、加承接得到，区县内部转出与承接总量相等。</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r>
                        <m:t>L</m:t>
                      </m:r>
                      <m:sSub>
                        <m:e>
                          <m:r>
                            <m:t>′</m:t>
                          </m:r>
                        </m:e>
                        <m:sub>
                          <m:r>
                            <m:t>i</m:t>
                          </m:r>
                          <m:r>
                            <m:t>,</m:t>
                          </m:r>
                          <m:r>
                            <m:t>y</m:t>
                          </m:r>
                        </m:sub>
                      </m:sSub>
                    </m:e>
                    <m:e>
                      <m:r>
                        <m:t>=</m:t>
                      </m:r>
                      <m:sSubSup>
                        <m:e>
                          <m:r>
                            <m:t>L</m:t>
                          </m:r>
                        </m:e>
                        <m:sub>
                          <m:r>
                            <m:t>i</m:t>
                          </m:r>
                          <m:r>
                            <m:t>,</m:t>
                          </m:r>
                          <m:r>
                            <m:t>y</m:t>
                          </m:r>
                        </m:sub>
                        <m:sup>
                          <m:r>
                            <m:t>+</m:t>
                          </m:r>
                        </m:sup>
                      </m:sSubSup>
                      <m:r>
                        <m:t>−</m:t>
                      </m:r>
                      <m:sSubSup>
                        <m:e>
                          <m:r>
                            <m:t>Q</m:t>
                          </m:r>
                        </m:e>
                        <m:sub>
                          <m:r>
                            <m:t>i</m:t>
                          </m:r>
                          <m:r>
                            <m:t>,</m:t>
                          </m:r>
                          <m:r>
                            <m:t>y</m:t>
                          </m:r>
                        </m:sub>
                        <m:sup>
                          <m:r>
                            <m:rPr>
                              <m:sty m:val="p"/>
                            </m:rPr>
                            <m:t>o</m:t>
                          </m:r>
                          <m:r>
                            <m:rPr>
                              <m:sty m:val="p"/>
                            </m:rPr>
                            <m:t>u</m:t>
                          </m:r>
                          <m:r>
                            <m:rPr>
                              <m:sty m:val="p"/>
                            </m:rPr>
                            <m:t>t</m:t>
                          </m:r>
                        </m:sup>
                      </m:sSubSup>
                      <m:r>
                        <m:t>+</m:t>
                      </m:r>
                      <m:sSubSup>
                        <m:e>
                          <m:r>
                            <m:t>Q</m:t>
                          </m:r>
                        </m:e>
                        <m:sub>
                          <m:r>
                            <m:t>i</m:t>
                          </m:r>
                          <m:r>
                            <m:t>,</m:t>
                          </m:r>
                          <m:r>
                            <m:t>y</m:t>
                          </m:r>
                        </m:sub>
                        <m:sup>
                          <m:r>
                            <m:rPr>
                              <m:sty m:val="p"/>
                            </m:rPr>
                            <m:t>i</m:t>
                          </m:r>
                          <m:r>
                            <m:rPr>
                              <m:sty m:val="p"/>
                            </m:rPr>
                            <m:t>n</m:t>
                          </m:r>
                        </m:sup>
                      </m:sSubSup>
                    </m:e>
                  </m:mr>
                  <m:mr>
                    <m:e>
                      <m:nary>
                        <m:naryPr>
                          <m:chr m:val="∑"/>
                          <m:limLoc m:val="undOvr"/>
                          <m:subHide m:val="0"/>
                          <m:supHide m:val="1"/>
                        </m:naryPr>
                        <m:sub>
                          <m:r>
                            <m:t>i</m:t>
                          </m:r>
                        </m:sub>
                        <m:sup>
                          <m:r>
                            <m:t>​</m:t>
                          </m:r>
                        </m:sup>
                        <m:e>
                          <m:sSubSup>
                            <m:e>
                              <m:r>
                                <m:t>Q</m:t>
                              </m:r>
                            </m:e>
                            <m:sub>
                              <m:r>
                                <m:t>i</m:t>
                              </m:r>
                              <m:r>
                                <m:t>,</m:t>
                              </m:r>
                              <m:r>
                                <m:t>y</m:t>
                              </m:r>
                            </m:sub>
                            <m:sup>
                              <m:r>
                                <m:rPr>
                                  <m:sty m:val="p"/>
                                </m:rPr>
                                <m:t>o</m:t>
                              </m:r>
                              <m:r>
                                <m:rPr>
                                  <m:sty m:val="p"/>
                                </m:rPr>
                                <m:t>u</m:t>
                              </m:r>
                              <m:r>
                                <m:rPr>
                                  <m:sty m:val="p"/>
                                </m:rPr>
                                <m:t>t</m:t>
                              </m:r>
                            </m:sup>
                          </m:sSubSup>
                        </m:e>
                      </m:nary>
                    </m:e>
                    <m:e>
                      <m:r>
                        <m:t>=</m:t>
                      </m:r>
                      <m:nary>
                        <m:naryPr>
                          <m:chr m:val="∑"/>
                          <m:limLoc m:val="undOvr"/>
                          <m:subHide m:val="0"/>
                          <m:supHide m:val="1"/>
                        </m:naryPr>
                        <m:sub>
                          <m:r>
                            <m:t>i</m:t>
                          </m:r>
                        </m:sub>
                        <m:sup>
                          <m:r>
                            <m:t>​</m:t>
                          </m:r>
                        </m:sup>
                        <m:e>
                          <m:sSubSup>
                            <m:e>
                              <m:r>
                                <m:t>Q</m:t>
                              </m:r>
                            </m:e>
                            <m:sub>
                              <m:r>
                                <m:t>i</m:t>
                              </m:r>
                              <m:r>
                                <m:t>,</m:t>
                              </m:r>
                              <m:r>
                                <m:t>y</m:t>
                              </m:r>
                            </m:sub>
                            <m:sup>
                              <m:r>
                                <m:rPr>
                                  <m:sty m:val="p"/>
                                </m:rPr>
                                <m:t>i</m:t>
                              </m:r>
                              <m:r>
                                <m:rPr>
                                  <m:sty m:val="p"/>
                                </m:rPr>
                                <m:t>n</m:t>
                              </m:r>
                            </m:sup>
                          </m:sSubSup>
                        </m:e>
                      </m:nary>
                    </m:e>
                  </m:mr>
                  <m:mr>
                    <m:e>
                      <m:nary>
                        <m:naryPr>
                          <m:chr m:val="∑"/>
                          <m:limLoc m:val="undOvr"/>
                          <m:subHide m:val="0"/>
                          <m:supHide m:val="1"/>
                        </m:naryPr>
                        <m:sub>
                          <m:r>
                            <m:t>i</m:t>
                          </m:r>
                        </m:sub>
                        <m:sup>
                          <m:r>
                            <m:t>​</m:t>
                          </m:r>
                        </m:sup>
                        <m:e>
                          <m:r>
                            <m:t>L</m:t>
                          </m:r>
                        </m:e>
                      </m:nary>
                      <m:sSub>
                        <m:e>
                          <m:r>
                            <m:t>′</m:t>
                          </m:r>
                        </m:e>
                        <m:sub>
                          <m:r>
                            <m:t>i</m:t>
                          </m:r>
                          <m:r>
                            <m:t>,</m:t>
                          </m:r>
                          <m:r>
                            <m:t>y</m:t>
                          </m:r>
                        </m:sub>
                      </m:sSub>
                    </m:e>
                    <m:e>
                      <m:r>
                        <m:t>=</m:t>
                      </m:r>
                      <m:nary>
                        <m:naryPr>
                          <m:chr m:val="∑"/>
                          <m:limLoc m:val="undOvr"/>
                          <m:subHide m:val="0"/>
                          <m:supHide m:val="1"/>
                        </m:naryPr>
                        <m:sub>
                          <m:r>
                            <m:t>i</m:t>
                          </m:r>
                        </m:sub>
                        <m:sup>
                          <m:r>
                            <m:t>​</m:t>
                          </m:r>
                        </m:sup>
                        <m:e>
                          <m:sSubSup>
                            <m:e>
                              <m:r>
                                <m:t>L</m:t>
                              </m:r>
                            </m:e>
                            <m:sub>
                              <m:r>
                                <m:t>i</m:t>
                              </m:r>
                              <m:r>
                                <m:t>,</m:t>
                              </m:r>
                              <m:r>
                                <m:t>y</m:t>
                              </m:r>
                            </m:sub>
                            <m:sup>
                              <m:r>
                                <m:t>+</m:t>
                              </m:r>
                            </m:sup>
                          </m:sSubSup>
                        </m:e>
                      </m:nary>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（5-10）</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r>
          <m:t>L</m:t>
        </m:r>
        <m:sSub>
          <m:e>
            <m:r>
              <m:t>′</m:t>
            </m:r>
          </m:e>
          <m:sub>
            <m:r>
              <m:t>i</m:t>
            </m:r>
            <m:r>
              <m:t>,</m:t>
            </m:r>
            <m:r>
              <m:t>y</m:t>
            </m:r>
          </m:sub>
        </m:sSub>
      </m:oMath>
      <w:r>
        <w:rPr>
          <w:rFonts w:ascii="Times New Roman" w:hAnsi="Times New Roman" w:eastAsia="方正仿宋_GBK"/>
          <w:b w:val="0"/>
          <w:sz w:val="24"/>
        </w:rPr>
        <w:t xml:space="preserve">为转接后的站级正向负荷，</w:t>
      </w:r>
      <m:oMath>
        <m:sSubSup>
          <m:e>
            <m:r>
              <m:t>Q</m:t>
            </m:r>
          </m:e>
          <m:sub>
            <m:r>
              <m:t>i</m:t>
            </m:r>
            <m:r>
              <m:t>,</m:t>
            </m:r>
            <m:r>
              <m:t>y</m:t>
            </m:r>
          </m:sub>
          <m:sup>
            <m:r>
              <m:rPr>
                <m:sty m:val="p"/>
              </m:rPr>
              <m:t>i</m:t>
            </m:r>
            <m:r>
              <m:rPr>
                <m:sty m:val="p"/>
              </m:rPr>
              <m:t>n</m:t>
            </m:r>
          </m:sup>
        </m:sSubSup>
      </m:oMath>
      <w:r>
        <w:rPr>
          <w:rFonts w:ascii="Times New Roman" w:hAnsi="Times New Roman" w:eastAsia="方正仿宋_GBK"/>
          <w:b w:val="0"/>
          <w:sz w:val="24"/>
        </w:rPr>
        <w:t xml:space="preserve">为该站承接负荷，单位MW。模型先求站级转出与承接量，再生成守恒的站间分配表。联络由此改善容量与负荷的空间匹配。</w:t>
      </w:r>
    </w:p>
    <w:p>
      <w:pPr>
        <w:pStyle w:val="2"/>
        <w:widowControl/>
        <w:spacing w:line="300" w:lineRule="auto" w:before="0" w:after="0"/>
        <w:ind w:firstLine="480"/>
        <w:jc w:val="both"/>
      </w:pPr>
      <w:r>
        <w:rPr>
          <w:rFonts w:ascii="Times New Roman" w:hAnsi="Times New Roman" w:eastAsia="方正仿宋_GBK"/>
          <w:b w:val="0"/>
          <w:sz w:val="24"/>
        </w:rPr>
        <w:t xml:space="preserve">本地电源保留在原站。用电负荷转出后，原站潜在反送压力增加，反向净负荷上界取原站最大反向净负荷加转出量。各站采用同一规则：</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Sup>
                  <m:e>
                    <m:r>
                      <m:t>L</m:t>
                    </m:r>
                  </m:e>
                  <m:sub>
                    <m:r>
                      <m:t>i</m:t>
                    </m:r>
                    <m:r>
                      <m:t>,</m:t>
                    </m:r>
                    <m:r>
                      <m:t>y</m:t>
                    </m:r>
                  </m:sub>
                  <m:sup>
                    <m:r>
                      <m:t>−</m:t>
                    </m:r>
                    <m:r>
                      <m:t>,</m:t>
                    </m:r>
                    <m:r>
                      <m:rPr>
                        <m:sty m:val="p"/>
                      </m:rPr>
                      <m:t>c</m:t>
                    </m:r>
                    <m:r>
                      <m:rPr>
                        <m:sty m:val="p"/>
                      </m:rPr>
                      <m:t>h</m:t>
                    </m:r>
                    <m:r>
                      <m:rPr>
                        <m:sty m:val="p"/>
                      </m:rPr>
                      <m:t>e</m:t>
                    </m:r>
                    <m:r>
                      <m:rPr>
                        <m:sty m:val="p"/>
                      </m:rPr>
                      <m:t>c</m:t>
                    </m:r>
                    <m:r>
                      <m:rPr>
                        <m:sty m:val="p"/>
                      </m:rPr>
                      <m:t>k</m:t>
                    </m:r>
                  </m:sup>
                </m:sSubSup>
                <m:r>
                  <m:t>=</m:t>
                </m:r>
                <m:sSubSup>
                  <m:e>
                    <m:r>
                      <m:t>L</m:t>
                    </m:r>
                  </m:e>
                  <m:sub>
                    <m:r>
                      <m:t>i</m:t>
                    </m:r>
                    <m:r>
                      <m:t>,</m:t>
                    </m:r>
                    <m:r>
                      <m:t>y</m:t>
                    </m:r>
                  </m:sub>
                  <m:sup>
                    <m:r>
                      <m:t>−</m:t>
                    </m:r>
                  </m:sup>
                </m:sSubSup>
                <m:r>
                  <m:t>+</m:t>
                </m:r>
                <m:sSubSup>
                  <m:e>
                    <m:r>
                      <m:t>Q</m:t>
                    </m:r>
                  </m:e>
                  <m:sub>
                    <m:r>
                      <m:t>i</m:t>
                    </m:r>
                    <m:r>
                      <m:t>,</m:t>
                    </m:r>
                    <m:r>
                      <m:t>y</m:t>
                    </m:r>
                  </m:sub>
                  <m:sup>
                    <m:r>
                      <m:rPr>
                        <m:sty m:val="p"/>
                      </m:rPr>
                      <m:t>o</m:t>
                    </m:r>
                    <m:r>
                      <m:rPr>
                        <m:sty m:val="p"/>
                      </m:rPr>
                      <m:t>u</m:t>
                    </m:r>
                    <m:r>
                      <m:rPr>
                        <m:sty m:val="p"/>
                      </m:rPr>
                      <m:t>t</m:t>
                    </m:r>
                  </m:sup>
                </m:sSubSup>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（5-11）</w:t>
            </w:r>
          </w:p>
        </w:tc>
      </w:tr>
    </w:tbl>
    <w:p>
      <w:pPr>
        <w:pStyle w:val="FirstParagraph"/>
        <w:widowControl/>
        <w:spacing w:line="300" w:lineRule="auto" w:before="0" w:after="0"/>
        <w:ind w:firstLine="480"/>
        <w:jc w:val="both"/>
      </w:pPr>
      <m:oMath>
        <m:sSubSup>
          <m:e>
            <m:r>
              <m:t>L</m:t>
            </m:r>
          </m:e>
          <m:sub>
            <m:r>
              <m:t>i</m:t>
            </m:r>
            <m:r>
              <m:t>,</m:t>
            </m:r>
            <m:r>
              <m:t>y</m:t>
            </m:r>
          </m:sub>
          <m:sup>
            <m:r>
              <m:t>−</m:t>
            </m:r>
          </m:sup>
        </m:sSubSup>
      </m:oMath>
      <w:r>
        <w:rPr>
          <w:rFonts w:ascii="Times New Roman" w:hAnsi="Times New Roman" w:eastAsia="方正仿宋_GBK"/>
          <w:b w:val="0"/>
          <w:sz w:val="24"/>
        </w:rPr>
        <w:t xml:space="preserve">为原站最大反向净负荷，</w:t>
      </w:r>
      <m:oMath>
        <m:sSubSup>
          <m:e>
            <m:r>
              <m:t>L</m:t>
            </m:r>
          </m:e>
          <m:sub>
            <m:r>
              <m:t>i</m:t>
            </m:r>
            <m:r>
              <m:t>,</m:t>
            </m:r>
            <m:r>
              <m:t>y</m:t>
            </m:r>
          </m:sub>
          <m:sup>
            <m:r>
              <m:t>−</m:t>
            </m:r>
            <m:r>
              <m:t>,</m:t>
            </m:r>
            <m:r>
              <m:rPr>
                <m:sty m:val="p"/>
              </m:rPr>
              <m:t>c</m:t>
            </m:r>
            <m:r>
              <m:rPr>
                <m:sty m:val="p"/>
              </m:rPr>
              <m:t>h</m:t>
            </m:r>
            <m:r>
              <m:rPr>
                <m:sty m:val="p"/>
              </m:rPr>
              <m:t>e</m:t>
            </m:r>
            <m:r>
              <m:rPr>
                <m:sty m:val="p"/>
              </m:rPr>
              <m:t>c</m:t>
            </m:r>
            <m:r>
              <m:rPr>
                <m:sty m:val="p"/>
              </m:rPr>
              <m:t>k</m:t>
            </m:r>
          </m:sup>
        </m:sSubSup>
      </m:oMath>
      <w:r>
        <w:rPr>
          <w:rFonts w:ascii="Times New Roman" w:hAnsi="Times New Roman" w:eastAsia="方正仿宋_GBK"/>
          <w:b w:val="0"/>
          <w:sz w:val="24"/>
        </w:rPr>
        <w:t xml:space="preserve">为用于校核的反向净负荷上界，单位MW。该式在缺少转接负荷同步曲线的情况下按峰值上界处理，受端增加用电仍按其正向容量约束校核。</w:t>
      </w:r>
    </w:p>
    <w:p>
      <w:pPr>
        <w:pStyle w:val="2"/>
        <w:widowControl/>
        <w:spacing w:line="300" w:lineRule="auto" w:before="0" w:after="0"/>
        <w:ind w:firstLine="480"/>
        <w:jc w:val="both"/>
      </w:pPr>
      <w:r>
        <w:rPr>
          <w:rFonts w:ascii="Times New Roman" w:hAnsi="Times New Roman" w:eastAsia="方正仿宋_GBK"/>
          <w:b w:val="0"/>
          <w:sz w:val="24"/>
        </w:rPr>
        <w:t xml:space="preserve">以两站负荷转接说明计算关系。送端原正向负荷80 MW，初始转供率28.29%，既有能力为22.63 MW；新建一个项目后，能力增至30.12 MW。若转出25 MW，新增能力实际使用2.37 MW，原站正向负荷降至55 MW；原反向净负荷10 MW时，校核上界增至35 MW。受端原负荷40 MW，承接后为65 MW，按65 MW校核正常和主变N-1容量。两站负荷合计仍为120 MW，架空为主情景的新建项目投资124.80万元，计取一次。</w:t>
      </w:r>
    </w:p>
    <w:p>
      <w:bookmarkStart w:id="1495" w:name="h495"/>
      <w:pPr>
        <w:pStyle w:val="4"/>
        <w:keepNext/>
        <w:numPr>
          <w:numId w:val="0"/>
        </w:numPr>
        <w:spacing w:line="360" w:lineRule="auto" w:before="160" w:after="120"/>
        <w:ind w:firstLine="0"/>
      </w:pPr>
      <w:bookmarkStart w:id="172" w:name="约束条件与求解流程"/>
      <w:r>
        <w:rPr>
          <w:rFonts w:ascii="Times New Roman" w:hAnsi="Times New Roman" w:eastAsia="方正仿宋_GBK"/>
          <w:b/>
          <w:sz w:val="32"/>
        </w:rPr>
        <w:t xml:space="preserve">5.3 约束条件与求解流程</w:t>
      </w:r>
      <w:bookmarkEnd w:id="172"/>
      <w:bookmarkEnd w:id="1495"/>
    </w:p>
    <w:p>
      <w:pPr>
        <w:pStyle w:val="5"/>
        <w:keepNext/>
        <w:numPr>
          <w:numId w:val="0"/>
        </w:numPr>
        <w:spacing w:line="360" w:lineRule="auto" w:before="160" w:after="120"/>
        <w:ind w:firstLine="0"/>
      </w:pPr>
      <w:bookmarkStart w:id="173" w:name="正常运行和主变n-1"/>
      <w:r>
        <w:rPr>
          <w:rFonts w:ascii="Times New Roman" w:hAnsi="Times New Roman" w:eastAsia="方正仿宋_GBK"/>
          <w:b/>
          <w:sz w:val="26"/>
        </w:rPr>
        <w:t xml:space="preserve">5.3.1 正常运行和主变N-1</w:t>
      </w:r>
      <w:bookmarkEnd w:id="173"/>
    </w:p>
    <w:p>
      <w:pPr>
        <w:pStyle w:val="FirstParagraph"/>
        <w:widowControl/>
        <w:spacing w:line="300" w:lineRule="auto" w:before="0" w:after="0"/>
        <w:ind w:firstLine="480"/>
        <w:jc w:val="both"/>
      </w:pPr>
      <w:r>
        <w:rPr>
          <w:rFonts w:ascii="Times New Roman" w:hAnsi="Times New Roman" w:eastAsia="方正仿宋_GBK"/>
          <w:b w:val="0"/>
          <w:sz w:val="24"/>
        </w:rPr>
        <w:t xml:space="preserve">主变容量按0.95功率因数折算为有功供电能力。正常运行分别校核正向和反向需求；主变N-1时，以剩余主变和储能支撑满足全部转接后负荷。</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r>
                        <m:t>0.95</m:t>
                      </m:r>
                      <m:sSub>
                        <m:e>
                          <m:r>
                            <m:t>S</m:t>
                          </m:r>
                        </m:e>
                        <m:sub>
                          <m:r>
                            <m:t>i</m:t>
                          </m:r>
                          <m:r>
                            <m:t>,</m:t>
                          </m:r>
                          <m:r>
                            <m:t>y</m:t>
                          </m:r>
                        </m:sub>
                      </m:sSub>
                      <m:r>
                        <m:t>+</m:t>
                      </m:r>
                      <m:sSubSup>
                        <m:e>
                          <m:r>
                            <m:t>P</m:t>
                          </m:r>
                        </m:e>
                        <m:sub>
                          <m:r>
                            <m:t>B</m:t>
                          </m:r>
                          <m:r>
                            <m:t>,</m:t>
                          </m:r>
                          <m:r>
                            <m:t>i</m:t>
                          </m:r>
                          <m:r>
                            <m:t>,</m:t>
                          </m:r>
                          <m:r>
                            <m:t>y</m:t>
                          </m:r>
                        </m:sub>
                        <m:sup>
                          <m:r>
                            <m:t>+</m:t>
                          </m:r>
                        </m:sup>
                      </m:sSubSup>
                    </m:e>
                    <m:e>
                      <m:r>
                        <m:t>≥</m:t>
                      </m:r>
                      <m:r>
                        <m:t>L</m:t>
                      </m:r>
                      <m:sSub>
                        <m:e>
                          <m:r>
                            <m:t>′</m:t>
                          </m:r>
                        </m:e>
                        <m:sub>
                          <m:r>
                            <m:t>i</m:t>
                          </m:r>
                          <m:r>
                            <m:t>,</m:t>
                          </m:r>
                          <m:r>
                            <m:t>y</m:t>
                          </m:r>
                        </m:sub>
                      </m:sSub>
                      <m:r>
                        <m:t>,</m:t>
                      </m:r>
                    </m:e>
                  </m:mr>
                  <m:mr>
                    <m:e>
                      <m:r>
                        <m:t>0.95</m:t>
                      </m:r>
                      <m:sSub>
                        <m:e>
                          <m:r>
                            <m:t>S</m:t>
                          </m:r>
                        </m:e>
                        <m:sub>
                          <m:r>
                            <m:t>i</m:t>
                          </m:r>
                          <m:r>
                            <m:t>,</m:t>
                          </m:r>
                          <m:r>
                            <m:t>y</m:t>
                          </m:r>
                        </m:sub>
                      </m:sSub>
                      <m:r>
                        <m:t>+</m:t>
                      </m:r>
                      <m:sSubSup>
                        <m:e>
                          <m:r>
                            <m:t>P</m:t>
                          </m:r>
                        </m:e>
                        <m:sub>
                          <m:r>
                            <m:t>B</m:t>
                          </m:r>
                          <m:r>
                            <m:t>,</m:t>
                          </m:r>
                          <m:r>
                            <m:t>i</m:t>
                          </m:r>
                          <m:r>
                            <m:t>,</m:t>
                          </m:r>
                          <m:r>
                            <m:t>y</m:t>
                          </m:r>
                        </m:sub>
                        <m:sup>
                          <m:r>
                            <m:t>−</m:t>
                          </m:r>
                        </m:sup>
                      </m:sSubSup>
                    </m:e>
                    <m:e>
                      <m:r>
                        <m:t>≥</m:t>
                      </m:r>
                      <m:sSubSup>
                        <m:e>
                          <m:r>
                            <m:t>L</m:t>
                          </m:r>
                        </m:e>
                        <m:sub>
                          <m:r>
                            <m:t>i</m:t>
                          </m:r>
                          <m:r>
                            <m:t>,</m:t>
                          </m:r>
                          <m:r>
                            <m:t>y</m:t>
                          </m:r>
                        </m:sub>
                        <m:sup>
                          <m:r>
                            <m:t>−</m:t>
                          </m:r>
                          <m:r>
                            <m:t>,</m:t>
                          </m:r>
                          <m:r>
                            <m:rPr>
                              <m:sty m:val="p"/>
                            </m:rPr>
                            <m:t>c</m:t>
                          </m:r>
                          <m:r>
                            <m:rPr>
                              <m:sty m:val="p"/>
                            </m:rPr>
                            <m:t>h</m:t>
                          </m:r>
                          <m:r>
                            <m:rPr>
                              <m:sty m:val="p"/>
                            </m:rPr>
                            <m:t>e</m:t>
                          </m:r>
                          <m:r>
                            <m:rPr>
                              <m:sty m:val="p"/>
                            </m:rPr>
                            <m:t>c</m:t>
                          </m:r>
                          <m:r>
                            <m:rPr>
                              <m:sty m:val="p"/>
                            </m:rPr>
                            <m:t>k</m:t>
                          </m:r>
                        </m:sup>
                      </m:sSubSup>
                      <m:r>
                        <m:t>,</m:t>
                      </m:r>
                    </m:e>
                  </m:mr>
                  <m:mr>
                    <m:e>
                      <m:r>
                        <m:t>0.95</m:t>
                      </m:r>
                      <m:r>
                        <m:t>(</m:t>
                      </m:r>
                      <m:sSub>
                        <m:e>
                          <m:r>
                            <m:t>S</m:t>
                          </m:r>
                        </m:e>
                        <m:sub>
                          <m:r>
                            <m:t>i</m:t>
                          </m:r>
                          <m:r>
                            <m:t>,</m:t>
                          </m:r>
                          <m:r>
                            <m:t>y</m:t>
                          </m:r>
                        </m:sub>
                      </m:sSub>
                      <m:r>
                        <m:t>−</m:t>
                      </m:r>
                      <m:sSub>
                        <m:e>
                          <m:r>
                            <m:t>S</m:t>
                          </m:r>
                        </m:e>
                        <m:sub>
                          <m:r>
                            <m:t>i</m:t>
                          </m:r>
                          <m:r>
                            <m:t>,</m:t>
                          </m:r>
                          <m:r>
                            <m:t>k</m:t>
                          </m:r>
                          <m:r>
                            <m:t>,</m:t>
                          </m:r>
                          <m:r>
                            <m:t>y</m:t>
                          </m:r>
                        </m:sub>
                      </m:sSub>
                      <m:r>
                        <m:t>)</m:t>
                      </m:r>
                      <m:r>
                        <m:t>+</m:t>
                      </m:r>
                      <m:sSubSup>
                        <m:e>
                          <m:r>
                            <m:t>P</m:t>
                          </m:r>
                        </m:e>
                        <m:sub>
                          <m:r>
                            <m:t>B</m:t>
                          </m:r>
                          <m:r>
                            <m:t>,</m:t>
                          </m:r>
                          <m:r>
                            <m:t>i</m:t>
                          </m:r>
                          <m:r>
                            <m:t>,</m:t>
                          </m:r>
                          <m:r>
                            <m:t>y</m:t>
                          </m:r>
                        </m:sub>
                        <m:sup>
                          <m:r>
                            <m:t>+</m:t>
                          </m:r>
                        </m:sup>
                      </m:sSubSup>
                    </m:e>
                    <m:e>
                      <m:r>
                        <m:t>≥</m:t>
                      </m:r>
                      <m:r>
                        <m:t>L</m:t>
                      </m:r>
                      <m:sSub>
                        <m:e>
                          <m:r>
                            <m:t>′</m:t>
                          </m:r>
                        </m:e>
                        <m:sub>
                          <m:r>
                            <m:t>i</m:t>
                          </m:r>
                          <m:r>
                            <m:t>,</m:t>
                          </m:r>
                          <m:r>
                            <m:t>y</m:t>
                          </m:r>
                        </m:sub>
                      </m:sSub>
                      <m:r>
                        <m:t>,</m:t>
                      </m:r>
                      <m:r>
                        <m:t> </m:t>
                      </m:r>
                      <m:r>
                        <m:t>k</m:t>
                      </m:r>
                      <m:r>
                        <m:t>∈</m:t>
                      </m:r>
                      <m:sSub>
                        <m:e>
                          <m:r>
                            <m:rPr>
                              <m:sty m:val="p"/>
                              <m:scr m:val="script"/>
                            </m:rPr>
                            <m:t>K</m:t>
                          </m:r>
                        </m:e>
                        <m:sub>
                          <m:r>
                            <m:t>i</m:t>
                          </m:r>
                          <m:r>
                            <m:t>,</m:t>
                          </m:r>
                          <m:r>
                            <m:t>y</m:t>
                          </m:r>
                        </m:sub>
                      </m:sSub>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（5-12）</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
          <m:e>
            <m:r>
              <m:rPr>
                <m:sty m:val="p"/>
                <m:scr m:val="script"/>
              </m:rPr>
              <m:t>K</m:t>
            </m:r>
          </m:e>
          <m:sub>
            <m:r>
              <m:t>i</m:t>
            </m:r>
            <m:r>
              <m:t>,</m:t>
            </m:r>
            <m:r>
              <m:t>y</m:t>
            </m:r>
          </m:sub>
        </m:sSub>
      </m:oMath>
      <w:r>
        <w:rPr>
          <w:rFonts w:ascii="Times New Roman" w:hAnsi="Times New Roman" w:eastAsia="方正仿宋_GBK"/>
          <w:b w:val="0"/>
          <w:sz w:val="24"/>
        </w:rPr>
        <w:t xml:space="preserve">为该年在役主变集合，</w:t>
      </w:r>
      <m:oMath>
        <m:sSub>
          <m:e>
            <m:r>
              <m:t>S</m:t>
            </m:r>
          </m:e>
          <m:sub>
            <m:r>
              <m:t>i</m:t>
            </m:r>
            <m:r>
              <m:t>,</m:t>
            </m:r>
            <m:r>
              <m:t>k</m:t>
            </m:r>
            <m:r>
              <m:t>,</m:t>
            </m:r>
            <m:r>
              <m:t>y</m:t>
            </m:r>
          </m:sub>
        </m:sSub>
      </m:oMath>
      <w:r>
        <w:rPr>
          <w:rFonts w:ascii="Times New Roman" w:hAnsi="Times New Roman" w:eastAsia="方正仿宋_GBK"/>
          <w:b w:val="0"/>
          <w:sz w:val="24"/>
        </w:rPr>
        <w:t xml:space="preserve">为退出主变的铭牌容量。扩建主变投运后，也进入退出校核。邳州各类别采用同一全负荷静态研究条件，市区按A类供电区域规划。导则的分类供电安全要求与本项目统一的研究校核条件分别说明[5]。正向、反向储能有效支撑功率分别按对应峰段计算，取在役储能额定功率与储能能量在该方向95%峰值持续时间内可提供功率的较小值。</w:t>
      </w:r>
    </w:p>
    <w:p>
      <w:pPr>
        <w:pStyle w:val="2"/>
        <w:widowControl/>
        <w:spacing w:line="300" w:lineRule="auto" w:before="0" w:after="0"/>
        <w:ind w:firstLine="480"/>
        <w:jc w:val="both"/>
      </w:pPr>
      <w:r>
        <w:rPr>
          <w:rFonts w:ascii="Times New Roman" w:hAnsi="Times New Roman" w:eastAsia="方正仿宋_GBK"/>
          <w:b w:val="0"/>
          <w:sz w:val="24"/>
        </w:rPr>
        <w:t xml:space="preserve">从基期向后，各台主变容量、扩建主变在役状态、储能柜数和新增联络项目数逐年非减。每年的转接功率可以随负荷与设备状态调整。所有容量选择同时满足该年容载比控制范围、转供能力预算和技术约束。</w:t>
      </w:r>
    </w:p>
    <w:p>
      <w:pPr>
        <w:pStyle w:val="5"/>
        <w:keepNext/>
        <w:numPr>
          <w:numId w:val="0"/>
        </w:numPr>
        <w:spacing w:line="360" w:lineRule="auto" w:before="160" w:after="120"/>
        <w:ind w:firstLine="0"/>
      </w:pPr>
      <w:bookmarkStart w:id="174" w:name="全寿命费用目标"/>
      <w:r>
        <w:rPr>
          <w:rFonts w:ascii="Times New Roman" w:hAnsi="Times New Roman" w:eastAsia="方正仿宋_GBK"/>
          <w:b/>
          <w:sz w:val="26"/>
        </w:rPr>
        <w:t xml:space="preserve">5.3.2 全寿命费用目标</w:t>
      </w:r>
      <w:bookmarkEnd w:id="174"/>
    </w:p>
    <w:p>
      <w:pPr>
        <w:pStyle w:val="FirstParagraph"/>
        <w:widowControl/>
        <w:spacing w:line="300" w:lineRule="auto" w:before="0" w:after="0"/>
        <w:ind w:firstLine="480"/>
        <w:jc w:val="both"/>
      </w:pPr>
      <w:r>
        <w:rPr>
          <w:rFonts w:ascii="Times New Roman" w:hAnsi="Times New Roman" w:eastAsia="方正仿宋_GBK"/>
          <w:b w:val="0"/>
          <w:sz w:val="24"/>
        </w:rPr>
        <w:t xml:space="preserve">以新增措施全寿命费用现值最小为主目标。主变替换、主变扩建、新增储能与联络项目按第四章规定的投运年份和评价期折算。</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r>
                  <m:rPr>
                    <m:nor/>
                    <m:sty m:val="p"/>
                  </m:rPr>
                  <m:t>min</m:t>
                </m:r>
                <m:r>
                  <m:t>C</m:t>
                </m:r>
                <m:r>
                  <m:t>=</m:t>
                </m:r>
                <m:nary>
                  <m:naryPr>
                    <m:chr m:val="∑"/>
                    <m:limLoc m:val="undOvr"/>
                    <m:subHide m:val="0"/>
                    <m:supHide m:val="1"/>
                  </m:naryPr>
                  <m:sub>
                    <m:r>
                      <m:t>c</m:t>
                    </m:r>
                  </m:sub>
                  <m:sup>
                    <m:r>
                      <m:t>​</m:t>
                    </m:r>
                  </m:sup>
                  <m:e>
                    <m:nary>
                      <m:naryPr>
                        <m:chr m:val="∑"/>
                        <m:limLoc m:val="undOvr"/>
                        <m:subHide m:val="0"/>
                        <m:supHide m:val="1"/>
                      </m:naryPr>
                      <m:sub>
                        <m:r>
                          <m:t>s</m:t>
                        </m:r>
                      </m:sub>
                      <m:sup>
                        <m:r>
                          <m:t>​</m:t>
                        </m:r>
                      </m:sup>
                      <m:e>
                        <m:nary>
                          <m:naryPr>
                            <m:chr m:val="∑"/>
                            <m:limLoc m:val="undOvr"/>
                            <m:subHide m:val="0"/>
                            <m:supHide m:val="1"/>
                          </m:naryPr>
                          <m:sub>
                            <m:r>
                              <m:t>y</m:t>
                            </m:r>
                          </m:sub>
                          <m:sup>
                            <m:r>
                              <m:t>​</m:t>
                            </m:r>
                          </m:sup>
                          <m:e>
                            <m:d>
                              <m:dPr>
                                <m:begChr m:val="["/>
                                <m:endChr m:val="]"/>
                                <m:grow/>
                              </m:dPr>
                              <m:e>
                                <m:sSub>
                                  <m:e>
                                    <m:r>
                                      <m:t>A</m:t>
                                    </m:r>
                                  </m:e>
                                  <m:sub>
                                    <m:r>
                                      <m:t>T</m:t>
                                    </m:r>
                                  </m:sub>
                                </m:sSub>
                                <m:r>
                                  <m:t>(</m:t>
                                </m:r>
                                <m:r>
                                  <m:t>y</m:t>
                                </m:r>
                                <m:r>
                                  <m:t>)</m:t>
                                </m:r>
                                <m:sSub>
                                  <m:e>
                                    <m:r>
                                      <m:t>I</m:t>
                                    </m:r>
                                  </m:e>
                                  <m:sub>
                                    <m:r>
                                      <m:t>T</m:t>
                                    </m:r>
                                    <m:r>
                                      <m:t>,</m:t>
                                    </m:r>
                                    <m:r>
                                      <m:t>c</m:t>
                                    </m:r>
                                    <m:r>
                                      <m:t>,</m:t>
                                    </m:r>
                                    <m:r>
                                      <m:t>s</m:t>
                                    </m:r>
                                    <m:r>
                                      <m:t>,</m:t>
                                    </m:r>
                                    <m:r>
                                      <m:t>y</m:t>
                                    </m:r>
                                  </m:sub>
                                </m:sSub>
                                <m:r>
                                  <m:t>+</m:t>
                                </m:r>
                                <m:sSub>
                                  <m:e>
                                    <m:r>
                                      <m:t>A</m:t>
                                    </m:r>
                                  </m:e>
                                  <m:sub>
                                    <m:r>
                                      <m:t>B</m:t>
                                    </m:r>
                                  </m:sub>
                                </m:sSub>
                                <m:r>
                                  <m:t>(</m:t>
                                </m:r>
                                <m:r>
                                  <m:t>y</m:t>
                                </m:r>
                                <m:r>
                                  <m:t>)</m:t>
                                </m:r>
                                <m:sSub>
                                  <m:e>
                                    <m:r>
                                      <m:t>I</m:t>
                                    </m:r>
                                  </m:e>
                                  <m:sub>
                                    <m:r>
                                      <m:t>B</m:t>
                                    </m:r>
                                    <m:r>
                                      <m:t>,</m:t>
                                    </m:r>
                                    <m:r>
                                      <m:t>c</m:t>
                                    </m:r>
                                    <m:r>
                                      <m:t>,</m:t>
                                    </m:r>
                                    <m:r>
                                      <m:t>s</m:t>
                                    </m:r>
                                    <m:r>
                                      <m:t>,</m:t>
                                    </m:r>
                                    <m:r>
                                      <m:t>y</m:t>
                                    </m:r>
                                  </m:sub>
                                </m:sSub>
                                <m:r>
                                  <m:t>+</m:t>
                                </m:r>
                                <m:sSub>
                                  <m:e>
                                    <m:r>
                                      <m:t>A</m:t>
                                    </m:r>
                                  </m:e>
                                  <m:sub>
                                    <m:r>
                                      <m:t>L</m:t>
                                    </m:r>
                                  </m:sub>
                                </m:sSub>
                                <m:r>
                                  <m:t>(</m:t>
                                </m:r>
                                <m:r>
                                  <m:t>y</m:t>
                                </m:r>
                                <m:r>
                                  <m:t>)</m:t>
                                </m:r>
                                <m:sSub>
                                  <m:e>
                                    <m:r>
                                      <m:t>I</m:t>
                                    </m:r>
                                  </m:e>
                                  <m:sub>
                                    <m:r>
                                      <m:t>L</m:t>
                                    </m:r>
                                    <m:r>
                                      <m:t>,</m:t>
                                    </m:r>
                                    <m:r>
                                      <m:t>c</m:t>
                                    </m:r>
                                    <m:r>
                                      <m:t>,</m:t>
                                    </m:r>
                                    <m:r>
                                      <m:t>s</m:t>
                                    </m:r>
                                    <m:r>
                                      <m:t>,</m:t>
                                    </m:r>
                                    <m:r>
                                      <m:t>y</m:t>
                                    </m:r>
                                  </m:sub>
                                </m:sSub>
                              </m:e>
                            </m:d>
                          </m:e>
                        </m:nary>
                      </m:e>
                    </m:nary>
                  </m:e>
                </m:nary>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（5-13）</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r>
          <m:t>C</m:t>
        </m:r>
      </m:oMath>
      <w:r>
        <w:rPr>
          <w:rFonts w:ascii="Times New Roman" w:hAnsi="Times New Roman" w:eastAsia="方正仿宋_GBK"/>
          <w:b w:val="0"/>
          <w:sz w:val="24"/>
        </w:rPr>
        <w:t xml:space="preserve">为全寿命费用现值，单位万元；</w:t>
      </w:r>
      <m:oMath>
        <m:sSub>
          <m:e>
            <m:r>
              <m:t>I</m:t>
            </m:r>
          </m:e>
          <m:sub>
            <m:r>
              <m:t>T</m:t>
            </m:r>
            <m:r>
              <m:t>,</m:t>
            </m:r>
            <m:r>
              <m:t>c</m:t>
            </m:r>
            <m:r>
              <m:t>,</m:t>
            </m:r>
            <m:r>
              <m:t>s</m:t>
            </m:r>
            <m:r>
              <m:t>,</m:t>
            </m:r>
            <m:r>
              <m:t>y</m:t>
            </m:r>
          </m:sub>
        </m:sSub>
      </m:oMath>
      <w:r>
        <w:rPr>
          <w:rFonts w:ascii="Times New Roman" w:hAnsi="Times New Roman" w:eastAsia="方正仿宋_GBK"/>
          <w:b w:val="0"/>
          <w:sz w:val="24"/>
        </w:rPr>
        <w:t xml:space="preserve">、</w:t>
      </w:r>
      <m:oMath>
        <m:sSub>
          <m:e>
            <m:r>
              <m:t>I</m:t>
            </m:r>
          </m:e>
          <m:sub>
            <m:r>
              <m:t>B</m:t>
            </m:r>
            <m:r>
              <m:t>,</m:t>
            </m:r>
            <m:r>
              <m:t>c</m:t>
            </m:r>
            <m:r>
              <m:t>,</m:t>
            </m:r>
            <m:r>
              <m:t>s</m:t>
            </m:r>
            <m:r>
              <m:t>,</m:t>
            </m:r>
            <m:r>
              <m:t>y</m:t>
            </m:r>
          </m:sub>
        </m:sSub>
      </m:oMath>
      <w:r>
        <w:rPr>
          <w:rFonts w:ascii="Times New Roman" w:hAnsi="Times New Roman" w:eastAsia="方正仿宋_GBK"/>
          <w:b w:val="0"/>
          <w:sz w:val="24"/>
        </w:rPr>
        <w:t xml:space="preserve">、</w:t>
      </w:r>
      <m:oMath>
        <m:sSub>
          <m:e>
            <m:r>
              <m:t>I</m:t>
            </m:r>
          </m:e>
          <m:sub>
            <m:r>
              <m:t>L</m:t>
            </m:r>
            <m:r>
              <m:t>,</m:t>
            </m:r>
            <m:r>
              <m:t>c</m:t>
            </m:r>
            <m:r>
              <m:t>,</m:t>
            </m:r>
            <m:r>
              <m:t>s</m:t>
            </m:r>
            <m:r>
              <m:t>,</m:t>
            </m:r>
            <m:r>
              <m:t>y</m:t>
            </m:r>
          </m:sub>
        </m:sSub>
      </m:oMath>
      <w:r>
        <w:rPr>
          <w:rFonts w:ascii="Times New Roman" w:hAnsi="Times New Roman" w:eastAsia="方正仿宋_GBK"/>
          <w:b w:val="0"/>
          <w:sz w:val="24"/>
        </w:rPr>
        <w:t xml:space="preserve">分别为当年主变、储能及新增联络初始投资；</w:t>
      </w:r>
      <m:oMath>
        <m:sSub>
          <m:e>
            <m:r>
              <m:t>A</m:t>
            </m:r>
          </m:e>
          <m:sub>
            <m:r>
              <m:t>T</m:t>
            </m:r>
          </m:sub>
        </m:sSub>
        <m:r>
          <m:t>(</m:t>
        </m:r>
        <m:r>
          <m:t>y</m:t>
        </m:r>
        <m:r>
          <m:t>)</m:t>
        </m:r>
      </m:oMath>
      <w:r>
        <w:rPr>
          <w:rFonts w:ascii="Times New Roman" w:hAnsi="Times New Roman" w:eastAsia="方正仿宋_GBK"/>
          <w:b w:val="0"/>
          <w:sz w:val="24"/>
        </w:rPr>
        <w:t xml:space="preserve">、</w:t>
      </w:r>
      <m:oMath>
        <m:sSub>
          <m:e>
            <m:r>
              <m:t>A</m:t>
            </m:r>
          </m:e>
          <m:sub>
            <m:r>
              <m:t>B</m:t>
            </m:r>
          </m:sub>
        </m:sSub>
        <m:r>
          <m:t>(</m:t>
        </m:r>
        <m:r>
          <m:t>y</m:t>
        </m:r>
        <m:r>
          <m:t>)</m:t>
        </m:r>
      </m:oMath>
      <w:r>
        <w:rPr>
          <w:rFonts w:ascii="Times New Roman" w:hAnsi="Times New Roman" w:eastAsia="方正仿宋_GBK"/>
          <w:b w:val="0"/>
          <w:sz w:val="24"/>
        </w:rPr>
        <w:t xml:space="preserve">、</w:t>
      </w:r>
      <m:oMath>
        <m:sSub>
          <m:e>
            <m:r>
              <m:t>A</m:t>
            </m:r>
          </m:e>
          <m:sub>
            <m:r>
              <m:t>L</m:t>
            </m:r>
          </m:sub>
        </m:sSub>
        <m:r>
          <m:t>(</m:t>
        </m:r>
        <m:r>
          <m:t>y</m:t>
        </m:r>
        <m:r>
          <m:t>)</m:t>
        </m:r>
      </m:oMath>
      <w:r>
        <w:rPr>
          <w:rFonts w:ascii="Times New Roman" w:hAnsi="Times New Roman" w:eastAsia="方正仿宋_GBK"/>
          <w:b w:val="0"/>
          <w:sz w:val="24"/>
        </w:rPr>
        <w:t xml:space="preserve">为对应现值因子。替换费用按新购整台容量，扩建主变按独立扩建项目，储能按新增柜数，联络按当年新增项目数计取。</w:t>
      </w:r>
    </w:p>
    <w:p>
      <w:pPr>
        <w:pStyle w:val="2"/>
        <w:widowControl/>
        <w:spacing w:line="300" w:lineRule="auto" w:before="0" w:after="0"/>
        <w:ind w:firstLine="480"/>
        <w:jc w:val="both"/>
      </w:pPr>
      <w:r>
        <w:rPr>
          <w:rFonts w:ascii="Times New Roman" w:hAnsi="Times New Roman" w:eastAsia="方正仿宋_GBK"/>
          <w:b w:val="0"/>
          <w:sz w:val="24"/>
        </w:rPr>
        <w:t xml:space="preserve">既有联络利用产生的新增建设投资为零。新建线路的正投资通过费用目标与扩容、储能共同比较。配置更多主变可能减少储能柜数和持续支撑需求；增加联络能力可能使负荷转至有余量的站点。优化据此选择满足共同约束的组合。</w:t>
      </w:r>
    </w:p>
    <w:p>
      <w:pPr>
        <w:pStyle w:val="5"/>
        <w:keepNext/>
        <w:numPr>
          <w:numId w:val="0"/>
        </w:numPr>
        <w:spacing w:line="360" w:lineRule="auto" w:before="160" w:after="120"/>
        <w:ind w:firstLine="0"/>
      </w:pPr>
      <w:bookmarkStart w:id="175" w:name="三类措施的约束寻优流程"/>
      <w:r>
        <w:rPr>
          <w:rFonts w:ascii="Times New Roman" w:hAnsi="Times New Roman" w:eastAsia="方正仿宋_GBK"/>
          <w:b/>
          <w:sz w:val="26"/>
        </w:rPr>
        <w:t xml:space="preserve">5.3.3 三类措施的约束寻优流程</w:t>
      </w:r>
      <w:bookmarkEnd w:id="175"/>
    </w:p>
    <w:p>
      <w:pPr>
        <w:pStyle w:val="FirstParagraph"/>
        <w:widowControl/>
        <w:spacing w:line="300" w:lineRule="auto" w:before="0" w:after="0"/>
        <w:ind w:firstLine="480"/>
        <w:jc w:val="both"/>
      </w:pPr>
      <w:r>
        <w:rPr>
          <w:rFonts w:ascii="Times New Roman" w:hAnsi="Times New Roman" w:eastAsia="方正仿宋_GBK"/>
          <w:b w:val="0"/>
          <w:sz w:val="24"/>
        </w:rPr>
        <w:t xml:space="preserve">分别建立邳州、市区的刚性和弹性规划方案，同一区县两种方案采用相同的容载比2.00仿真起点、负荷预测和工程价格。刚性方案按2.00上限控制容载比，弹性方案按第5.1.2节的范围寻优。两种方案均可选择主变增容、储能配置和10 kV联络，站间负荷转接限定在各区县内部。</w:t>
      </w:r>
    </w:p>
    <w:p>
      <w:pPr>
        <w:pStyle w:val="2"/>
        <w:widowControl/>
        <w:spacing w:line="300" w:lineRule="auto" w:before="0" w:after="0"/>
        <w:ind w:firstLine="480"/>
        <w:jc w:val="both"/>
      </w:pPr>
      <w:r>
        <w:rPr>
          <w:rFonts w:ascii="Times New Roman" w:hAnsi="Times New Roman" w:eastAsia="方正仿宋_GBK"/>
          <w:b w:val="0"/>
          <w:sz w:val="24"/>
        </w:rPr>
        <w:t xml:space="preserve">根据在役主变规格、扩建预留位置和后续负荷需求，设置各站允许的主变增容及扩建候选；储能按整数柜配置，结合正向、反向95%峰值持续时间计算其有效支撑功率。设备规模和投运年份共同作为规划变量，使新增容量与各年容量需求相衔接。</w:t>
      </w:r>
    </w:p>
    <w:p>
      <w:pPr>
        <w:pStyle w:val="2"/>
        <w:widowControl/>
        <w:spacing w:line="300" w:lineRule="auto" w:before="0" w:after="0"/>
        <w:ind w:firstLine="480"/>
        <w:jc w:val="both"/>
      </w:pPr>
      <w:r>
        <w:rPr>
          <w:rFonts w:ascii="Times New Roman" w:hAnsi="Times New Roman" w:eastAsia="方正仿宋_GBK"/>
          <w:b w:val="0"/>
          <w:sz w:val="24"/>
        </w:rPr>
        <w:t xml:space="preserve">10 kV联络方案同时考虑既有能力利用与新建联络。市区初始转供率按50.00%设定，邳州按馈线样本测算的28.29%设定，并应用于各自区县站群。既有能力利用按零新增建设投资计取；新增联络以区县内不同站点之间的连接为候选，通过增加项目数提升可转供能力，并计入建设费用。实际转接量由送端可转负荷、受端承接能力及联络能力共同约束。</w:t>
      </w:r>
    </w:p>
    <w:p>
      <w:pPr>
        <w:pStyle w:val="2"/>
        <w:widowControl/>
        <w:spacing w:line="300" w:lineRule="auto" w:before="0" w:after="0"/>
        <w:ind w:firstLine="480"/>
        <w:jc w:val="both"/>
      </w:pPr>
      <w:r>
        <w:rPr>
          <w:rFonts w:ascii="Times New Roman" w:hAnsi="Times New Roman" w:eastAsia="方正仿宋_GBK"/>
          <w:b w:val="0"/>
          <w:sz w:val="24"/>
        </w:rPr>
        <w:t xml:space="preserve">将主变配置、储能柜数、联络项目数与站间转接量共同纳入规划期寻优。每年均校核正常运行的正向供电、反向输送以及主变N-1后的容量需求。转出与转入负荷保持区县总量守恒，转出负荷后的原站反向压力同步校核；设备容量和在役项目逐年衔接，并满足各方案的容载比控制范围。</w:t>
      </w:r>
    </w:p>
    <w:p>
      <w:pPr>
        <w:pStyle w:val="2"/>
        <w:widowControl/>
        <w:spacing w:line="300" w:lineRule="auto" w:before="0" w:after="0"/>
        <w:ind w:firstLine="480"/>
        <w:jc w:val="both"/>
      </w:pPr>
      <w:r>
        <w:rPr>
          <w:rFonts w:ascii="Times New Roman" w:hAnsi="Times New Roman" w:eastAsia="方正仿宋_GBK"/>
          <w:b w:val="0"/>
          <w:sz w:val="24"/>
        </w:rPr>
        <w:t xml:space="preserve">对满足上述约束的配置，按第5.3.2节计算主变、储能与新建联络的全寿命费用现值，将两地区的刚性和弹性方案一并求解，以费用最小为主要目标确定规划期建设组合。主变新增容量、储能峰段支撑和站间负荷转接可以相互补充，其配置与建设时点由共同的技术约束和费用比较确定。</w:t>
      </w:r>
    </w:p>
    <w:p>
      <w:pPr>
        <w:pStyle w:val="2"/>
        <w:widowControl/>
        <w:spacing w:line="300" w:lineRule="auto" w:before="0" w:after="0"/>
        <w:ind w:firstLine="480"/>
        <w:jc w:val="both"/>
      </w:pPr>
      <w:r>
        <w:rPr>
          <w:rFonts w:ascii="Times New Roman" w:hAnsi="Times New Roman" w:eastAsia="方正仿宋_GBK"/>
          <w:b w:val="0"/>
          <w:sz w:val="24"/>
        </w:rPr>
        <w:t xml:space="preserve">本模型直接选择设备规格和整数工程数量，采用分支定界求解混合整数线性规划，容载比由所选总容量除以固定年度负荷得到。容载比约束转换为总容量上下限，不按0.05或0.10逐点枚举容载比。案例年度容量按允许主变规格的公约尺度0.50 MVA汇总，因年度负荷不同，对应的容载比间隔也不同；储能每次增加一柜，联络每次增加一个项目。这样保留设备规格形成的可行容量，避免固定比值步长跳过可实施组合。0.20用于结果的规划档位展示，与模型求解精度分别说明。</w:t>
      </w:r>
    </w:p>
    <w:p>
      <w:pPr>
        <w:pStyle w:val="2"/>
        <w:widowControl/>
        <w:spacing w:line="300" w:lineRule="auto" w:before="0" w:after="0"/>
        <w:ind w:firstLine="480"/>
        <w:jc w:val="both"/>
      </w:pPr>
      <w:r>
        <w:rPr>
          <w:rFonts w:ascii="Times New Roman" w:hAnsi="Times New Roman" w:eastAsia="方正仿宋_GBK"/>
          <w:b w:val="0"/>
          <w:sz w:val="24"/>
        </w:rPr>
        <w:t xml:space="preserve">在费用相近的可行配置中，结合弹性容量储备和负荷转接需求确定代表方案。按年度汇总主变在役容量、新增储能、联络建设及负荷转接量，计算相应容载比和全寿命费用，再比较刚性与弹性方案，形成分区县的规划建议。</w:t>
      </w:r>
    </w:p>
    <w:p>
      <w:bookmarkStart w:id="1512" w:name="h512"/>
      <w:pPr>
        <w:pStyle w:val="4"/>
        <w:keepNext/>
        <w:numPr>
          <w:numId w:val="0"/>
        </w:numPr>
        <w:spacing w:line="360" w:lineRule="auto" w:before="160" w:after="120"/>
        <w:ind w:firstLine="0"/>
      </w:pPr>
      <w:bookmarkStart w:id="176" w:name="寻优结果"/>
      <w:r>
        <w:rPr>
          <w:rFonts w:ascii="Times New Roman" w:hAnsi="Times New Roman" w:eastAsia="方正仿宋_GBK"/>
          <w:b/>
          <w:sz w:val="32"/>
        </w:rPr>
        <w:t xml:space="preserve">5.4 寻优结果</w:t>
      </w:r>
      <w:bookmarkEnd w:id="176"/>
      <w:bookmarkEnd w:id="1512"/>
    </w:p>
    <w:p>
      <w:pPr>
        <w:pStyle w:val="5"/>
        <w:keepNext/>
        <w:numPr>
          <w:numId w:val="0"/>
        </w:numPr>
        <w:spacing w:line="360" w:lineRule="auto" w:before="160" w:after="120"/>
        <w:ind w:firstLine="0"/>
      </w:pPr>
      <w:bookmarkStart w:id="177" w:name="邳州逐年方案"/>
      <w:r>
        <w:rPr>
          <w:rFonts w:ascii="Times New Roman" w:hAnsi="Times New Roman" w:eastAsia="方正仿宋_GBK"/>
          <w:b/>
          <w:sz w:val="26"/>
        </w:rPr>
        <w:t xml:space="preserve">5.4.1 邳州逐年方案</w:t>
      </w:r>
      <w:bookmarkEnd w:id="177"/>
    </w:p>
    <w:p>
      <w:pPr>
        <w:pStyle w:val="FirstParagraph"/>
        <w:widowControl/>
        <w:spacing w:line="300" w:lineRule="auto" w:before="0" w:after="0"/>
        <w:ind w:firstLine="480"/>
        <w:jc w:val="both"/>
      </w:pPr>
      <w:r>
        <w:rPr>
          <w:rFonts w:ascii="Times New Roman" w:hAnsi="Times New Roman" w:eastAsia="方正仿宋_GBK"/>
          <w:b w:val="0"/>
          <w:sz w:val="24"/>
        </w:rPr>
        <w:t xml:space="preserve">邳州采用20站结构，初始转供率为28.29%，后续负荷按年负荷平均增长率8.07%推演。增容、储能与联络在同一约束条件下选取，年度表分别列出主变在役容量、当年采购容量、新增储能和转接量。</w:t>
      </w:r>
    </w:p>
    <w:p>
      <w:pPr>
        <w:pStyle w:val="2"/>
        <w:widowControl/>
        <w:spacing w:line="300" w:lineRule="auto" w:before="0" w:after="0"/>
        <w:ind w:firstLine="480"/>
        <w:jc w:val="both"/>
      </w:pPr>
      <w:r>
        <w:rPr>
          <w:rFonts w:ascii="Times New Roman" w:hAnsi="Times New Roman" w:eastAsia="方正仿宋_GBK"/>
          <w:b w:val="0"/>
          <w:sz w:val="24"/>
        </w:rPr>
        <w:t xml:space="preserve">邳州刚性方案第1—4年容载比分别为2.00、1.99、1.99、1.97，弹性方案分别为2.41、2.35、2.26、2.20。刚性新增措施全寿命费用现值为86143.38万元，弹性为29227.32万元。各年主变容量、储能和联络建设列于下表。</w:t>
      </w:r>
    </w:p>
    <w:p>
      <w:pPr>
        <w:pStyle w:val="2"/>
        <w:keepNext/>
        <w:spacing w:line="300" w:lineRule="auto" w:before="120" w:after="80"/>
        <w:ind w:firstLine="0"/>
        <w:jc w:val="center"/>
      </w:pPr>
      <w:r>
        <w:rPr>
          <w:rFonts w:ascii="Times New Roman" w:hAnsi="Times New Roman" w:eastAsia="宋体"/>
          <w:b w:val="0"/>
          <w:sz w:val="21"/>
        </w:rPr>
        <w:t xml:space="preserve">表5-3 邳州刚性方案逐年措施及容载比</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880"/>
        <w:gridCol w:w="880"/>
        <w:gridCol w:w="880"/>
        <w:gridCol w:w="880"/>
        <w:gridCol w:w="880"/>
        <w:gridCol w:w="1275"/>
        <w:gridCol w:w="880"/>
        <w:gridCol w:w="880"/>
        <w:gridCol w:w="880"/>
      </w:tblGrid>
      <w:tr>
        <w:trPr>
          <w:cantSplit/>
          <w:tblHeader/>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仿真年</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年网供最大负荷/MW</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主变容量/MVA</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净增/MVA</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新购/MVA</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新增储能MW/MWh</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新建联络/项</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总转接/MW</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容载比</w:t>
            </w:r>
          </w:p>
        </w:tc>
      </w:tr>
      <w:tr>
        <w:trPr>
          <w:cantSplit/>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790.83</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1581.00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117.50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220.50</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253.00/543.95</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161.42</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w:t>
            </w:r>
          </w:p>
        </w:tc>
      </w:tr>
      <w:tr>
        <w:trPr>
          <w:cantSplit/>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854.69</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1701.00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120.00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140.00</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135.49</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1.99</w:t>
            </w:r>
          </w:p>
        </w:tc>
      </w:tr>
      <w:tr>
        <w:trPr>
          <w:cantSplit/>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923.70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1842.50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141.50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181.50</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149.30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1.99</w:t>
            </w:r>
          </w:p>
        </w:tc>
      </w:tr>
      <w:tr>
        <w:trPr>
          <w:cantSplit/>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998.28</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1962.50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120.00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140.00</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0.10/0.21</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197.61</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1.97</w:t>
            </w:r>
          </w:p>
        </w:tc>
      </w:tr>
    </w:tbl>
    <w:p>
      <w:pPr>
        <w:pStyle w:val="2"/>
        <w:keepNext/>
        <w:spacing w:line="300" w:lineRule="auto" w:before="120" w:after="80"/>
        <w:ind w:firstLine="0"/>
        <w:jc w:val="center"/>
      </w:pPr>
      <w:r>
        <w:rPr>
          <w:rFonts w:ascii="Times New Roman" w:hAnsi="Times New Roman" w:eastAsia="宋体"/>
          <w:b w:val="0"/>
          <w:sz w:val="21"/>
        </w:rPr>
        <w:t xml:space="preserve">表5-4 邳州弹性方案逐年措施及容载比</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880"/>
        <w:gridCol w:w="880"/>
        <w:gridCol w:w="880"/>
        <w:gridCol w:w="880"/>
        <w:gridCol w:w="880"/>
        <w:gridCol w:w="1275"/>
        <w:gridCol w:w="880"/>
        <w:gridCol w:w="880"/>
        <w:gridCol w:w="880"/>
      </w:tblGrid>
      <w:tr>
        <w:trPr>
          <w:cantSplit/>
          <w:tblHeader/>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仿真年</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年网供最大负荷/MW</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主变容量/MVA</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净增/MVA</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新购/MVA</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新增储能MW/MWh</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新建联络/项</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总转接/MW</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容载比</w:t>
            </w:r>
          </w:p>
        </w:tc>
      </w:tr>
      <w:tr>
        <w:trPr>
          <w:cantSplit/>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790.83</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1905.00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441.50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576.00</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130.12</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2.41</w:t>
            </w:r>
          </w:p>
        </w:tc>
      </w:tr>
      <w:tr>
        <w:trPr>
          <w:cantSplit/>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854.69</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2009.50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104.50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144.50</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0.20/0.43</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142.04</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2.35</w:t>
            </w:r>
          </w:p>
        </w:tc>
      </w:tr>
      <w:tr>
        <w:trPr>
          <w:cantSplit/>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923.70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2089.50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80.00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160.12</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2.26</w:t>
            </w:r>
          </w:p>
        </w:tc>
      </w:tr>
      <w:tr>
        <w:trPr>
          <w:cantSplit/>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998.28</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2198.00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108.50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140.00</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3.10/6.67</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184.11</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r>
    </w:tbl>
    <w:p>
      <w:pPr>
        <w:pStyle w:val="5"/>
        <w:keepNext/>
        <w:numPr>
          <w:numId w:val="0"/>
        </w:numPr>
        <w:spacing w:line="360" w:lineRule="auto" w:before="160" w:after="120"/>
        <w:ind w:firstLine="0"/>
      </w:pPr>
      <w:bookmarkStart w:id="178" w:name="市区逐年方案"/>
      <w:r>
        <w:rPr>
          <w:rFonts w:ascii="Times New Roman" w:hAnsi="Times New Roman" w:eastAsia="方正仿宋_GBK"/>
          <w:b/>
          <w:sz w:val="26"/>
        </w:rPr>
        <w:t xml:space="preserve">5.4.2 市区逐年方案</w:t>
      </w:r>
      <w:bookmarkEnd w:id="178"/>
    </w:p>
    <w:p>
      <w:pPr>
        <w:pStyle w:val="FirstParagraph"/>
        <w:widowControl/>
        <w:spacing w:line="300" w:lineRule="auto" w:before="0" w:after="0"/>
        <w:ind w:firstLine="480"/>
        <w:jc w:val="both"/>
      </w:pPr>
      <w:r>
        <w:rPr>
          <w:rFonts w:ascii="Times New Roman" w:hAnsi="Times New Roman" w:eastAsia="方正仿宋_GBK"/>
          <w:b w:val="0"/>
          <w:sz w:val="24"/>
        </w:rPr>
        <w:t xml:space="preserve">市区采用29站结构，供电区域统一按A类规划，初始转供率假定为50%，后续负荷按年负荷平均增长率1.80%推演。主变N-1工况校核全部转接后负荷，新增联络可使站级能力提高至研究上限。</w:t>
      </w:r>
    </w:p>
    <w:p>
      <w:pPr>
        <w:pStyle w:val="2"/>
        <w:widowControl/>
        <w:spacing w:line="300" w:lineRule="auto" w:before="0" w:after="0"/>
        <w:ind w:firstLine="480"/>
        <w:jc w:val="both"/>
      </w:pPr>
      <w:r>
        <w:rPr>
          <w:rFonts w:ascii="Times New Roman" w:hAnsi="Times New Roman" w:eastAsia="方正仿宋_GBK"/>
          <w:b w:val="0"/>
          <w:sz w:val="24"/>
        </w:rPr>
        <w:t xml:space="preserve">市区刚性方案第1—4年容载比分别为1.99、1.98、1.99、1.95，弹性方案分别为2.26、2.26、2.22、2.20。刚性新增措施全寿命费用现值为73047.96万元，弹性为18432.29万元。各年主变容量、储能和联络建设列于下表。</w:t>
      </w:r>
    </w:p>
    <w:p>
      <w:pPr>
        <w:pStyle w:val="2"/>
        <w:keepNext/>
        <w:spacing w:line="300" w:lineRule="auto" w:before="120" w:after="80"/>
        <w:ind w:firstLine="0"/>
        <w:jc w:val="center"/>
      </w:pPr>
      <w:r>
        <w:rPr>
          <w:rFonts w:ascii="Times New Roman" w:hAnsi="Times New Roman" w:eastAsia="宋体"/>
          <w:b w:val="0"/>
          <w:sz w:val="21"/>
        </w:rPr>
        <w:t xml:space="preserve">表5-5 市区刚性方案逐年措施及容载比</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880"/>
        <w:gridCol w:w="880"/>
        <w:gridCol w:w="880"/>
        <w:gridCol w:w="880"/>
        <w:gridCol w:w="880"/>
        <w:gridCol w:w="1275"/>
        <w:gridCol w:w="880"/>
        <w:gridCol w:w="880"/>
        <w:gridCol w:w="880"/>
      </w:tblGrid>
      <w:tr>
        <w:trPr>
          <w:cantSplit/>
          <w:tblHeader/>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仿真年</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年网供最大负荷/MW</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主变容量/MVA</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净增/MVA</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新购/MVA</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新增储能MW/MWh</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新建联络/项</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总转接/MW</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容载比</w:t>
            </w:r>
          </w:p>
        </w:tc>
      </w:tr>
      <w:tr>
        <w:trPr>
          <w:cantSplit/>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1253.16</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2498.00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126.00</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250.00/537.50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354.94</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1.99</w:t>
            </w:r>
          </w:p>
        </w:tc>
      </w:tr>
      <w:tr>
        <w:trPr>
          <w:cantSplit/>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1275.72</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2531.00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33.00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113.00</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363.46</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1.98</w:t>
            </w:r>
          </w:p>
        </w:tc>
      </w:tr>
      <w:tr>
        <w:trPr>
          <w:cantSplit/>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1298.68</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2581.00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382.29</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1.99</w:t>
            </w:r>
          </w:p>
        </w:tc>
      </w:tr>
      <w:tr>
        <w:trPr>
          <w:cantSplit/>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1322.06</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2581.00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401.91</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1.95</w:t>
            </w:r>
          </w:p>
        </w:tc>
      </w:tr>
    </w:tbl>
    <w:p>
      <w:pPr>
        <w:pStyle w:val="2"/>
        <w:keepNext/>
        <w:spacing w:line="300" w:lineRule="auto" w:before="120" w:after="80"/>
        <w:ind w:firstLine="0"/>
        <w:jc w:val="center"/>
      </w:pPr>
      <w:r>
        <w:rPr>
          <w:rFonts w:ascii="Times New Roman" w:hAnsi="Times New Roman" w:eastAsia="宋体"/>
          <w:b w:val="0"/>
          <w:sz w:val="21"/>
        </w:rPr>
        <w:t xml:space="preserve">表5-6 市区弹性方案逐年措施及容载比</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880"/>
        <w:gridCol w:w="880"/>
        <w:gridCol w:w="880"/>
        <w:gridCol w:w="880"/>
        <w:gridCol w:w="880"/>
        <w:gridCol w:w="1275"/>
        <w:gridCol w:w="880"/>
        <w:gridCol w:w="880"/>
        <w:gridCol w:w="880"/>
      </w:tblGrid>
      <w:tr>
        <w:trPr>
          <w:cantSplit/>
          <w:tblHeader/>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仿真年</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年网供最大负荷/MW</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主变容量/MVA</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净增/MVA</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新购/MVA</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新增储能MW/MWh</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新建联络/项</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总转接/MW</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容载比</w:t>
            </w:r>
          </w:p>
        </w:tc>
      </w:tr>
      <w:tr>
        <w:trPr>
          <w:cantSplit/>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1253.16</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2835.00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373.00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413.00</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0.20/0.43</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364.43</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2.26</w:t>
            </w:r>
          </w:p>
        </w:tc>
      </w:tr>
      <w:tr>
        <w:trPr>
          <w:cantSplit/>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1275.72</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2885.00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380.20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2.26</w:t>
            </w:r>
          </w:p>
        </w:tc>
      </w:tr>
      <w:tr>
        <w:trPr>
          <w:cantSplit/>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1298.68</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2885.00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396.75</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2.22</w:t>
            </w:r>
          </w:p>
        </w:tc>
      </w:tr>
      <w:tr>
        <w:trPr>
          <w:cantSplit/>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1322.06</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2908.00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23.00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63.00</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2.70/5.80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389.51</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r>
    </w:tbl>
    <w:p>
      <w:pPr>
        <w:pStyle w:val="2"/>
        <w:keepNext/>
        <w:spacing w:line="240" w:lineRule="auto" w:before="120" w:after="0"/>
        <w:ind w:firstLine="0"/>
        <w:jc w:val="center"/>
      </w:pPr>
      <w:r>
        <w:drawing>
          <wp:inline>
            <wp:extent cx="5120640" cy="2904597"/>
            <wp:effectExtent b="0" l="0" r="0" t="0"/>
            <wp:docPr descr="" title="" id="1" name="Picture"/>
            <a:graphic>
              <a:graphicData uri="http://schemas.openxmlformats.org/drawingml/2006/picture">
                <pic:pic>
                  <pic:nvPicPr>
                    <pic:cNvPr descr="研究报告/02图表/当前版/annual_clr.png" id="0" name="Picture"/>
                    <pic:cNvPicPr>
                      <a:picLocks noChangeArrowheads="1" noChangeAspect="1"/>
                    </pic:cNvPicPr>
                  </pic:nvPicPr>
                  <pic:blipFill>
                    <a:blip r:embed="rId179"/>
                    <a:stretch>
                      <a:fillRect/>
                    </a:stretch>
                  </pic:blipFill>
                  <pic:spPr bwMode="auto">
                    <a:xfrm>
                      <a:off x="0" y="0"/>
                      <a:ext cx="5120640" cy="2904597"/>
                    </a:xfrm>
                    <a:prstGeom prst="rect">
                      <a:avLst/>
                    </a:prstGeom>
                    <a:noFill/>
                    <a:ln w="9525">
                      <a:noFill/>
                      <a:headEnd/>
                      <a:tailEnd/>
                    </a:ln>
                  </pic:spPr>
                </pic:pic>
              </a:graphicData>
            </a:graphic>
          </wp:inline>
        </w:drawing>
      </w:r>
    </w:p>
    <w:p>
      <w:pPr>
        <w:pStyle w:val="2"/>
        <w:spacing w:line="300" w:lineRule="auto" w:before="60" w:after="120"/>
        <w:ind w:firstLine="0"/>
        <w:jc w:val="center"/>
      </w:pPr>
      <w:r>
        <w:rPr>
          <w:rFonts w:ascii="Times New Roman" w:hAnsi="Times New Roman" w:eastAsia="宋体"/>
          <w:b w:val="0"/>
          <w:sz w:val="21"/>
        </w:rPr>
        <w:t xml:space="preserve">图5-1 邳州和市区逐年容载比</w:t>
      </w:r>
    </w:p>
    <w:p>
      <w:pPr>
        <w:pStyle w:val="5"/>
        <w:keepNext/>
        <w:numPr>
          <w:numId w:val="0"/>
        </w:numPr>
        <w:spacing w:line="360" w:lineRule="auto" w:before="160" w:after="120"/>
        <w:ind w:firstLine="0"/>
      </w:pPr>
      <w:bookmarkStart w:id="180" w:name="刚性与弹性方案的对比"/>
      <w:r>
        <w:rPr>
          <w:rFonts w:ascii="Times New Roman" w:hAnsi="Times New Roman" w:eastAsia="方正仿宋_GBK"/>
          <w:b/>
          <w:sz w:val="26"/>
        </w:rPr>
        <w:t xml:space="preserve">5.4.3 刚性与弹性方案的对比</w:t>
      </w:r>
      <w:bookmarkEnd w:id="180"/>
    </w:p>
    <w:p>
      <w:pPr>
        <w:pStyle w:val="FirstParagraph"/>
        <w:widowControl/>
        <w:spacing w:line="300" w:lineRule="auto" w:before="0" w:after="0"/>
        <w:ind w:firstLine="480"/>
        <w:jc w:val="both"/>
      </w:pPr>
      <w:r>
        <w:rPr>
          <w:rFonts w:ascii="Times New Roman" w:hAnsi="Times New Roman" w:eastAsia="方正仿宋_GBK"/>
          <w:b w:val="0"/>
          <w:sz w:val="24"/>
        </w:rPr>
        <w:t xml:space="preserve">费用比较按相同起点、价格和评价期进行。主变采购容量反映整台购置，主变净增容量反映在役规模变化，储能MW/MWh分别反映功率与能量配置。转接功率与联络项目数量分别用于说明负荷调整和新增建设。</w:t>
      </w:r>
    </w:p>
    <w:p>
      <w:pPr>
        <w:pStyle w:val="2"/>
        <w:keepNext/>
        <w:spacing w:line="300" w:lineRule="auto" w:before="120" w:after="80"/>
        <w:ind w:firstLine="0"/>
        <w:jc w:val="center"/>
      </w:pPr>
      <w:r>
        <w:rPr>
          <w:rFonts w:ascii="Times New Roman" w:hAnsi="Times New Roman" w:eastAsia="宋体"/>
          <w:b w:val="0"/>
          <w:sz w:val="21"/>
        </w:rPr>
        <w:t xml:space="preserve">表5-7 刚性与弹性容载比逐年对照</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地区</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仿真年</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刚性容载比</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弹性容载比</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差值</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2.41</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0.41</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1.99</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2.35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0.36</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1.99</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2.26</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0.27</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1.97</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0.24</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1.99</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2.26</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0.27</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2.26</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0.28</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1.99</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0.23</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0.25</w:t>
            </w:r>
          </w:p>
        </w:tc>
      </w:tr>
    </w:tbl>
    <w:p>
      <w:pPr>
        <w:pStyle w:val="2"/>
        <w:widowControl/>
        <w:spacing w:line="300" w:lineRule="auto" w:before="0" w:after="0"/>
        <w:ind w:firstLine="480"/>
        <w:jc w:val="both"/>
      </w:pPr>
      <w:r>
        <w:rPr>
          <w:rFonts w:ascii="Times New Roman" w:hAnsi="Times New Roman" w:eastAsia="方正仿宋_GBK"/>
          <w:b w:val="0"/>
          <w:sz w:val="24"/>
        </w:rPr>
        <w:t xml:space="preserve">两地区刚性方案新增措施全寿命费用现值合计159191.34万元，弹性合计47659.61万元，弹性费用降低70.06%。本评价期内三类设备均无寿命更新支出，费用差来自新增投资、固定维护费用及投运时点。</w:t>
      </w:r>
    </w:p>
    <w:p>
      <w:pPr>
        <w:pStyle w:val="2"/>
        <w:keepNext/>
        <w:spacing w:line="300" w:lineRule="auto" w:before="120" w:after="80"/>
        <w:ind w:firstLine="0"/>
        <w:jc w:val="center"/>
      </w:pPr>
      <w:r>
        <w:rPr>
          <w:rFonts w:ascii="Times New Roman" w:hAnsi="Times New Roman" w:eastAsia="宋体"/>
          <w:b w:val="0"/>
          <w:sz w:val="21"/>
        </w:rPr>
        <w:t xml:space="preserve">表5-8 刚性与弹性方案全寿命费用现值比较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地区</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刚性/万元</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弹性/万元</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差额/万元</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弹性费用降幅</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86143.38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29227.32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56916.07</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66.07%</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73047.96</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18432.29</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54615.66</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74.77%</w:t>
            </w:r>
          </w:p>
        </w:tc>
      </w:tr>
    </w:tbl>
    <w:p>
      <w:pPr>
        <w:pStyle w:val="2"/>
        <w:keepNext/>
        <w:spacing w:line="300" w:lineRule="auto" w:before="120" w:after="80"/>
        <w:ind w:firstLine="0"/>
        <w:jc w:val="center"/>
      </w:pPr>
      <w:r>
        <w:rPr>
          <w:rFonts w:ascii="Times New Roman" w:hAnsi="Times New Roman" w:eastAsia="宋体"/>
          <w:b w:val="0"/>
          <w:sz w:val="21"/>
        </w:rPr>
        <w:t xml:space="preserve">表5-9 全寿命费用按工程类型分解</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地区</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主变/万元</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储能/万元</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线路/万元</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合计/万元</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17186.85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67067.95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1888.59</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86143.38</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26650.57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723.08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1853.67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29227.32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6796.75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66251.21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73047.96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16069.52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639.55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1723.22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18432.29</w:t>
            </w:r>
          </w:p>
        </w:tc>
      </w:tr>
    </w:tbl>
    <w:p>
      <w:pPr>
        <w:pStyle w:val="2"/>
        <w:keepNext/>
        <w:spacing w:line="300" w:lineRule="auto" w:before="120" w:after="80"/>
        <w:ind w:firstLine="0"/>
        <w:jc w:val="center"/>
      </w:pPr>
      <w:r>
        <w:rPr>
          <w:rFonts w:ascii="Times New Roman" w:hAnsi="Times New Roman" w:eastAsia="宋体"/>
          <w:b w:val="0"/>
          <w:sz w:val="21"/>
        </w:rPr>
        <w:t xml:space="preserve">表5-10 全期新购主变及第4年在役状态</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289"/>
        <w:gridCol w:w="1289"/>
        <w:gridCol w:w="1868"/>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地区</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新购主变/MVA</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扩建主变/项</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新增联络/项</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682.00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253.10/544.16</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960.50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3.30/7.09</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289.00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250.00/537.50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526.00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2.90/6.23</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r>
    </w:tbl>
    <w:p>
      <w:pPr>
        <w:pStyle w:val="2"/>
        <w:keepNext/>
        <w:spacing w:line="300" w:lineRule="auto" w:before="120" w:after="80"/>
        <w:ind w:firstLine="0"/>
        <w:jc w:val="center"/>
      </w:pPr>
      <w:r>
        <w:rPr>
          <w:rFonts w:ascii="Times New Roman" w:hAnsi="Times New Roman" w:eastAsia="宋体"/>
          <w:b w:val="0"/>
          <w:sz w:val="21"/>
        </w:rPr>
        <w:t xml:space="preserve">表5-11 刚性与弹性方案的技术经济比较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比较内容</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刚性方案</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弹性方案</w:t>
            </w:r>
          </w:p>
        </w:tc>
      </w:tr>
      <w:tr>
        <w:trPr>
          <w:cantSplit/>
        </w:trPr>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仿真起点</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同区县容载比2.00</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同区县容载比2.00</w:t>
            </w:r>
          </w:p>
        </w:tc>
      </w:tr>
      <w:tr>
        <w:trPr>
          <w:cantSplit/>
        </w:trPr>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指标条件</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各年不超过2.00</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各年大于2.00至2.60</w:t>
            </w:r>
          </w:p>
        </w:tc>
      </w:tr>
      <w:tr>
        <w:trPr>
          <w:cantSplit/>
        </w:trPr>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技术条件</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正常、反向、全负荷主变N-1、持续在役及负荷守恒</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与刚性相同</w:t>
            </w:r>
          </w:p>
        </w:tc>
      </w:tr>
      <w:tr>
        <w:trPr>
          <w:cantSplit/>
        </w:trPr>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增容、储能及联络</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三类措施共同寻优</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三类措施共同寻优</w:t>
            </w:r>
          </w:p>
        </w:tc>
      </w:tr>
      <w:tr>
        <w:trPr>
          <w:cantSplit/>
        </w:trPr>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第4年两地区在役储能</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503.10 MW/1081.66 MWh</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6.20 MW/13.33 MWh</w:t>
            </w:r>
          </w:p>
        </w:tc>
      </w:tr>
      <w:tr>
        <w:trPr>
          <w:cantSplit/>
        </w:trPr>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新增措施费用现值</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159191.34万元</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47659.61万元</w:t>
            </w:r>
          </w:p>
        </w:tc>
      </w:tr>
      <w:tr>
        <w:trPr>
          <w:cantSplit/>
        </w:trPr>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规划比较</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作为比较基准</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费用降低70.06%，优先比选</w:t>
            </w:r>
          </w:p>
        </w:tc>
      </w:tr>
    </w:tbl>
    <w:p>
      <w:pPr>
        <w:pStyle w:val="2"/>
        <w:widowControl/>
        <w:spacing w:line="300" w:lineRule="auto" w:before="0" w:after="0"/>
        <w:ind w:firstLine="480"/>
        <w:jc w:val="both"/>
      </w:pPr>
      <w:r>
        <w:rPr>
          <w:rFonts w:ascii="Times New Roman" w:hAnsi="Times New Roman" w:eastAsia="方正仿宋_GBK"/>
          <w:b w:val="0"/>
          <w:sz w:val="24"/>
        </w:rPr>
        <w:t xml:space="preserve">在相同技术校核、负荷和价格条件下，弹性方案提高主变配置，减少主变N-1工况所需储能，两地区新增措施全寿命费用现值降低70.06%，经济性优于刚性。刚性方案保留为规划比较基准，后续建议以弹性指标及其设备组合开展比选。</w:t>
      </w:r>
    </w:p>
    <w:p>
      <w:pPr>
        <w:pStyle w:val="2"/>
        <w:keepNext/>
        <w:spacing w:line="240" w:lineRule="auto" w:before="120" w:after="0"/>
        <w:ind w:firstLine="0"/>
        <w:jc w:val="center"/>
      </w:pPr>
      <w:r>
        <w:drawing>
          <wp:inline>
            <wp:extent cx="5120640" cy="2854893"/>
            <wp:effectExtent b="0" l="0" r="0" t="0"/>
            <wp:docPr descr="" title="" id="1" name="Picture"/>
            <a:graphic>
              <a:graphicData uri="http://schemas.openxmlformats.org/drawingml/2006/picture">
                <pic:pic>
                  <pic:nvPicPr>
                    <pic:cNvPr descr="研究报告/02图表/当前版/lifecycle_components.png" id="0" name="Picture"/>
                    <pic:cNvPicPr>
                      <a:picLocks noChangeArrowheads="1" noChangeAspect="1"/>
                    </pic:cNvPicPr>
                  </pic:nvPicPr>
                  <pic:blipFill>
                    <a:blip r:embed="rId181"/>
                    <a:stretch>
                      <a:fillRect/>
                    </a:stretch>
                  </pic:blipFill>
                  <pic:spPr bwMode="auto">
                    <a:xfrm>
                      <a:off x="0" y="0"/>
                      <a:ext cx="5120640" cy="2854893"/>
                    </a:xfrm>
                    <a:prstGeom prst="rect">
                      <a:avLst/>
                    </a:prstGeom>
                    <a:noFill/>
                    <a:ln w="9525">
                      <a:noFill/>
                      <a:headEnd/>
                      <a:tailEnd/>
                    </a:ln>
                  </pic:spPr>
                </pic:pic>
              </a:graphicData>
            </a:graphic>
          </wp:inline>
        </w:drawing>
      </w:r>
    </w:p>
    <w:p>
      <w:pPr>
        <w:pStyle w:val="2"/>
        <w:spacing w:line="300" w:lineRule="auto" w:before="60" w:after="120"/>
        <w:ind w:firstLine="0"/>
        <w:jc w:val="center"/>
      </w:pPr>
      <w:r>
        <w:rPr>
          <w:rFonts w:ascii="Times New Roman" w:hAnsi="Times New Roman" w:eastAsia="宋体"/>
          <w:b w:val="0"/>
          <w:sz w:val="21"/>
        </w:rPr>
        <w:t xml:space="preserve">图5-2 各规划方案全寿命费用构成</w:t>
      </w:r>
    </w:p>
    <w:p>
      <w:pPr>
        <w:pStyle w:val="2"/>
        <w:keepNext/>
        <w:spacing w:line="240" w:lineRule="auto" w:before="120" w:after="0"/>
        <w:ind w:firstLine="0"/>
        <w:jc w:val="center"/>
      </w:pPr>
      <w:r>
        <w:drawing>
          <wp:inline>
            <wp:extent cx="5120640" cy="2731670"/>
            <wp:effectExtent b="0" l="0" r="0" t="0"/>
            <wp:docPr descr="" title="" id="1" name="Picture"/>
            <a:graphic>
              <a:graphicData uri="http://schemas.openxmlformats.org/drawingml/2006/picture">
                <pic:pic>
                  <pic:nvPicPr>
                    <pic:cNvPr descr="研究报告/02图表/当前版/measure_comparison.png" id="0" name="Picture"/>
                    <pic:cNvPicPr>
                      <a:picLocks noChangeArrowheads="1" noChangeAspect="1"/>
                    </pic:cNvPicPr>
                  </pic:nvPicPr>
                  <pic:blipFill>
                    <a:blip r:embed="rId182"/>
                    <a:stretch>
                      <a:fillRect/>
                    </a:stretch>
                  </pic:blipFill>
                  <pic:spPr bwMode="auto">
                    <a:xfrm>
                      <a:off x="0" y="0"/>
                      <a:ext cx="5120640" cy="2731670"/>
                    </a:xfrm>
                    <a:prstGeom prst="rect">
                      <a:avLst/>
                    </a:prstGeom>
                    <a:noFill/>
                    <a:ln w="9525">
                      <a:noFill/>
                      <a:headEnd/>
                      <a:tailEnd/>
                    </a:ln>
                  </pic:spPr>
                </pic:pic>
              </a:graphicData>
            </a:graphic>
          </wp:inline>
        </w:drawing>
      </w:r>
    </w:p>
    <w:p>
      <w:pPr>
        <w:pStyle w:val="2"/>
        <w:spacing w:line="300" w:lineRule="auto" w:before="60" w:after="120"/>
        <w:ind w:firstLine="0"/>
        <w:jc w:val="center"/>
      </w:pPr>
      <w:r>
        <w:rPr>
          <w:rFonts w:ascii="Times New Roman" w:hAnsi="Times New Roman" w:eastAsia="宋体"/>
          <w:b w:val="0"/>
          <w:sz w:val="21"/>
        </w:rPr>
        <w:t xml:space="preserve">图5-3 主变采购与储能配置对照</w:t>
      </w:r>
    </w:p>
    <w:p>
      <w:pPr>
        <w:pStyle w:val="2"/>
        <w:widowControl/>
        <w:spacing w:line="300" w:lineRule="auto" w:before="0" w:after="0"/>
        <w:ind w:firstLine="480"/>
        <w:jc w:val="both"/>
      </w:pPr>
      <w:r>
        <w:rPr>
          <w:rFonts w:ascii="Times New Roman" w:hAnsi="Times New Roman" w:eastAsia="方正仿宋_GBK"/>
          <w:b w:val="0"/>
          <w:sz w:val="24"/>
        </w:rPr>
        <w:t xml:space="preserve">容载比变化可按新增容量和负荷增长分解：</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r>
                      <m:t>R</m:t>
                    </m:r>
                  </m:e>
                  <m:sub>
                    <m:r>
                      <m:t>y</m:t>
                    </m:r>
                  </m:sub>
                </m:sSub>
                <m:r>
                  <m:t>−</m:t>
                </m:r>
                <m:sSub>
                  <m:e>
                    <m:r>
                      <m:t>R</m:t>
                    </m:r>
                  </m:e>
                  <m:sub>
                    <m:r>
                      <m:t>y</m:t>
                    </m:r>
                    <m:r>
                      <m:t>−</m:t>
                    </m:r>
                    <m:r>
                      <m:t>1</m:t>
                    </m:r>
                  </m:sub>
                </m:sSub>
                <m:r>
                  <m:t>=</m:t>
                </m:r>
                <m:f>
                  <m:fPr>
                    <m:type m:val="bar"/>
                  </m:fPr>
                  <m:num>
                    <m:sSub>
                      <m:e>
                        <m:r>
                          <m:t>S</m:t>
                        </m:r>
                      </m:e>
                      <m:sub>
                        <m:r>
                          <m:t>y</m:t>
                        </m:r>
                      </m:sub>
                    </m:sSub>
                    <m:r>
                      <m:t>−</m:t>
                    </m:r>
                    <m:sSub>
                      <m:e>
                        <m:r>
                          <m:t>S</m:t>
                        </m:r>
                      </m:e>
                      <m:sub>
                        <m:r>
                          <m:t>y</m:t>
                        </m:r>
                        <m:r>
                          <m:t>−</m:t>
                        </m:r>
                        <m:r>
                          <m:t>1</m:t>
                        </m:r>
                      </m:sub>
                    </m:sSub>
                  </m:num>
                  <m:den>
                    <m:sSub>
                      <m:e>
                        <m:r>
                          <m:t>P</m:t>
                        </m:r>
                      </m:e>
                      <m:sub>
                        <m:r>
                          <m:t>y</m:t>
                        </m:r>
                      </m:sub>
                    </m:sSub>
                  </m:den>
                </m:f>
                <m:r>
                  <m:t>+</m:t>
                </m:r>
                <m:sSub>
                  <m:e>
                    <m:r>
                      <m:t>S</m:t>
                    </m:r>
                  </m:e>
                  <m:sub>
                    <m:r>
                      <m:t>y</m:t>
                    </m:r>
                    <m:r>
                      <m:t>−</m:t>
                    </m:r>
                    <m:r>
                      <m:t>1</m:t>
                    </m:r>
                  </m:sub>
                </m:sSub>
                <m:d>
                  <m:dPr>
                    <m:begChr m:val="("/>
                    <m:endChr m:val=")"/>
                    <m:grow/>
                  </m:dPr>
                  <m:e>
                    <m:f>
                      <m:fPr>
                        <m:type m:val="bar"/>
                      </m:fPr>
                      <m:num>
                        <m:r>
                          <m:t>1</m:t>
                        </m:r>
                      </m:num>
                      <m:den>
                        <m:sSub>
                          <m:e>
                            <m:r>
                              <m:t>P</m:t>
                            </m:r>
                          </m:e>
                          <m:sub>
                            <m:r>
                              <m:t>y</m:t>
                            </m:r>
                          </m:sub>
                        </m:sSub>
                      </m:den>
                    </m:f>
                    <m:r>
                      <m:t>−</m:t>
                    </m:r>
                    <m:f>
                      <m:fPr>
                        <m:type m:val="bar"/>
                      </m:fPr>
                      <m:num>
                        <m:r>
                          <m:t>1</m:t>
                        </m:r>
                      </m:num>
                      <m:den>
                        <m:sSub>
                          <m:e>
                            <m:r>
                              <m:t>P</m:t>
                            </m:r>
                          </m:e>
                          <m:sub>
                            <m:r>
                              <m:t>y</m:t>
                            </m:r>
                            <m:r>
                              <m:t>−</m:t>
                            </m:r>
                            <m:r>
                              <m:t>1</m:t>
                            </m:r>
                          </m:sub>
                        </m:sSub>
                      </m:den>
                    </m:f>
                  </m:e>
                </m:d>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（5-14）</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
          <m:e>
            <m:r>
              <m:t>R</m:t>
            </m:r>
          </m:e>
          <m:sub>
            <m:r>
              <m:t>y</m:t>
            </m:r>
          </m:sub>
        </m:sSub>
      </m:oMath>
      <w:r>
        <w:rPr>
          <w:rFonts w:ascii="Times New Roman" w:hAnsi="Times New Roman" w:eastAsia="方正仿宋_GBK"/>
          <w:b w:val="0"/>
          <w:sz w:val="24"/>
        </w:rPr>
        <w:t xml:space="preserve">、</w:t>
      </w:r>
      <m:oMath>
        <m:sSub>
          <m:e>
            <m:r>
              <m:t>R</m:t>
            </m:r>
          </m:e>
          <m:sub>
            <m:r>
              <m:t>y</m:t>
            </m:r>
            <m:r>
              <m:t>−</m:t>
            </m:r>
            <m:r>
              <m:t>1</m:t>
            </m:r>
          </m:sub>
        </m:sSub>
      </m:oMath>
      <w:r>
        <w:rPr>
          <w:rFonts w:ascii="Times New Roman" w:hAnsi="Times New Roman" w:eastAsia="方正仿宋_GBK"/>
          <w:b w:val="0"/>
          <w:sz w:val="24"/>
        </w:rPr>
        <w:t xml:space="preserve">为相邻两年容载比，</w:t>
      </w:r>
      <m:oMath>
        <m:r>
          <m:t>y</m:t>
        </m:r>
      </m:oMath>
      <w:r>
        <w:rPr>
          <w:rFonts w:ascii="Times New Roman" w:hAnsi="Times New Roman" w:eastAsia="方正仿宋_GBK"/>
          <w:b w:val="0"/>
          <w:sz w:val="24"/>
        </w:rPr>
        <w:t xml:space="preserve">为仿真年序号；</w:t>
      </w:r>
      <m:oMath>
        <m:sSub>
          <m:e>
            <m:r>
              <m:t>S</m:t>
            </m:r>
          </m:e>
          <m:sub>
            <m:r>
              <m:t>y</m:t>
            </m:r>
          </m:sub>
        </m:sSub>
      </m:oMath>
      <w:r>
        <w:rPr>
          <w:rFonts w:ascii="Times New Roman" w:hAnsi="Times New Roman" w:eastAsia="方正仿宋_GBK"/>
          <w:b w:val="0"/>
          <w:sz w:val="24"/>
        </w:rPr>
        <w:t xml:space="preserve">和</w:t>
      </w:r>
      <m:oMath>
        <m:sSub>
          <m:e>
            <m:r>
              <m:t>S</m:t>
            </m:r>
          </m:e>
          <m:sub>
            <m:r>
              <m:t>y</m:t>
            </m:r>
            <m:r>
              <m:t>−</m:t>
            </m:r>
            <m:r>
              <m:t>1</m:t>
            </m:r>
          </m:sub>
        </m:sSub>
      </m:oMath>
      <w:r>
        <w:rPr>
          <w:rFonts w:ascii="Times New Roman" w:hAnsi="Times New Roman" w:eastAsia="方正仿宋_GBK"/>
          <w:b w:val="0"/>
          <w:sz w:val="24"/>
        </w:rPr>
        <w:t xml:space="preserve">为相邻两年主变总容量，单位MVA；</w:t>
      </w:r>
      <m:oMath>
        <m:sSub>
          <m:e>
            <m:r>
              <m:t>P</m:t>
            </m:r>
          </m:e>
          <m:sub>
            <m:r>
              <m:t>y</m:t>
            </m:r>
          </m:sub>
        </m:sSub>
      </m:oMath>
      <w:r>
        <w:rPr>
          <w:rFonts w:ascii="Times New Roman" w:hAnsi="Times New Roman" w:eastAsia="方正仿宋_GBK"/>
          <w:b w:val="0"/>
          <w:sz w:val="24"/>
        </w:rPr>
        <w:t xml:space="preserve">和</w:t>
      </w:r>
      <m:oMath>
        <m:sSub>
          <m:e>
            <m:r>
              <m:t>P</m:t>
            </m:r>
          </m:e>
          <m:sub>
            <m:r>
              <m:t>y</m:t>
            </m:r>
            <m:r>
              <m:t>−</m:t>
            </m:r>
            <m:r>
              <m:t>1</m:t>
            </m:r>
          </m:sub>
        </m:sSub>
      </m:oMath>
      <w:r>
        <w:rPr>
          <w:rFonts w:ascii="Times New Roman" w:hAnsi="Times New Roman" w:eastAsia="方正仿宋_GBK"/>
          <w:b w:val="0"/>
          <w:sz w:val="24"/>
        </w:rPr>
        <w:t xml:space="preserve">为对应年网供最大负荷，单位MW。第一项表达新增容量的贡献，第二项表达既有容量在负荷变化下的比值变化。逐年结果与容量、负荷共同解释。</w:t>
      </w:r>
    </w:p>
    <w:p>
      <w:pPr>
        <w:pStyle w:val="5"/>
        <w:keepNext/>
        <w:numPr>
          <w:numId w:val="0"/>
        </w:numPr>
        <w:spacing w:line="360" w:lineRule="auto" w:before="160" w:after="120"/>
        <w:ind w:firstLine="0"/>
      </w:pPr>
      <w:bookmarkStart w:id="183" w:name="邳州逐站规划方案"/>
      <w:r>
        <w:rPr>
          <w:rFonts w:ascii="Times New Roman" w:hAnsi="Times New Roman" w:eastAsia="方正仿宋_GBK"/>
          <w:b/>
          <w:sz w:val="26"/>
        </w:rPr>
        <w:t xml:space="preserve">5.4.4 邳州逐站规划方案</w:t>
      </w:r>
      <w:bookmarkEnd w:id="183"/>
    </w:p>
    <w:p>
      <w:pPr>
        <w:pStyle w:val="FirstParagraph"/>
        <w:widowControl/>
        <w:spacing w:line="300" w:lineRule="auto" w:before="0" w:after="0"/>
        <w:ind w:firstLine="480"/>
        <w:jc w:val="both"/>
      </w:pPr>
      <w:r>
        <w:rPr>
          <w:rFonts w:ascii="Times New Roman" w:hAnsi="Times New Roman" w:eastAsia="方正仿宋_GBK"/>
          <w:b w:val="0"/>
          <w:sz w:val="24"/>
        </w:rPr>
        <w:t xml:space="preserve">邳州各站同时考虑正向供电与反向净负荷。以下结合各站设备结构、负荷转接及储能规模说明弹性方案的配置依据。</w:t>
      </w:r>
    </w:p>
    <w:p>
      <w:pPr>
        <w:pStyle w:val="7"/>
        <w:keepNext/>
        <w:numPr>
          <w:numId w:val="0"/>
        </w:numPr>
        <w:spacing w:line="360" w:lineRule="auto" w:before="160" w:after="120"/>
        <w:ind w:firstLine="0"/>
      </w:pPr>
      <w:bookmarkStart w:id="184" w:name="bdz-00005站规划分析"/>
      <w:r>
        <w:rPr>
          <w:rFonts w:ascii="Times New Roman" w:hAnsi="Times New Roman" w:eastAsia="方正仿宋_GBK"/>
          <w:b/>
          <w:sz w:val="24"/>
        </w:rPr>
        <w:t xml:space="preserve">BDZ-00005站规划分析</w:t>
      </w:r>
      <w:bookmarkEnd w:id="184"/>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该站基期主变配置为20.00+50.00 MVA，规划第4年转接前最大正向、反向净负荷分别为38.85 MW和19.85 MW，正向95%峰值持续时间为2.00 h。弹性方案第4年新增储能0.50 MW/1.07 MWh。</w:t>
      </w:r>
    </w:p>
    <w:p>
      <w:pPr>
        <w:pStyle w:val="2"/>
        <w:widowControl/>
        <w:spacing w:line="300" w:lineRule="auto" w:before="0" w:after="0"/>
        <w:ind w:firstLine="480"/>
        <w:jc w:val="both"/>
      </w:pPr>
      <w:r>
        <w:rPr>
          <w:rFonts w:ascii="Times New Roman" w:hAnsi="Times New Roman" w:eastAsia="方正仿宋_GBK"/>
          <w:b w:val="0"/>
          <w:sz w:val="24"/>
        </w:rPr>
        <w:t xml:space="preserve">第4年转出19.35 MW、承接0.00 MW后，正向校核负荷为19.50 MW。负荷转出降低正向需求，同时将反向校核上界提高至39.21 MW，配置按两个方向共同确定。刚性方案第4年主变总容量为70.00 MVA，储能为38.90 MW；弹性方案相应为70.00 MVA和0.50 MW。弹性方案储能减少38.40 MW，主变N-1工况的容量支撑更多由在役主变和站间负荷配置承担。</w:t>
      </w:r>
    </w:p>
    <w:p>
      <w:pPr>
        <w:pStyle w:val="2"/>
        <w:keepNext/>
        <w:spacing w:line="300" w:lineRule="auto" w:before="120" w:after="80"/>
        <w:ind w:firstLine="0"/>
        <w:jc w:val="center"/>
      </w:pPr>
      <w:r>
        <w:rPr>
          <w:rFonts w:ascii="Times New Roman" w:hAnsi="Times New Roman" w:eastAsia="宋体"/>
          <w:b w:val="0"/>
          <w:sz w:val="21"/>
        </w:rPr>
        <w:t xml:space="preserve">表5-12 BDZ-00005站第4年配置与负荷转接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38.90/83.64</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38.85</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0.50/1.07</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19.35</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19.50</w:t>
            </w:r>
          </w:p>
        </w:tc>
      </w:tr>
    </w:tbl>
    <w:p>
      <w:pPr>
        <w:pStyle w:val="7"/>
        <w:keepNext/>
        <w:numPr>
          <w:numId w:val="0"/>
        </w:numPr>
        <w:spacing w:line="360" w:lineRule="auto" w:before="160" w:after="120"/>
        <w:ind w:firstLine="0"/>
      </w:pPr>
      <w:bookmarkStart w:id="185" w:name="bdz-00016站规划分析"/>
      <w:r>
        <w:rPr>
          <w:rFonts w:ascii="Times New Roman" w:hAnsi="Times New Roman" w:eastAsia="方正仿宋_GBK"/>
          <w:b/>
          <w:sz w:val="24"/>
        </w:rPr>
        <w:t xml:space="preserve">BDZ-00016站规划分析</w:t>
      </w:r>
      <w:bookmarkEnd w:id="185"/>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该站基期主变配置为40.00+63.00 MVA，规划第4年转接前最大正向、反向净负荷分别为72.47 MW和32.99 MW，正向95%峰值持续时间为3.00 h。弹性方案第2年扩建50 MVA主变。</w:t>
      </w:r>
    </w:p>
    <w:p>
      <w:pPr>
        <w:pStyle w:val="2"/>
        <w:widowControl/>
        <w:spacing w:line="300" w:lineRule="auto" w:before="0" w:after="0"/>
        <w:ind w:firstLine="480"/>
        <w:jc w:val="both"/>
      </w:pPr>
      <w:r>
        <w:rPr>
          <w:rFonts w:ascii="Times New Roman" w:hAnsi="Times New Roman" w:eastAsia="方正仿宋_GBK"/>
          <w:b w:val="0"/>
          <w:sz w:val="24"/>
        </w:rPr>
        <w:t xml:space="preserve">第4年承接13.03 MW，正向校核负荷增至85.50 MW。该站利用相应主变容量承担片区内部负荷，接收能力按承接后的负荷进行正常运行及主变N-1校核。刚性方案第4年主变总容量为153.00 MVA，储能为0.00 MW；弹性方案相应为153.00 MVA和0.00 MW。两类方案的本站主变配置接近，差异主要通过区域其他站点的容量和负荷安排体现。</w:t>
      </w:r>
    </w:p>
    <w:p>
      <w:pPr>
        <w:pStyle w:val="2"/>
        <w:keepNext/>
        <w:spacing w:line="300" w:lineRule="auto" w:before="120" w:after="80"/>
        <w:ind w:firstLine="0"/>
        <w:jc w:val="center"/>
      </w:pPr>
      <w:r>
        <w:rPr>
          <w:rFonts w:ascii="Times New Roman" w:hAnsi="Times New Roman" w:eastAsia="宋体"/>
          <w:b w:val="0"/>
          <w:sz w:val="21"/>
        </w:rPr>
        <w:t xml:space="preserve">表5-13 BDZ-00016站第4年配置与负荷转接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40.00+63.00+50.00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13.03</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85.50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40.00+63.00+50.00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13.03</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85.50</w:t>
            </w:r>
          </w:p>
        </w:tc>
      </w:tr>
    </w:tbl>
    <w:p>
      <w:pPr>
        <w:pStyle w:val="7"/>
        <w:keepNext/>
        <w:numPr>
          <w:numId w:val="0"/>
        </w:numPr>
        <w:spacing w:line="360" w:lineRule="auto" w:before="160" w:after="120"/>
        <w:ind w:firstLine="0"/>
      </w:pPr>
      <w:bookmarkStart w:id="186" w:name="bdz-00021站规划分析"/>
      <w:r>
        <w:rPr>
          <w:rFonts w:ascii="Times New Roman" w:hAnsi="Times New Roman" w:eastAsia="方正仿宋_GBK"/>
          <w:b/>
          <w:sz w:val="24"/>
        </w:rPr>
        <w:t xml:space="preserve">BDZ-00021站规划分析</w:t>
      </w:r>
      <w:bookmarkEnd w:id="186"/>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该站基期主变配置为20.00+50.00 MVA，规划第4年转接前最大正向、反向净负荷分别为31.63 MW和25.40 MW，正向95%峰值持续时间为4.00 h。弹性方案第1年扩建50 MVA主变。</w:t>
      </w:r>
    </w:p>
    <w:p>
      <w:pPr>
        <w:pStyle w:val="2"/>
        <w:widowControl/>
        <w:spacing w:line="300" w:lineRule="auto" w:before="0" w:after="0"/>
        <w:ind w:firstLine="480"/>
        <w:jc w:val="both"/>
      </w:pPr>
      <w:r>
        <w:rPr>
          <w:rFonts w:ascii="Times New Roman" w:hAnsi="Times New Roman" w:eastAsia="方正仿宋_GBK"/>
          <w:b w:val="0"/>
          <w:sz w:val="24"/>
        </w:rPr>
        <w:t xml:space="preserve">第4年承接19.00 MW，正向校核负荷增至50.63 MW。该站利用相应主变容量承担片区内部负荷，接收能力按承接后的负荷进行正常运行及主变N-1校核。刚性方案第4年主变总容量为70.00 MVA，储能为0.00 MW；弹性方案相应为120.00 MVA和0.00 MW。弹性方案增加主变容量，为本站或片区承接负荷提供支撑。</w:t>
      </w:r>
    </w:p>
    <w:p>
      <w:pPr>
        <w:pStyle w:val="2"/>
        <w:keepNext/>
        <w:spacing w:line="300" w:lineRule="auto" w:before="120" w:after="80"/>
        <w:ind w:firstLine="0"/>
        <w:jc w:val="center"/>
      </w:pPr>
      <w:r>
        <w:rPr>
          <w:rFonts w:ascii="Times New Roman" w:hAnsi="Times New Roman" w:eastAsia="宋体"/>
          <w:b w:val="0"/>
          <w:sz w:val="21"/>
        </w:rPr>
        <w:t xml:space="preserve">表5-14 BDZ-00021站第4年配置与负荷转接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12.63</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19.00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20.00+50.00+50.00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50.63</w:t>
            </w:r>
          </w:p>
        </w:tc>
      </w:tr>
    </w:tbl>
    <w:p>
      <w:pPr>
        <w:pStyle w:val="7"/>
        <w:keepNext/>
        <w:numPr>
          <w:numId w:val="0"/>
        </w:numPr>
        <w:spacing w:line="360" w:lineRule="auto" w:before="160" w:after="120"/>
        <w:ind w:firstLine="0"/>
      </w:pPr>
      <w:bookmarkStart w:id="187" w:name="bdz-00022站规划分析"/>
      <w:r>
        <w:rPr>
          <w:rFonts w:ascii="Times New Roman" w:hAnsi="Times New Roman" w:eastAsia="方正仿宋_GBK"/>
          <w:b/>
          <w:sz w:val="24"/>
        </w:rPr>
        <w:t xml:space="preserve">BDZ-00022站规划分析</w:t>
      </w:r>
      <w:bookmarkEnd w:id="187"/>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该站基期主变配置为20.00+31.50 MVA，规划第4年转接前最大正向、反向净负荷分别为31.93 MW和49.30 MW，正向95%峰值持续时间为2.00 h。弹性方案第2年实施主变增容，新购容量31.50 MVA。</w:t>
      </w:r>
    </w:p>
    <w:p>
      <w:pPr>
        <w:pStyle w:val="2"/>
        <w:widowControl/>
        <w:spacing w:line="300" w:lineRule="auto" w:before="0" w:after="0"/>
        <w:ind w:firstLine="480"/>
        <w:jc w:val="both"/>
      </w:pPr>
      <w:r>
        <w:rPr>
          <w:rFonts w:ascii="Times New Roman" w:hAnsi="Times New Roman" w:eastAsia="方正仿宋_GBK"/>
          <w:b w:val="0"/>
          <w:sz w:val="24"/>
        </w:rPr>
        <w:t xml:space="preserve">第4年转出2.01 MW、承接0.00 MW后，正向校核负荷为29.92 MW。负荷转出降低正向需求，同时将反向校核上界提高至51.30 MW，配置按两个方向共同确定。刚性方案第4年主变总容量为63.00 MVA，储能为49.30 MW；弹性方案相应为63.00 MVA和0.00 MW。弹性方案储能减少49.30 MW，主变N-1工况的容量支撑更多由在役主变和站间负荷配置承担。</w:t>
      </w:r>
    </w:p>
    <w:p>
      <w:pPr>
        <w:pStyle w:val="2"/>
        <w:keepNext/>
        <w:spacing w:line="300" w:lineRule="auto" w:before="120" w:after="80"/>
        <w:ind w:firstLine="0"/>
        <w:jc w:val="center"/>
      </w:pPr>
      <w:r>
        <w:rPr>
          <w:rFonts w:ascii="Times New Roman" w:hAnsi="Times New Roman" w:eastAsia="宋体"/>
          <w:b w:val="0"/>
          <w:sz w:val="21"/>
        </w:rPr>
        <w:t xml:space="preserve">表5-15 BDZ-00022站第4年配置与负荷转接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31.50+31.50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49.30/106.00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37.08</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69.02</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31.50+31.50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29.92</w:t>
            </w:r>
          </w:p>
        </w:tc>
      </w:tr>
    </w:tbl>
    <w:p>
      <w:pPr>
        <w:pStyle w:val="7"/>
        <w:keepNext/>
        <w:numPr>
          <w:numId w:val="0"/>
        </w:numPr>
        <w:spacing w:line="360" w:lineRule="auto" w:before="160" w:after="120"/>
        <w:ind w:firstLine="0"/>
      </w:pPr>
      <w:bookmarkStart w:id="188" w:name="bdz-00026站规划分析"/>
      <w:r>
        <w:rPr>
          <w:rFonts w:ascii="Times New Roman" w:hAnsi="Times New Roman" w:eastAsia="方正仿宋_GBK"/>
          <w:b/>
          <w:sz w:val="24"/>
        </w:rPr>
        <w:t xml:space="preserve">BDZ-00026站规划分析</w:t>
      </w:r>
      <w:bookmarkEnd w:id="188"/>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MVA，规划第4年转接前最大正向、反向净负荷分别为96.09 MW和18.83 MW，正向95%峰值持续时间为3.00 h。弹性方案第1年扩建50 MVA主变。</w:t>
      </w:r>
    </w:p>
    <w:p>
      <w:pPr>
        <w:pStyle w:val="2"/>
        <w:widowControl/>
        <w:spacing w:line="300" w:lineRule="auto" w:before="0" w:after="0"/>
        <w:ind w:firstLine="480"/>
        <w:jc w:val="both"/>
      </w:pPr>
      <w:r>
        <w:rPr>
          <w:rFonts w:ascii="Times New Roman" w:hAnsi="Times New Roman" w:eastAsia="方正仿宋_GBK"/>
          <w:b w:val="0"/>
          <w:sz w:val="24"/>
        </w:rPr>
        <w:t xml:space="preserve">第4年转出20.09 MW、承接0.00 MW后，正向校核负荷为76.00 MW。负荷转出降低正向需求，同时将反向校核上界提高至38.92 MW，配置按两个方向共同确定。刚性方案第4年主变总容量为130.00 MVA，储能为0.10 MW；弹性方案相应为130.00 MVA和0.00 MW。弹性方案储能减少0.10 MW，主变N-1工况的容量支撑更多由在役主变和站间负荷配置承担。</w:t>
      </w:r>
    </w:p>
    <w:p>
      <w:pPr>
        <w:pStyle w:val="2"/>
        <w:keepNext/>
        <w:spacing w:line="300" w:lineRule="auto" w:before="120" w:after="80"/>
        <w:ind w:firstLine="0"/>
        <w:jc w:val="center"/>
      </w:pPr>
      <w:r>
        <w:rPr>
          <w:rFonts w:ascii="Times New Roman" w:hAnsi="Times New Roman" w:eastAsia="宋体"/>
          <w:b w:val="0"/>
          <w:sz w:val="21"/>
        </w:rPr>
        <w:t xml:space="preserve">表5-16 BDZ-00026站第4年配置与负荷转接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0.10/0.21</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76.07</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20.09</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76.00</w:t>
            </w:r>
          </w:p>
        </w:tc>
      </w:tr>
    </w:tbl>
    <w:p>
      <w:pPr>
        <w:pStyle w:val="7"/>
        <w:keepNext/>
        <w:numPr>
          <w:numId w:val="0"/>
        </w:numPr>
        <w:spacing w:line="360" w:lineRule="auto" w:before="160" w:after="120"/>
        <w:ind w:firstLine="0"/>
      </w:pPr>
      <w:bookmarkStart w:id="189" w:name="bdz-00027站规划分析"/>
      <w:r>
        <w:rPr>
          <w:rFonts w:ascii="Times New Roman" w:hAnsi="Times New Roman" w:eastAsia="方正仿宋_GBK"/>
          <w:b/>
          <w:sz w:val="24"/>
        </w:rPr>
        <w:t xml:space="preserve">BDZ-00027站规划分析</w:t>
      </w:r>
      <w:bookmarkEnd w:id="189"/>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该站基期主变配置为20.00+50.00 MVA，规划第4年转接前最大正向、反向净负荷分别为62.12 MW和36.81 MW，正向95%峰值持续时间为2.00 h。弹性方案第1年扩建50 MVA主变。</w:t>
      </w:r>
    </w:p>
    <w:p>
      <w:pPr>
        <w:pStyle w:val="2"/>
        <w:widowControl/>
        <w:spacing w:line="300" w:lineRule="auto" w:before="0" w:after="0"/>
        <w:ind w:firstLine="480"/>
        <w:jc w:val="both"/>
      </w:pPr>
      <w:r>
        <w:rPr>
          <w:rFonts w:ascii="Times New Roman" w:hAnsi="Times New Roman" w:eastAsia="方正仿宋_GBK"/>
          <w:b w:val="0"/>
          <w:sz w:val="24"/>
        </w:rPr>
        <w:t xml:space="preserve">第4年承接4.38 MW，正向校核负荷增至66.50 MW。该站利用相应主变容量承担片区内部负荷，接收能力按承接后的负荷进行正常运行及主变N-1校核。刚性方案第4年主变总容量为70.00 MVA，储能为18.10 MW；弹性方案相应为120.00 MVA和0.00 MW。弹性方案储能减少18.10 MW，主变N-1工况的容量支撑更多由在役主变和站间负荷配置承担。</w:t>
      </w:r>
    </w:p>
    <w:p>
      <w:pPr>
        <w:pStyle w:val="2"/>
        <w:keepNext/>
        <w:spacing w:line="300" w:lineRule="auto" w:before="120" w:after="80"/>
        <w:ind w:firstLine="0"/>
        <w:jc w:val="center"/>
      </w:pPr>
      <w:r>
        <w:rPr>
          <w:rFonts w:ascii="Times New Roman" w:hAnsi="Times New Roman" w:eastAsia="宋体"/>
          <w:b w:val="0"/>
          <w:sz w:val="21"/>
        </w:rPr>
        <w:t xml:space="preserve">表5-17 BDZ-00027站第4年配置与负荷转接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18.10/38.91</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25.02</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37.10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20.00+50.00+50.00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4.38</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66.50</w:t>
            </w:r>
          </w:p>
        </w:tc>
      </w:tr>
    </w:tbl>
    <w:p>
      <w:pPr>
        <w:pStyle w:val="7"/>
        <w:keepNext/>
        <w:numPr>
          <w:numId w:val="0"/>
        </w:numPr>
        <w:spacing w:line="360" w:lineRule="auto" w:before="160" w:after="120"/>
        <w:ind w:firstLine="0"/>
      </w:pPr>
      <w:bookmarkStart w:id="190" w:name="bdz-00028站规划分析"/>
      <w:r>
        <w:rPr>
          <w:rFonts w:ascii="Times New Roman" w:hAnsi="Times New Roman" w:eastAsia="方正仿宋_GBK"/>
          <w:b/>
          <w:sz w:val="24"/>
        </w:rPr>
        <w:t xml:space="preserve">BDZ-00028站规划分析</w:t>
      </w:r>
      <w:bookmarkEnd w:id="190"/>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该站基期主变配置为31.50+80.00 MVA，规划第4年转接前最大正向、反向净负荷分别为108.09 MW和0.00 MW，正向95%峰值持续时间为3.00 h。弹性方案第1年实施主变增容，新购容量63.00 MVA。</w:t>
      </w:r>
    </w:p>
    <w:p>
      <w:pPr>
        <w:pStyle w:val="2"/>
        <w:widowControl/>
        <w:spacing w:line="300" w:lineRule="auto" w:before="0" w:after="0"/>
        <w:ind w:firstLine="480"/>
        <w:jc w:val="both"/>
      </w:pPr>
      <w:r>
        <w:rPr>
          <w:rFonts w:ascii="Times New Roman" w:hAnsi="Times New Roman" w:eastAsia="方正仿宋_GBK"/>
          <w:b w:val="0"/>
          <w:sz w:val="24"/>
        </w:rPr>
        <w:t xml:space="preserve">第4年转出48.24 MW、承接0.00 MW后，正向校核负荷为59.85 MW。负荷转出降低正向需求，同时将反向校核上界提高至48.24 MW，配置按两个方向共同确定。刚性方案第4年主变总容量为143.00 MVA，储能为0.00 MW；弹性方案相应为143.00 MVA和0.00 MW。两类方案的本站主变配置接近，差异主要通过区域其他站点的容量和负荷安排体现。</w:t>
      </w:r>
    </w:p>
    <w:p>
      <w:pPr>
        <w:pStyle w:val="2"/>
        <w:keepNext/>
        <w:spacing w:line="300" w:lineRule="auto" w:before="120" w:after="80"/>
        <w:ind w:firstLine="0"/>
        <w:jc w:val="center"/>
      </w:pPr>
      <w:r>
        <w:rPr>
          <w:rFonts w:ascii="Times New Roman" w:hAnsi="Times New Roman" w:eastAsia="宋体"/>
          <w:b w:val="0"/>
          <w:sz w:val="21"/>
        </w:rPr>
        <w:t xml:space="preserve">表5-18 BDZ-00028站第4年配置与负荷转接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63.00+80.00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48.24</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59.85</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63.00+80.00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48.24</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59.85</w:t>
            </w:r>
          </w:p>
        </w:tc>
      </w:tr>
    </w:tbl>
    <w:p>
      <w:pPr>
        <w:pStyle w:val="7"/>
        <w:keepNext/>
        <w:numPr>
          <w:numId w:val="0"/>
        </w:numPr>
        <w:spacing w:line="360" w:lineRule="auto" w:before="160" w:after="120"/>
        <w:ind w:firstLine="0"/>
      </w:pPr>
      <w:bookmarkStart w:id="191" w:name="bdz-00031站规划分析"/>
      <w:r>
        <w:rPr>
          <w:rFonts w:ascii="Times New Roman" w:hAnsi="Times New Roman" w:eastAsia="方正仿宋_GBK"/>
          <w:b/>
          <w:sz w:val="24"/>
        </w:rPr>
        <w:t xml:space="preserve">BDZ-00031站规划分析</w:t>
      </w:r>
      <w:bookmarkEnd w:id="191"/>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该站基期主变配置为31.50+40.00 MVA，规划第4年转接前最大正向、反向净负荷分别为41.63 MW和30.82 MW，正向95%峰值持续时间为3.00 h。弹性方案第4年扩建50 MVA主变。</w:t>
      </w:r>
    </w:p>
    <w:p>
      <w:pPr>
        <w:pStyle w:val="2"/>
        <w:widowControl/>
        <w:spacing w:line="300" w:lineRule="auto" w:before="0" w:after="0"/>
        <w:ind w:firstLine="480"/>
        <w:jc w:val="both"/>
      </w:pPr>
      <w:r>
        <w:rPr>
          <w:rFonts w:ascii="Times New Roman" w:hAnsi="Times New Roman" w:eastAsia="方正仿宋_GBK"/>
          <w:b w:val="0"/>
          <w:sz w:val="24"/>
        </w:rPr>
        <w:t xml:space="preserve">第4年承接26.29 MW，正向校核负荷增至67.93 MW。该站利用相应主变容量承担片区内部负荷，接收能力按承接后的负荷进行正常运行及主变N-1校核。刚性方案第4年主变总容量为71.50 MVA，储能为0.00 MW；弹性方案相应为121.50 MVA和0.00 MW。弹性方案增加主变容量，为本站或片区承接负荷提供支撑。</w:t>
      </w:r>
    </w:p>
    <w:p>
      <w:pPr>
        <w:pStyle w:val="2"/>
        <w:keepNext/>
        <w:spacing w:line="300" w:lineRule="auto" w:before="120" w:after="80"/>
        <w:ind w:firstLine="0"/>
        <w:jc w:val="center"/>
      </w:pPr>
      <w:r>
        <w:rPr>
          <w:rFonts w:ascii="Times New Roman" w:hAnsi="Times New Roman" w:eastAsia="宋体"/>
          <w:b w:val="0"/>
          <w:sz w:val="21"/>
        </w:rPr>
        <w:t xml:space="preserve">表5-19 BDZ-00031站第4年配置与负荷转接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31.50+40.00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11.71</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29.92</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31.50+40.00+50.00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26.29</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67.93</w:t>
            </w:r>
          </w:p>
        </w:tc>
      </w:tr>
    </w:tbl>
    <w:p>
      <w:pPr>
        <w:pStyle w:val="7"/>
        <w:keepNext/>
        <w:numPr>
          <w:numId w:val="0"/>
        </w:numPr>
        <w:spacing w:line="360" w:lineRule="auto" w:before="160" w:after="120"/>
        <w:ind w:firstLine="0"/>
      </w:pPr>
      <w:bookmarkStart w:id="192" w:name="bdz-00037站规划分析"/>
      <w:r>
        <w:rPr>
          <w:rFonts w:ascii="Times New Roman" w:hAnsi="Times New Roman" w:eastAsia="方正仿宋_GBK"/>
          <w:b/>
          <w:sz w:val="24"/>
        </w:rPr>
        <w:t xml:space="preserve">BDZ-00037站规划分析</w:t>
      </w:r>
      <w:bookmarkEnd w:id="192"/>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该站基期主变配置为20.00+50.00 MVA，规划第4年转接前最大正向、反向净负荷分别为28.74 MW和28.03 MW，正向95%峰值持续时间为2.00 h。弹性方案沿用基期主变容量，后续各年通过站间负荷转接满足容量需求。</w:t>
      </w:r>
    </w:p>
    <w:p>
      <w:pPr>
        <w:pStyle w:val="2"/>
        <w:widowControl/>
        <w:spacing w:line="300" w:lineRule="auto" w:before="0" w:after="0"/>
        <w:ind w:firstLine="480"/>
        <w:jc w:val="both"/>
      </w:pPr>
      <w:r>
        <w:rPr>
          <w:rFonts w:ascii="Times New Roman" w:hAnsi="Times New Roman" w:eastAsia="方正仿宋_GBK"/>
          <w:b w:val="0"/>
          <w:sz w:val="24"/>
        </w:rPr>
        <w:t xml:space="preserve">第4年转出9.74 MW、承接0.00 MW后，正向校核负荷为19.00 MW。负荷转出降低正向需求，同时将反向校核上界提高至37.78 MW，配置按两个方向共同确定。刚性方案第4年主变总容量为100.00 MVA，储能为0.00 MW；弹性方案相应为70.00 MVA和0.00 MW。两类方案的本站主变配置接近，差异主要通过区域其他站点的容量和负荷安排体现。</w:t>
      </w:r>
    </w:p>
    <w:p>
      <w:pPr>
        <w:pStyle w:val="2"/>
        <w:keepNext/>
        <w:spacing w:line="300" w:lineRule="auto" w:before="120" w:after="80"/>
        <w:ind w:firstLine="0"/>
        <w:jc w:val="center"/>
      </w:pPr>
      <w:r>
        <w:rPr>
          <w:rFonts w:ascii="Times New Roman" w:hAnsi="Times New Roman" w:eastAsia="宋体"/>
          <w:b w:val="0"/>
          <w:sz w:val="21"/>
        </w:rPr>
        <w:t xml:space="preserve">表5-20 BDZ-00037站第4年配置与负荷转接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18.76</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47.50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9.74</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19.00</w:t>
            </w:r>
          </w:p>
        </w:tc>
      </w:tr>
    </w:tbl>
    <w:p>
      <w:pPr>
        <w:pStyle w:val="7"/>
        <w:keepNext/>
        <w:numPr>
          <w:numId w:val="0"/>
        </w:numPr>
        <w:spacing w:line="360" w:lineRule="auto" w:before="160" w:after="120"/>
        <w:ind w:firstLine="0"/>
      </w:pPr>
      <w:bookmarkStart w:id="193" w:name="bdz-00048站规划分析"/>
      <w:r>
        <w:rPr>
          <w:rFonts w:ascii="Times New Roman" w:hAnsi="Times New Roman" w:eastAsia="方正仿宋_GBK"/>
          <w:b/>
          <w:sz w:val="24"/>
        </w:rPr>
        <w:t xml:space="preserve">BDZ-00048站规划分析</w:t>
      </w:r>
      <w:bookmarkEnd w:id="193"/>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该站基期主变配置为20.00+80.00 MVA，规划第4年转接前最大正向、反向净负荷分别为76.30 MW和4.76 MW，正向95%峰值持续时间为3.00 h。弹性方案第1年扩建50 MVA主变；第2年实施主变增容，新购容量63.00 MVA。</w:t>
      </w:r>
    </w:p>
    <w:p>
      <w:pPr>
        <w:pStyle w:val="2"/>
        <w:widowControl/>
        <w:spacing w:line="300" w:lineRule="auto" w:before="0" w:after="0"/>
        <w:ind w:firstLine="480"/>
        <w:jc w:val="both"/>
      </w:pPr>
      <w:r>
        <w:rPr>
          <w:rFonts w:ascii="Times New Roman" w:hAnsi="Times New Roman" w:eastAsia="方正仿宋_GBK"/>
          <w:b w:val="0"/>
          <w:sz w:val="24"/>
        </w:rPr>
        <w:t xml:space="preserve">第4年承接31.05 MW，正向校核负荷增至107.35 MW。该站利用相应主变容量承担片区内部负荷，接收能力按承接后的负荷进行正常运行及主变N-1校核。刚性方案第4年主变总容量为143.00 MVA，储能为0.00 MW；弹性方案相应为193.00 MVA和0.00 MW。弹性方案增加主变容量，为本站或片区承接负荷提供支撑。</w:t>
      </w:r>
    </w:p>
    <w:p>
      <w:pPr>
        <w:pStyle w:val="2"/>
        <w:keepNext/>
        <w:spacing w:line="300" w:lineRule="auto" w:before="120" w:after="80"/>
        <w:ind w:firstLine="0"/>
        <w:jc w:val="center"/>
      </w:pPr>
      <w:r>
        <w:rPr>
          <w:rFonts w:ascii="Times New Roman" w:hAnsi="Times New Roman" w:eastAsia="宋体"/>
          <w:b w:val="0"/>
          <w:sz w:val="21"/>
        </w:rPr>
        <w:t xml:space="preserve">表5-21 BDZ-00048站第4年配置与负荷转接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63.00+80.00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16.45</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59.85</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63.00+80.00+50.00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31.05</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107.35</w:t>
            </w:r>
          </w:p>
        </w:tc>
      </w:tr>
    </w:tbl>
    <w:p>
      <w:pPr>
        <w:pStyle w:val="7"/>
        <w:keepNext/>
        <w:numPr>
          <w:numId w:val="0"/>
        </w:numPr>
        <w:spacing w:line="360" w:lineRule="auto" w:before="160" w:after="120"/>
        <w:ind w:firstLine="0"/>
      </w:pPr>
      <w:bookmarkStart w:id="194" w:name="bdz-00095站规划分析"/>
      <w:r>
        <w:rPr>
          <w:rFonts w:ascii="Times New Roman" w:hAnsi="Times New Roman" w:eastAsia="方正仿宋_GBK"/>
          <w:b/>
          <w:sz w:val="24"/>
        </w:rPr>
        <w:t xml:space="preserve">BDZ-00095站规划分析</w:t>
      </w:r>
      <w:bookmarkEnd w:id="194"/>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该站基期主变配置为20.00+50.00 MVA，规划第4年转接前最大正向、反向净负荷分别为23.91 MW和32.16 MW，正向95%峰值持续时间为2.00 h。弹性方案沿用基期主变容量，后续各年通过站间负荷转接满足容量需求。</w:t>
      </w:r>
    </w:p>
    <w:p>
      <w:pPr>
        <w:pStyle w:val="2"/>
        <w:widowControl/>
        <w:spacing w:line="300" w:lineRule="auto" w:before="0" w:after="0"/>
        <w:ind w:firstLine="480"/>
        <w:jc w:val="both"/>
      </w:pPr>
      <w:r>
        <w:rPr>
          <w:rFonts w:ascii="Times New Roman" w:hAnsi="Times New Roman" w:eastAsia="方正仿宋_GBK"/>
          <w:b w:val="0"/>
          <w:sz w:val="24"/>
        </w:rPr>
        <w:t xml:space="preserve">第4年转出4.91 MW、承接0.00 MW后，正向校核负荷为19.00 MW。负荷转出降低正向需求，同时将反向校核上界提高至37.06 MW，配置按两个方向共同确定。刚性方案第4年主变总容量为70.00 MVA，储能为0.00 MW；弹性方案相应为70.00 MVA和0.00 MW。两类方案的本站主变配置接近，差异主要通过区域其他站点的容量和负荷安排体现。</w:t>
      </w:r>
    </w:p>
    <w:p>
      <w:pPr>
        <w:pStyle w:val="2"/>
        <w:keepNext/>
        <w:spacing w:line="300" w:lineRule="auto" w:before="120" w:after="80"/>
        <w:ind w:firstLine="0"/>
        <w:jc w:val="center"/>
      </w:pPr>
      <w:r>
        <w:rPr>
          <w:rFonts w:ascii="Times New Roman" w:hAnsi="Times New Roman" w:eastAsia="宋体"/>
          <w:b w:val="0"/>
          <w:sz w:val="21"/>
        </w:rPr>
        <w:t xml:space="preserve">表5-22 BDZ-00095站第4年配置与负荷转接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4.91</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19.00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4.91</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19.00</w:t>
            </w:r>
          </w:p>
        </w:tc>
      </w:tr>
    </w:tbl>
    <w:p>
      <w:pPr>
        <w:pStyle w:val="7"/>
        <w:keepNext/>
        <w:numPr>
          <w:numId w:val="0"/>
        </w:numPr>
        <w:spacing w:line="360" w:lineRule="auto" w:before="160" w:after="120"/>
        <w:ind w:firstLine="0"/>
      </w:pPr>
      <w:bookmarkStart w:id="195" w:name="bdz-00096站规划分析"/>
      <w:r>
        <w:rPr>
          <w:rFonts w:ascii="Times New Roman" w:hAnsi="Times New Roman" w:eastAsia="方正仿宋_GBK"/>
          <w:b/>
          <w:sz w:val="24"/>
        </w:rPr>
        <w:t xml:space="preserve">BDZ-00096站规划分析</w:t>
      </w:r>
      <w:bookmarkEnd w:id="195"/>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该站基期主变配置为31.50+80.00 MVA，规划第4年转接前最大正向、反向净负荷分别为72.42 MW和0.00 MW，正向95%峰值持续时间为3.00 h。弹性方案第1年实施主变增容，新购容量63.00 MVA。</w:t>
      </w:r>
    </w:p>
    <w:p>
      <w:pPr>
        <w:pStyle w:val="2"/>
        <w:widowControl/>
        <w:spacing w:line="300" w:lineRule="auto" w:before="0" w:after="0"/>
        <w:ind w:firstLine="480"/>
        <w:jc w:val="both"/>
      </w:pPr>
      <w:r>
        <w:rPr>
          <w:rFonts w:ascii="Times New Roman" w:hAnsi="Times New Roman" w:eastAsia="方正仿宋_GBK"/>
          <w:b w:val="0"/>
          <w:sz w:val="24"/>
        </w:rPr>
        <w:t xml:space="preserve">第4年转出12.57 MW、承接0.00 MW后，正向校核负荷为59.85 MW。负荷转出降低正向需求，同时将反向校核上界提高至12.57 MW，配置按两个方向共同确定。刚性方案第4年主变总容量为143.00 MVA，储能为0.00 MW；弹性方案相应为143.00 MVA和0.00 MW。两类方案的本站主变配置接近，差异主要通过区域其他站点的容量和负荷安排体现。</w:t>
      </w:r>
    </w:p>
    <w:p>
      <w:pPr>
        <w:pStyle w:val="2"/>
        <w:keepNext/>
        <w:spacing w:line="300" w:lineRule="auto" w:before="120" w:after="80"/>
        <w:ind w:firstLine="0"/>
        <w:jc w:val="center"/>
      </w:pPr>
      <w:r>
        <w:rPr>
          <w:rFonts w:ascii="Times New Roman" w:hAnsi="Times New Roman" w:eastAsia="宋体"/>
          <w:b w:val="0"/>
          <w:sz w:val="21"/>
        </w:rPr>
        <w:t xml:space="preserve">表5-23 BDZ-00096站第4年配置与负荷转接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63.00+80.00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12.57</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59.85</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63.00+80.00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12.57</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59.85</w:t>
            </w:r>
          </w:p>
        </w:tc>
      </w:tr>
    </w:tbl>
    <w:p>
      <w:pPr>
        <w:pStyle w:val="7"/>
        <w:keepNext/>
        <w:numPr>
          <w:numId w:val="0"/>
        </w:numPr>
        <w:spacing w:line="360" w:lineRule="auto" w:before="160" w:after="120"/>
        <w:ind w:firstLine="0"/>
      </w:pPr>
      <w:bookmarkStart w:id="196" w:name="bdz-00124站规划分析"/>
      <w:r>
        <w:rPr>
          <w:rFonts w:ascii="Times New Roman" w:hAnsi="Times New Roman" w:eastAsia="方正仿宋_GBK"/>
          <w:b/>
          <w:sz w:val="24"/>
        </w:rPr>
        <w:t xml:space="preserve">BDZ-00124站规划分析</w:t>
      </w:r>
      <w:bookmarkEnd w:id="196"/>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该站基期主变配置为31.50+40.00 MVA，规划第4年转接前最大正向、反向净负荷分别为64.11 MW和31.99 MW，正向95%峰值持续时间为3.00 h。弹性方案第4年实施主变增容，新购容量40.00 MVA。</w:t>
      </w:r>
    </w:p>
    <w:p>
      <w:pPr>
        <w:pStyle w:val="2"/>
        <w:widowControl/>
        <w:spacing w:line="300" w:lineRule="auto" w:before="0" w:after="0"/>
        <w:ind w:firstLine="480"/>
        <w:jc w:val="both"/>
      </w:pPr>
      <w:r>
        <w:rPr>
          <w:rFonts w:ascii="Times New Roman" w:hAnsi="Times New Roman" w:eastAsia="方正仿宋_GBK"/>
          <w:b w:val="0"/>
          <w:sz w:val="24"/>
        </w:rPr>
        <w:t xml:space="preserve">第4年转出26.11 MW、承接0.00 MW后，正向校核负荷为38.00 MW。负荷转出降低正向需求，同时将反向校核上界提高至58.10 MW，配置按两个方向共同确定。刚性方案第4年主变总容量为71.50 MVA，储能为3.00 MW；弹性方案相应为80.00 MVA和0.00 MW。弹性方案储能减少3.00 MW，主变N-1工况的容量支撑更多由在役主变和站间负荷配置承担。</w:t>
      </w:r>
    </w:p>
    <w:p>
      <w:pPr>
        <w:pStyle w:val="2"/>
        <w:keepNext/>
        <w:spacing w:line="300" w:lineRule="auto" w:before="120" w:after="80"/>
        <w:ind w:firstLine="0"/>
        <w:jc w:val="center"/>
      </w:pPr>
      <w:r>
        <w:rPr>
          <w:rFonts w:ascii="Times New Roman" w:hAnsi="Times New Roman" w:eastAsia="宋体"/>
          <w:b w:val="0"/>
          <w:sz w:val="21"/>
        </w:rPr>
        <w:t xml:space="preserve">表5-24 BDZ-00124站第4年配置与负荷转接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31.50+40.00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3.00/6.45</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32.04</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32.07</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26.11</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7"/>
        <w:keepNext/>
        <w:numPr>
          <w:numId w:val="0"/>
        </w:numPr>
        <w:spacing w:line="360" w:lineRule="auto" w:before="160" w:after="120"/>
        <w:ind w:firstLine="0"/>
      </w:pPr>
      <w:bookmarkStart w:id="197" w:name="bdz-00135站规划分析"/>
      <w:r>
        <w:rPr>
          <w:rFonts w:ascii="Times New Roman" w:hAnsi="Times New Roman" w:eastAsia="方正仿宋_GBK"/>
          <w:b/>
          <w:sz w:val="24"/>
        </w:rPr>
        <w:t xml:space="preserve">BDZ-00135站规划分析</w:t>
      </w:r>
      <w:bookmarkEnd w:id="197"/>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该站基期主变配置为31.50+40.00 MVA，规划第4年转接前最大正向、反向净负荷分别为88.53 MW和59.41 MW，正向95%峰值持续时间为1.00 h。弹性方案第1年实施主变增容，新购容量100.00 MVA；第2年新增储能0.20 MW/0.43 MWh；第4年新增储能2.60 MW/5.59 MWh。</w:t>
      </w:r>
    </w:p>
    <w:p>
      <w:pPr>
        <w:pStyle w:val="2"/>
        <w:widowControl/>
        <w:spacing w:line="300" w:lineRule="auto" w:before="0" w:after="0"/>
        <w:ind w:firstLine="480"/>
        <w:jc w:val="both"/>
      </w:pPr>
      <w:r>
        <w:rPr>
          <w:rFonts w:ascii="Times New Roman" w:hAnsi="Times New Roman" w:eastAsia="方正仿宋_GBK"/>
          <w:b w:val="0"/>
          <w:sz w:val="24"/>
        </w:rPr>
        <w:t xml:space="preserve">第4年转出38.23 MW、承接0.00 MW后，正向校核负荷为50.30 MW。负荷转出降低正向需求，同时将反向校核上界提高至97.64 MW，配置按两个方向共同确定。刚性方案第4年主变总容量为71.50 MVA，储能为88.60 MW；弹性方案相应为100.00 MVA和2.80 MW。弹性方案储能减少85.80 MW，主变N-1工况的容量支撑更多由在役主变和站间负荷配置承担。</w:t>
      </w:r>
    </w:p>
    <w:p>
      <w:pPr>
        <w:pStyle w:val="2"/>
        <w:keepNext/>
        <w:spacing w:line="300" w:lineRule="auto" w:before="120" w:after="80"/>
        <w:ind w:firstLine="0"/>
        <w:jc w:val="center"/>
      </w:pPr>
      <w:r>
        <w:rPr>
          <w:rFonts w:ascii="Times New Roman" w:hAnsi="Times New Roman" w:eastAsia="宋体"/>
          <w:b w:val="0"/>
          <w:sz w:val="21"/>
        </w:rPr>
        <w:t xml:space="preserve">表5-25 BDZ-00135站第4年配置与负荷转接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31.50+40.00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88.60/190.49</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88.53</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2.80/6.02</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38.23</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50.30</w:t>
            </w:r>
          </w:p>
        </w:tc>
      </w:tr>
    </w:tbl>
    <w:p>
      <w:pPr>
        <w:pStyle w:val="7"/>
        <w:keepNext/>
        <w:numPr>
          <w:numId w:val="0"/>
        </w:numPr>
        <w:spacing w:line="360" w:lineRule="auto" w:before="160" w:after="120"/>
        <w:ind w:firstLine="0"/>
      </w:pPr>
      <w:bookmarkStart w:id="198" w:name="bdz-00141站规划分析"/>
      <w:r>
        <w:rPr>
          <w:rFonts w:ascii="Times New Roman" w:hAnsi="Times New Roman" w:eastAsia="方正仿宋_GBK"/>
          <w:b/>
          <w:sz w:val="24"/>
        </w:rPr>
        <w:t xml:space="preserve">BDZ-00141站规划分析</w:t>
      </w:r>
      <w:bookmarkEnd w:id="198"/>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该站基期主变配置为20.00+50.00 MVA，规划第4年转接前最大正向、反向净负荷分别为41.61 MW和39.10 MW，正向95%峰值持续时间为2.00 h。弹性方案第3年实施主变增容，新购容量50.00 MVA。</w:t>
      </w:r>
    </w:p>
    <w:p>
      <w:pPr>
        <w:pStyle w:val="2"/>
        <w:widowControl/>
        <w:spacing w:line="300" w:lineRule="auto" w:before="0" w:after="0"/>
        <w:ind w:firstLine="480"/>
        <w:jc w:val="both"/>
      </w:pPr>
      <w:r>
        <w:rPr>
          <w:rFonts w:ascii="Times New Roman" w:hAnsi="Times New Roman" w:eastAsia="方正仿宋_GBK"/>
          <w:b w:val="0"/>
          <w:sz w:val="24"/>
        </w:rPr>
        <w:t xml:space="preserve">第4年承接5.89 MW，正向校核负荷增至47.50 MW。该站利用相应主变容量承担片区内部负荷，接收能力按承接后的负荷进行正常运行及主变N-1校核。刚性方案第4年主变总容量为70.00 MVA，储能为21.20 MW；弹性方案相应为100.00 MVA和0.00 MW。弹性方案储能减少21.20 MW，主变N-1工况的容量支撑更多由在役主变和站间负荷配置承担。</w:t>
      </w:r>
    </w:p>
    <w:p>
      <w:pPr>
        <w:pStyle w:val="2"/>
        <w:keepNext/>
        <w:spacing w:line="300" w:lineRule="auto" w:before="120" w:after="80"/>
        <w:ind w:firstLine="0"/>
        <w:jc w:val="center"/>
      </w:pPr>
      <w:r>
        <w:rPr>
          <w:rFonts w:ascii="Times New Roman" w:hAnsi="Times New Roman" w:eastAsia="宋体"/>
          <w:b w:val="0"/>
          <w:sz w:val="21"/>
        </w:rPr>
        <w:t xml:space="preserve">表5-26 BDZ-00141站第4年配置与负荷转接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21.20/45.58</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1.41</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40.20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5.89</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47.50</w:t>
            </w:r>
          </w:p>
        </w:tc>
      </w:tr>
    </w:tbl>
    <w:p>
      <w:pPr>
        <w:pStyle w:val="7"/>
        <w:keepNext/>
        <w:numPr>
          <w:numId w:val="0"/>
        </w:numPr>
        <w:spacing w:line="360" w:lineRule="auto" w:before="160" w:after="120"/>
        <w:ind w:firstLine="0"/>
      </w:pPr>
      <w:bookmarkStart w:id="199" w:name="bdz-00146站规划分析"/>
      <w:r>
        <w:rPr>
          <w:rFonts w:ascii="Times New Roman" w:hAnsi="Times New Roman" w:eastAsia="方正仿宋_GBK"/>
          <w:b/>
          <w:sz w:val="24"/>
        </w:rPr>
        <w:t xml:space="preserve">BDZ-00146站规划分析</w:t>
      </w:r>
      <w:bookmarkEnd w:id="199"/>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该站基期主变配置为20.00+31.50 MVA，规划第4年转接前最大正向、反向净负荷分别为27.06 MW和30.06 MW，正向95%峰值持续时间为2.00 h。弹性方案第3年扩建50 MVA主变。</w:t>
      </w:r>
    </w:p>
    <w:p>
      <w:pPr>
        <w:pStyle w:val="2"/>
        <w:widowControl/>
        <w:spacing w:line="300" w:lineRule="auto" w:before="0" w:after="0"/>
        <w:ind w:firstLine="480"/>
        <w:jc w:val="both"/>
      </w:pPr>
      <w:r>
        <w:rPr>
          <w:rFonts w:ascii="Times New Roman" w:hAnsi="Times New Roman" w:eastAsia="方正仿宋_GBK"/>
          <w:b w:val="0"/>
          <w:sz w:val="24"/>
        </w:rPr>
        <w:t xml:space="preserve">第4年承接21.86 MW，正向校核负荷增至48.93 MW。该站利用相应主变容量承担片区内部负荷，接收能力按承接后的负荷进行正常运行及主变N-1校核。刚性方案第4年主变总容量为101.50 MVA，储能为30.10 MW；弹性方案相应为101.50 MVA和0.00 MW。弹性方案储能减少30.10 MW，主变N-1工况的容量支撑更多由在役主变和站间负荷配置承担。</w:t>
      </w:r>
    </w:p>
    <w:p>
      <w:pPr>
        <w:pStyle w:val="2"/>
        <w:keepNext/>
        <w:spacing w:line="300" w:lineRule="auto" w:before="120" w:after="80"/>
        <w:ind w:firstLine="0"/>
        <w:jc w:val="center"/>
      </w:pPr>
      <w:r>
        <w:rPr>
          <w:rFonts w:ascii="Times New Roman" w:hAnsi="Times New Roman" w:eastAsia="宋体"/>
          <w:b w:val="0"/>
          <w:sz w:val="21"/>
        </w:rPr>
        <w:t xml:space="preserve">表5-27 BDZ-00146站第4年配置与负荷转接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20.00+31.50+50.00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30.10/64.72</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51.96</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79.03</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20.00+31.50+50.00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21.86</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48.93</w:t>
            </w:r>
          </w:p>
        </w:tc>
      </w:tr>
    </w:tbl>
    <w:p>
      <w:pPr>
        <w:pStyle w:val="7"/>
        <w:keepNext/>
        <w:numPr>
          <w:numId w:val="0"/>
        </w:numPr>
        <w:spacing w:line="360" w:lineRule="auto" w:before="160" w:after="120"/>
        <w:ind w:firstLine="0"/>
      </w:pPr>
      <w:bookmarkStart w:id="200" w:name="bdz-00147站规划分析"/>
      <w:r>
        <w:rPr>
          <w:rFonts w:ascii="Times New Roman" w:hAnsi="Times New Roman" w:eastAsia="方正仿宋_GBK"/>
          <w:b/>
          <w:sz w:val="24"/>
        </w:rPr>
        <w:t xml:space="preserve">BDZ-00147站规划分析</w:t>
      </w:r>
      <w:bookmarkEnd w:id="200"/>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该站基期主变配置为20.00+50.00 MVA，规划第4年转接前最大正向、反向净负荷分别为52.41 MW和0.00 MW，正向95%峰值持续时间为3.00 h。弹性方案第1年扩建50 MVA主变。</w:t>
      </w:r>
    </w:p>
    <w:p>
      <w:pPr>
        <w:pStyle w:val="2"/>
        <w:widowControl/>
        <w:spacing w:line="300" w:lineRule="auto" w:before="0" w:after="0"/>
        <w:ind w:firstLine="480"/>
        <w:jc w:val="both"/>
      </w:pPr>
      <w:r>
        <w:rPr>
          <w:rFonts w:ascii="Times New Roman" w:hAnsi="Times New Roman" w:eastAsia="方正仿宋_GBK"/>
          <w:b w:val="0"/>
          <w:sz w:val="24"/>
        </w:rPr>
        <w:t xml:space="preserve">第4年承接14.09 MW，正向校核负荷增至66.50 MW。该站利用相应主变容量承担片区内部负荷，接收能力按承接后的负荷进行正常运行及主变N-1校核。刚性方案第4年主变总容量为90.00 MVA，储能为2.50 MW；弹性方案相应为120.00 MVA和0.00 MW。弹性方案储能减少2.50 MW，主变N-1工况的容量支撑更多由在役主变和站间负荷配置承担。</w:t>
      </w:r>
    </w:p>
    <w:p>
      <w:pPr>
        <w:pStyle w:val="2"/>
        <w:keepNext/>
        <w:spacing w:line="300" w:lineRule="auto" w:before="120" w:after="80"/>
        <w:ind w:firstLine="0"/>
        <w:jc w:val="center"/>
      </w:pPr>
      <w:r>
        <w:rPr>
          <w:rFonts w:ascii="Times New Roman" w:hAnsi="Times New Roman" w:eastAsia="宋体"/>
          <w:b w:val="0"/>
          <w:sz w:val="21"/>
        </w:rPr>
        <w:t xml:space="preserve">表5-28 BDZ-00147站第4年配置与负荷转接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2.50/5.38</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12.62</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39.79</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20.00+50.00+50.00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14.09</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66.50</w:t>
            </w:r>
          </w:p>
        </w:tc>
      </w:tr>
    </w:tbl>
    <w:p>
      <w:pPr>
        <w:pStyle w:val="7"/>
        <w:keepNext/>
        <w:numPr>
          <w:numId w:val="0"/>
        </w:numPr>
        <w:spacing w:line="360" w:lineRule="auto" w:before="160" w:after="120"/>
        <w:ind w:firstLine="0"/>
      </w:pPr>
      <w:bookmarkStart w:id="201" w:name="bdz-00162站规划分析"/>
      <w:r>
        <w:rPr>
          <w:rFonts w:ascii="Times New Roman" w:hAnsi="Times New Roman" w:eastAsia="方正仿宋_GBK"/>
          <w:b/>
          <w:sz w:val="24"/>
        </w:rPr>
        <w:t xml:space="preserve">BDZ-00162站规划分析</w:t>
      </w:r>
      <w:bookmarkEnd w:id="201"/>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该站基期主变配置为20.00+20.00 MVA，规划第4年转接前最大正向、反向净负荷分别为20.04 MW和36.74 MW，正向95%峰值持续时间为2.00 h。弹性方案第4年扩建50 MVA主变。</w:t>
      </w:r>
    </w:p>
    <w:p>
      <w:pPr>
        <w:pStyle w:val="2"/>
        <w:widowControl/>
        <w:spacing w:line="300" w:lineRule="auto" w:before="0" w:after="0"/>
        <w:ind w:firstLine="480"/>
        <w:jc w:val="both"/>
      </w:pPr>
      <w:r>
        <w:rPr>
          <w:rFonts w:ascii="Times New Roman" w:hAnsi="Times New Roman" w:eastAsia="方正仿宋_GBK"/>
          <w:b w:val="0"/>
          <w:sz w:val="24"/>
        </w:rPr>
        <w:t xml:space="preserve">第4年承接17.96 MW，正向校核负荷增至38.00 MW。该站利用相应主变容量承担片区内部负荷，接收能力按承接后的负荷进行正常运行及主变N-1校核。刚性方案第4年主变总容量为90.00 MVA，储能为0.00 MW；弹性方案相应为90.00 MVA和0.00 MW。两类方案的本站主变配置接近，差异主要通过区域其他站点的容量和负荷安排体现。</w:t>
      </w:r>
    </w:p>
    <w:p>
      <w:pPr>
        <w:pStyle w:val="2"/>
        <w:keepNext/>
        <w:spacing w:line="300" w:lineRule="auto" w:before="120" w:after="80"/>
        <w:ind w:firstLine="0"/>
        <w:jc w:val="center"/>
      </w:pPr>
      <w:r>
        <w:rPr>
          <w:rFonts w:ascii="Times New Roman" w:hAnsi="Times New Roman" w:eastAsia="宋体"/>
          <w:b w:val="0"/>
          <w:sz w:val="21"/>
        </w:rPr>
        <w:t xml:space="preserve">表5-29 BDZ-00162站第4年配置与负荷转接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20.00+20.00+50.00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17.96</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20.00+20.00+50.00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17.96</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7"/>
        <w:keepNext/>
        <w:numPr>
          <w:numId w:val="0"/>
        </w:numPr>
        <w:spacing w:line="360" w:lineRule="auto" w:before="160" w:after="120"/>
        <w:ind w:firstLine="0"/>
      </w:pPr>
      <w:bookmarkStart w:id="202" w:name="bdz-00164站规划分析"/>
      <w:r>
        <w:rPr>
          <w:rFonts w:ascii="Times New Roman" w:hAnsi="Times New Roman" w:eastAsia="方正仿宋_GBK"/>
          <w:b/>
          <w:sz w:val="24"/>
        </w:rPr>
        <w:t xml:space="preserve">BDZ-00164站规划分析</w:t>
      </w:r>
      <w:bookmarkEnd w:id="202"/>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该站基期主变配置为20.00+20.00 MVA，规划第4年转接前最大正向、反向净负荷分别为40.86 MW和31.84 MW，正向95%峰值持续时间为3.00 h。弹性方案第1年扩建50 MVA主变。</w:t>
      </w:r>
    </w:p>
    <w:p>
      <w:pPr>
        <w:pStyle w:val="2"/>
        <w:widowControl/>
        <w:spacing w:line="300" w:lineRule="auto" w:before="0" w:after="0"/>
        <w:ind w:firstLine="480"/>
        <w:jc w:val="both"/>
      </w:pPr>
      <w:r>
        <w:rPr>
          <w:rFonts w:ascii="Times New Roman" w:hAnsi="Times New Roman" w:eastAsia="方正仿宋_GBK"/>
          <w:b w:val="0"/>
          <w:sz w:val="24"/>
        </w:rPr>
        <w:t xml:space="preserve">第4年转出2.86 MW、承接0.00 MW后，正向校核负荷为38.00 MW。负荷转出降低正向需求，同时将反向校核上界提高至34.70 MW，配置按两个方向共同确定。刚性方案第4年主变总容量为110.00 MVA，储能为0.40 MW；弹性方案相应为90.00 MVA和0.00 MW。弹性方案储能减少0.40 MW，主变N-1工况的容量支撑更多由在役主变和站间负荷配置承担。</w:t>
      </w:r>
    </w:p>
    <w:p>
      <w:pPr>
        <w:pStyle w:val="2"/>
        <w:keepNext/>
        <w:spacing w:line="300" w:lineRule="auto" w:before="120" w:after="80"/>
        <w:ind w:firstLine="0"/>
        <w:jc w:val="center"/>
      </w:pPr>
      <w:r>
        <w:rPr>
          <w:rFonts w:ascii="Times New Roman" w:hAnsi="Times New Roman" w:eastAsia="宋体"/>
          <w:b w:val="0"/>
          <w:sz w:val="21"/>
        </w:rPr>
        <w:t xml:space="preserve">表5-30 BDZ-00164站第4年配置与负荷转接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20.00+40.00+50.00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0.40/0.86</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16.43</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57.29</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20.00+20.00+50.00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2.86</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7"/>
        <w:keepNext/>
        <w:numPr>
          <w:numId w:val="0"/>
        </w:numPr>
        <w:spacing w:line="360" w:lineRule="auto" w:before="160" w:after="120"/>
        <w:ind w:firstLine="0"/>
      </w:pPr>
      <w:bookmarkStart w:id="203" w:name="bdz-00172站规划分析"/>
      <w:r>
        <w:rPr>
          <w:rFonts w:ascii="Times New Roman" w:hAnsi="Times New Roman" w:eastAsia="方正仿宋_GBK"/>
          <w:b/>
          <w:sz w:val="24"/>
        </w:rPr>
        <w:t xml:space="preserve">BDZ-00172站规划分析</w:t>
      </w:r>
      <w:bookmarkEnd w:id="203"/>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该站基期主变配置为20.00+50.00 MVA，规划第4年转接前最大正向、反向净负荷分别为35.94 MW和23.78 MW，正向95%峰值持续时间为2.00 h。弹性方案第1年扩建50 MVA主变。</w:t>
      </w:r>
    </w:p>
    <w:p>
      <w:pPr>
        <w:pStyle w:val="2"/>
        <w:widowControl/>
        <w:spacing w:line="300" w:lineRule="auto" w:before="0" w:after="0"/>
        <w:ind w:firstLine="480"/>
        <w:jc w:val="both"/>
      </w:pPr>
      <w:r>
        <w:rPr>
          <w:rFonts w:ascii="Times New Roman" w:hAnsi="Times New Roman" w:eastAsia="方正仿宋_GBK"/>
          <w:b w:val="0"/>
          <w:sz w:val="24"/>
        </w:rPr>
        <w:t xml:space="preserve">第4年承接30.56 MW，正向校核负荷增至66.50 MW。该站利用相应主变容量承担片区内部负荷，接收能力按承接后的负荷进行正常运行及主变N-1校核。刚性方案第4年主变总容量为131.50 MVA，储能为0.90 MW；弹性方案相应为120.00 MVA和0.00 MW。弹性方案储能减少0.90 MW，主变N-1工况的容量支撑更多由在役主变和站间负荷配置承担。</w:t>
      </w:r>
    </w:p>
    <w:p>
      <w:pPr>
        <w:pStyle w:val="2"/>
        <w:keepNext/>
        <w:spacing w:line="300" w:lineRule="auto" w:before="120" w:after="80"/>
        <w:ind w:firstLine="0"/>
        <w:jc w:val="center"/>
      </w:pPr>
      <w:r>
        <w:rPr>
          <w:rFonts w:ascii="Times New Roman" w:hAnsi="Times New Roman" w:eastAsia="宋体"/>
          <w:b w:val="0"/>
          <w:sz w:val="21"/>
        </w:rPr>
        <w:t xml:space="preserve">表5-31 BDZ-00172站第4年配置与负荷转接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31.50+50.00+50.00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0.90/1.94</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42.39</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78.33</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20.00+50.00+50.00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30.56</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66.50</w:t>
            </w:r>
          </w:p>
        </w:tc>
      </w:tr>
    </w:tbl>
    <w:p>
      <w:pPr>
        <w:pStyle w:val="5"/>
        <w:keepNext/>
        <w:numPr>
          <w:numId w:val="0"/>
        </w:numPr>
        <w:spacing w:line="360" w:lineRule="auto" w:before="160" w:after="120"/>
        <w:ind w:firstLine="0"/>
      </w:pPr>
      <w:bookmarkStart w:id="204" w:name="市区逐站规划方案"/>
      <w:r>
        <w:rPr>
          <w:rFonts w:ascii="Times New Roman" w:hAnsi="Times New Roman" w:eastAsia="方正仿宋_GBK"/>
          <w:b/>
          <w:sz w:val="26"/>
        </w:rPr>
        <w:t xml:space="preserve">5.4.5 市区逐站规划方案</w:t>
      </w:r>
      <w:bookmarkEnd w:id="204"/>
    </w:p>
    <w:p>
      <w:pPr>
        <w:pStyle w:val="FirstParagraph"/>
        <w:widowControl/>
        <w:spacing w:line="300" w:lineRule="auto" w:before="0" w:after="0"/>
        <w:ind w:firstLine="480"/>
        <w:jc w:val="both"/>
      </w:pPr>
      <w:r>
        <w:rPr>
          <w:rFonts w:ascii="Times New Roman" w:hAnsi="Times New Roman" w:eastAsia="方正仿宋_GBK"/>
          <w:b w:val="0"/>
          <w:sz w:val="24"/>
        </w:rPr>
        <w:t xml:space="preserve">市区各站按A类供电区域进行规划，站级需求以正向供电和主变N-1为主。以下结合重载站负荷转出和承接站容量配置说明建设安排。</w:t>
      </w:r>
    </w:p>
    <w:p>
      <w:pPr>
        <w:pStyle w:val="7"/>
        <w:keepNext/>
        <w:numPr>
          <w:numId w:val="0"/>
        </w:numPr>
        <w:spacing w:line="360" w:lineRule="auto" w:before="160" w:after="120"/>
        <w:ind w:firstLine="0"/>
      </w:pPr>
      <w:bookmarkStart w:id="205" w:name="bdz-00012站规划分析"/>
      <w:r>
        <w:rPr>
          <w:rFonts w:ascii="Times New Roman" w:hAnsi="Times New Roman" w:eastAsia="方正仿宋_GBK"/>
          <w:b/>
          <w:sz w:val="24"/>
        </w:rPr>
        <w:t xml:space="preserve">BDZ-00012站规划分析</w:t>
      </w:r>
      <w:bookmarkEnd w:id="205"/>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MVA，规划第4年转接前最大正向、反向净负荷分别为27.92 MW和30.90 MW，正向95%峰值持续时间为2.00 h。弹性方案沿用基期主变容量，后续各年通过站间负荷转接满足容量需求。</w:t>
      </w:r>
    </w:p>
    <w:p>
      <w:pPr>
        <w:pStyle w:val="2"/>
        <w:widowControl/>
        <w:spacing w:line="300" w:lineRule="auto" w:before="0" w:after="0"/>
        <w:ind w:firstLine="480"/>
        <w:jc w:val="both"/>
      </w:pPr>
      <w:r>
        <w:rPr>
          <w:rFonts w:ascii="Times New Roman" w:hAnsi="Times New Roman" w:eastAsia="方正仿宋_GBK"/>
          <w:b w:val="0"/>
          <w:sz w:val="24"/>
        </w:rPr>
        <w:t xml:space="preserve">第4年承接10.08 MW，正向校核负荷增至38.00 MW。该站利用相应主变容量承担片区内部负荷，接收能力按承接后的负荷进行正常运行及主变N-1校核。刚性方案第4年主变总容量为80.00 MVA，储能为31.00 MW；弹性方案相应为80.00 MVA和0.00 MW。弹性方案储能减少31.00 MW，主变N-1工况的容量支撑更多由在役主变和站间负荷配置承担。</w:t>
      </w:r>
    </w:p>
    <w:p>
      <w:pPr>
        <w:pStyle w:val="2"/>
        <w:keepNext/>
        <w:spacing w:line="300" w:lineRule="auto" w:before="120" w:after="80"/>
        <w:ind w:firstLine="0"/>
        <w:jc w:val="center"/>
      </w:pPr>
      <w:r>
        <w:rPr>
          <w:rFonts w:ascii="Times New Roman" w:hAnsi="Times New Roman" w:eastAsia="宋体"/>
          <w:b w:val="0"/>
          <w:sz w:val="21"/>
        </w:rPr>
        <w:t xml:space="preserve">表5-32 BDZ-00012站第4年配置与负荷转接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31.00/66.65</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41.08</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69.00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10.08</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7"/>
        <w:keepNext/>
        <w:numPr>
          <w:numId w:val="0"/>
        </w:numPr>
        <w:spacing w:line="360" w:lineRule="auto" w:before="160" w:after="120"/>
        <w:ind w:firstLine="0"/>
      </w:pPr>
      <w:bookmarkStart w:id="206" w:name="bdz-00013站规划分析"/>
      <w:r>
        <w:rPr>
          <w:rFonts w:ascii="Times New Roman" w:hAnsi="Times New Roman" w:eastAsia="方正仿宋_GBK"/>
          <w:b/>
          <w:sz w:val="24"/>
        </w:rPr>
        <w:t xml:space="preserve">BDZ-00013站规划分析</w:t>
      </w:r>
      <w:bookmarkEnd w:id="206"/>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MVA，规划第4年转接前最大正向、反向净负荷分别为60.81 MW和7.52 MW，正向95%峰值持续时间为4.00 h。弹性方案第1年扩建50 MVA主变。</w:t>
      </w:r>
    </w:p>
    <w:p>
      <w:pPr>
        <w:pStyle w:val="2"/>
        <w:widowControl/>
        <w:spacing w:line="300" w:lineRule="auto" w:before="0" w:after="0"/>
        <w:ind w:firstLine="480"/>
        <w:jc w:val="both"/>
      </w:pPr>
      <w:r>
        <w:rPr>
          <w:rFonts w:ascii="Times New Roman" w:hAnsi="Times New Roman" w:eastAsia="方正仿宋_GBK"/>
          <w:b w:val="0"/>
          <w:sz w:val="24"/>
        </w:rPr>
        <w:t xml:space="preserve">第4年承接15.19 MW，正向校核负荷增至76.00 MW。该站利用相应主变容量承担片区内部负荷，接收能力按承接后的负荷进行正常运行及主变N-1校核。刚性方案第4年主变总容量为80.00 MVA，储能为0.00 MW；弹性方案相应为130.00 MVA和0.00 MW。弹性方案增加主变容量，为本站或片区承接负荷提供支撑。</w:t>
      </w:r>
    </w:p>
    <w:p>
      <w:pPr>
        <w:pStyle w:val="2"/>
        <w:keepNext/>
        <w:spacing w:line="300" w:lineRule="auto" w:before="120" w:after="80"/>
        <w:ind w:firstLine="0"/>
        <w:jc w:val="center"/>
      </w:pPr>
      <w:r>
        <w:rPr>
          <w:rFonts w:ascii="Times New Roman" w:hAnsi="Times New Roman" w:eastAsia="宋体"/>
          <w:b w:val="0"/>
          <w:sz w:val="21"/>
        </w:rPr>
        <w:t xml:space="preserve">表5-33 BDZ-00013站第4年配置与负荷转接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22.81</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15.19</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76.00</w:t>
            </w:r>
          </w:p>
        </w:tc>
      </w:tr>
    </w:tbl>
    <w:p>
      <w:pPr>
        <w:pStyle w:val="7"/>
        <w:keepNext/>
        <w:numPr>
          <w:numId w:val="0"/>
        </w:numPr>
        <w:spacing w:line="360" w:lineRule="auto" w:before="160" w:after="120"/>
        <w:ind w:firstLine="0"/>
      </w:pPr>
      <w:bookmarkStart w:id="207" w:name="bdz-00023站规划分析"/>
      <w:r>
        <w:rPr>
          <w:rFonts w:ascii="Times New Roman" w:hAnsi="Times New Roman" w:eastAsia="方正仿宋_GBK"/>
          <w:b/>
          <w:sz w:val="24"/>
        </w:rPr>
        <w:t xml:space="preserve">BDZ-00023站规划分析</w:t>
      </w:r>
      <w:bookmarkEnd w:id="207"/>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该站基期主变配置为40.00+63.00 MVA，规划第4年转接前最大正向、反向净负荷分别为89.01 MW和0.00 MW，正向95%峰值持续时间为4.00 h。弹性方案第4年实施主变增容，新购容量63.00 MVA。</w:t>
      </w:r>
    </w:p>
    <w:p>
      <w:pPr>
        <w:pStyle w:val="2"/>
        <w:widowControl/>
        <w:spacing w:line="300" w:lineRule="auto" w:before="0" w:after="0"/>
        <w:ind w:firstLine="480"/>
        <w:jc w:val="both"/>
      </w:pPr>
      <w:r>
        <w:rPr>
          <w:rFonts w:ascii="Times New Roman" w:hAnsi="Times New Roman" w:eastAsia="方正仿宋_GBK"/>
          <w:b w:val="0"/>
          <w:sz w:val="24"/>
        </w:rPr>
        <w:t xml:space="preserve">第4年转出29.16 MW、承接0.00 MW后，正向校核负荷为59.85 MW。负荷转出降低正向需求，同时将反向校核上界提高至29.16 MW，配置按两个方向共同确定。刚性方案第4年主变总容量为126.00 MVA，储能为0.00 MW；弹性方案相应为126.00 MVA和0.00 MW。两类方案的本站主变配置接近，差异主要通过区域其他站点的容量和负荷安排体现。</w:t>
      </w:r>
    </w:p>
    <w:p>
      <w:pPr>
        <w:pStyle w:val="2"/>
        <w:keepNext/>
        <w:spacing w:line="300" w:lineRule="auto" w:before="120" w:after="80"/>
        <w:ind w:firstLine="0"/>
        <w:jc w:val="center"/>
      </w:pPr>
      <w:r>
        <w:rPr>
          <w:rFonts w:ascii="Times New Roman" w:hAnsi="Times New Roman" w:eastAsia="宋体"/>
          <w:b w:val="0"/>
          <w:sz w:val="21"/>
        </w:rPr>
        <w:t xml:space="preserve">表5-34 BDZ-00023站第4年配置与负荷转接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63.00+63.00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29.16</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59.85</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63.00+63.00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29.16</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59.85</w:t>
            </w:r>
          </w:p>
        </w:tc>
      </w:tr>
    </w:tbl>
    <w:p>
      <w:pPr>
        <w:pStyle w:val="7"/>
        <w:keepNext/>
        <w:numPr>
          <w:numId w:val="0"/>
        </w:numPr>
        <w:spacing w:line="360" w:lineRule="auto" w:before="160" w:after="120"/>
        <w:ind w:firstLine="0"/>
      </w:pPr>
      <w:bookmarkStart w:id="208" w:name="bdz-00024站规划分析"/>
      <w:r>
        <w:rPr>
          <w:rFonts w:ascii="Times New Roman" w:hAnsi="Times New Roman" w:eastAsia="方正仿宋_GBK"/>
          <w:b/>
          <w:sz w:val="24"/>
        </w:rPr>
        <w:t xml:space="preserve">BDZ-00024站规划分析</w:t>
      </w:r>
      <w:bookmarkEnd w:id="208"/>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该站基期主变配置为40.00+50.00 MVA，规划第4年转接前最大正向、反向净负荷分别为82.69 MW和0.00 MW，正向95%峰值持续时间为2.00 h。弹性方案沿用基期主变容量，后续各年通过站间负荷转接满足容量需求。</w:t>
      </w:r>
    </w:p>
    <w:p>
      <w:pPr>
        <w:pStyle w:val="2"/>
        <w:widowControl/>
        <w:spacing w:line="300" w:lineRule="auto" w:before="0" w:after="0"/>
        <w:ind w:firstLine="480"/>
        <w:jc w:val="both"/>
      </w:pPr>
      <w:r>
        <w:rPr>
          <w:rFonts w:ascii="Times New Roman" w:hAnsi="Times New Roman" w:eastAsia="方正仿宋_GBK"/>
          <w:b w:val="0"/>
          <w:sz w:val="24"/>
        </w:rPr>
        <w:t xml:space="preserve">第4年转出44.69 MW、承接0.00 MW后，正向校核负荷为38.00 MW。负荷转出降低正向需求，同时将反向校核上界提高至44.69 MW，配置按两个方向共同确定。刚性方案第4年主变总容量为90.00 MVA，储能为5.80 MW；弹性方案相应为90.00 MVA和0.00 MW。弹性方案储能减少5.80 MW，主变N-1工况的容量支撑更多由在役主变和站间负荷配置承担。</w:t>
      </w:r>
    </w:p>
    <w:p>
      <w:pPr>
        <w:pStyle w:val="2"/>
        <w:keepNext/>
        <w:spacing w:line="300" w:lineRule="auto" w:before="120" w:after="80"/>
        <w:ind w:firstLine="0"/>
        <w:jc w:val="center"/>
      </w:pPr>
      <w:r>
        <w:rPr>
          <w:rFonts w:ascii="Times New Roman" w:hAnsi="Times New Roman" w:eastAsia="宋体"/>
          <w:b w:val="0"/>
          <w:sz w:val="21"/>
        </w:rPr>
        <w:t xml:space="preserve">表5-35 BDZ-00024站第4年配置与负荷转接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5.80/12.47</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38.89</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43.80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44.69</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7"/>
        <w:keepNext/>
        <w:numPr>
          <w:numId w:val="0"/>
        </w:numPr>
        <w:spacing w:line="360" w:lineRule="auto" w:before="160" w:after="120"/>
        <w:ind w:firstLine="0"/>
      </w:pPr>
      <w:bookmarkStart w:id="209" w:name="bdz-00042站规划分析"/>
      <w:r>
        <w:rPr>
          <w:rFonts w:ascii="Times New Roman" w:hAnsi="Times New Roman" w:eastAsia="方正仿宋_GBK"/>
          <w:b/>
          <w:sz w:val="24"/>
        </w:rPr>
        <w:t xml:space="preserve">BDZ-00042站规划分析</w:t>
      </w:r>
      <w:bookmarkEnd w:id="209"/>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该站基期主变配置为40.00+50.00 MVA，规划第4年转接前最大正向、反向净负荷分别为72.72 MW和0.00 MW，正向95%峰值持续时间为3.00 h。弹性方案沿用基期主变容量，后续各年通过站间负荷转接满足容量需求。</w:t>
      </w:r>
    </w:p>
    <w:p>
      <w:pPr>
        <w:pStyle w:val="2"/>
        <w:widowControl/>
        <w:spacing w:line="300" w:lineRule="auto" w:before="0" w:after="0"/>
        <w:ind w:firstLine="480"/>
        <w:jc w:val="both"/>
      </w:pPr>
      <w:r>
        <w:rPr>
          <w:rFonts w:ascii="Times New Roman" w:hAnsi="Times New Roman" w:eastAsia="方正仿宋_GBK"/>
          <w:b w:val="0"/>
          <w:sz w:val="24"/>
        </w:rPr>
        <w:t xml:space="preserve">第4年转出34.72 MW、承接0.00 MW后，正向校核负荷为38.00 MW。负荷转出降低正向需求，同时将反向校核上界提高至34.72 MW，配置按两个方向共同确定。刚性方案第4年主变总容量为100.00 MVA，储能为0.00 MW；弹性方案相应为90.00 MVA和0.00 MW。两类方案的本站主变配置接近，差异主要通过区域其他站点的容量和负荷安排体现。</w:t>
      </w:r>
    </w:p>
    <w:p>
      <w:pPr>
        <w:pStyle w:val="2"/>
        <w:keepNext/>
        <w:spacing w:line="300" w:lineRule="auto" w:before="120" w:after="80"/>
        <w:ind w:firstLine="0"/>
        <w:jc w:val="center"/>
      </w:pPr>
      <w:r>
        <w:rPr>
          <w:rFonts w:ascii="Times New Roman" w:hAnsi="Times New Roman" w:eastAsia="宋体"/>
          <w:b w:val="0"/>
          <w:sz w:val="21"/>
        </w:rPr>
        <w:t xml:space="preserve">表5-36 BDZ-00042站第4年配置与负荷转接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25.22</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47.50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34.72</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7"/>
        <w:keepNext/>
        <w:numPr>
          <w:numId w:val="0"/>
        </w:numPr>
        <w:spacing w:line="360" w:lineRule="auto" w:before="160" w:after="120"/>
        <w:ind w:firstLine="0"/>
      </w:pPr>
      <w:bookmarkStart w:id="210" w:name="bdz-00051站规划分析"/>
      <w:r>
        <w:rPr>
          <w:rFonts w:ascii="Times New Roman" w:hAnsi="Times New Roman" w:eastAsia="方正仿宋_GBK"/>
          <w:b/>
          <w:sz w:val="24"/>
        </w:rPr>
        <w:t xml:space="preserve">BDZ-00051站规划分析</w:t>
      </w:r>
      <w:bookmarkEnd w:id="210"/>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MVA，规划第4年转接前最大正向、反向净负荷分别为54.98 MW和0.00 MW，正向95%峰值持续时间为3.00 h。弹性方案沿用基期主变容量，后续各年通过站间负荷转接满足容量需求。</w:t>
      </w:r>
    </w:p>
    <w:p>
      <w:pPr>
        <w:pStyle w:val="2"/>
        <w:widowControl/>
        <w:spacing w:line="300" w:lineRule="auto" w:before="0" w:after="0"/>
        <w:ind w:firstLine="480"/>
        <w:jc w:val="both"/>
      </w:pPr>
      <w:r>
        <w:rPr>
          <w:rFonts w:ascii="Times New Roman" w:hAnsi="Times New Roman" w:eastAsia="方正仿宋_GBK"/>
          <w:b w:val="0"/>
          <w:sz w:val="24"/>
        </w:rPr>
        <w:t xml:space="preserve">第4年转出16.98 MW、承接0.00 MW后，正向校核负荷为38.00 MW。负荷转出降低正向需求，同时将反向校核上界提高至16.98 MW，配置按两个方向共同确定。刚性方案第4年主变总容量为80.00 MVA，储能为0.00 MW；弹性方案相应为80.00 MVA和0.00 MW。两类方案的本站主变配置接近，差异主要通过区域其他站点的容量和负荷安排体现。</w:t>
      </w:r>
    </w:p>
    <w:p>
      <w:pPr>
        <w:pStyle w:val="2"/>
        <w:keepNext/>
        <w:spacing w:line="300" w:lineRule="auto" w:before="120" w:after="80"/>
        <w:ind w:firstLine="0"/>
        <w:jc w:val="center"/>
      </w:pPr>
      <w:r>
        <w:rPr>
          <w:rFonts w:ascii="Times New Roman" w:hAnsi="Times New Roman" w:eastAsia="宋体"/>
          <w:b w:val="0"/>
          <w:sz w:val="21"/>
        </w:rPr>
        <w:t xml:space="preserve">表5-37 BDZ-00051站第4年配置与负荷转接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16.98</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16.98</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7"/>
        <w:keepNext/>
        <w:numPr>
          <w:numId w:val="0"/>
        </w:numPr>
        <w:spacing w:line="360" w:lineRule="auto" w:before="160" w:after="120"/>
        <w:ind w:firstLine="0"/>
      </w:pPr>
      <w:bookmarkStart w:id="211" w:name="bdz-00053站规划分析"/>
      <w:r>
        <w:rPr>
          <w:rFonts w:ascii="Times New Roman" w:hAnsi="Times New Roman" w:eastAsia="方正仿宋_GBK"/>
          <w:b/>
          <w:sz w:val="24"/>
        </w:rPr>
        <w:t xml:space="preserve">BDZ-00053站规划分析</w:t>
      </w:r>
      <w:bookmarkEnd w:id="211"/>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MVA，规划第4年转接前最大正向、反向净负荷分别为73.75 MW和0.00 MW，正向95%峰值持续时间为3.00 h。弹性方案第1年扩建50 MVA主变。</w:t>
      </w:r>
    </w:p>
    <w:p>
      <w:pPr>
        <w:pStyle w:val="2"/>
        <w:widowControl/>
        <w:spacing w:line="300" w:lineRule="auto" w:before="0" w:after="0"/>
        <w:ind w:firstLine="480"/>
        <w:jc w:val="both"/>
      </w:pPr>
      <w:r>
        <w:rPr>
          <w:rFonts w:ascii="Times New Roman" w:hAnsi="Times New Roman" w:eastAsia="方正仿宋_GBK"/>
          <w:b w:val="0"/>
          <w:sz w:val="24"/>
        </w:rPr>
        <w:t xml:space="preserve">第4年承接2.25 MW，正向校核负荷增至76.00 MW。该站利用相应主变容量承担片区内部负荷，接收能力按承接后的负荷进行正常运行及主变N-1校核。刚性方案第4年主变总容量为80.00 MVA，储能为0.00 MW；弹性方案相应为130.00 MVA和0.00 MW。弹性方案增加主变容量，为本站或片区承接负荷提供支撑。</w:t>
      </w:r>
    </w:p>
    <w:p>
      <w:pPr>
        <w:pStyle w:val="2"/>
        <w:keepNext/>
        <w:spacing w:line="300" w:lineRule="auto" w:before="120" w:after="80"/>
        <w:ind w:firstLine="0"/>
        <w:jc w:val="center"/>
      </w:pPr>
      <w:r>
        <w:rPr>
          <w:rFonts w:ascii="Times New Roman" w:hAnsi="Times New Roman" w:eastAsia="宋体"/>
          <w:b w:val="0"/>
          <w:sz w:val="21"/>
        </w:rPr>
        <w:t xml:space="preserve">表5-38 BDZ-00053站第4年配置与负荷转接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35.75</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2.25</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76.00</w:t>
            </w:r>
          </w:p>
        </w:tc>
      </w:tr>
    </w:tbl>
    <w:p>
      <w:pPr>
        <w:pStyle w:val="7"/>
        <w:keepNext/>
        <w:numPr>
          <w:numId w:val="0"/>
        </w:numPr>
        <w:spacing w:line="360" w:lineRule="auto" w:before="160" w:after="120"/>
        <w:ind w:firstLine="0"/>
      </w:pPr>
      <w:bookmarkStart w:id="212" w:name="bdz-00055站规划分析"/>
      <w:r>
        <w:rPr>
          <w:rFonts w:ascii="Times New Roman" w:hAnsi="Times New Roman" w:eastAsia="方正仿宋_GBK"/>
          <w:b/>
          <w:sz w:val="24"/>
        </w:rPr>
        <w:t xml:space="preserve">BDZ-00055站规划分析</w:t>
      </w:r>
      <w:bookmarkEnd w:id="212"/>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MVA，规划第4年转接前最大正向、反向净负荷分别为39.83 MW和5.89 MW，正向95%峰值持续时间为3.00 h。弹性方案沿用基期主变容量，后续各年通过站间负荷转接满足容量需求。</w:t>
      </w:r>
    </w:p>
    <w:p>
      <w:pPr>
        <w:pStyle w:val="2"/>
        <w:widowControl/>
        <w:spacing w:line="300" w:lineRule="auto" w:before="0" w:after="0"/>
        <w:ind w:firstLine="480"/>
        <w:jc w:val="both"/>
      </w:pPr>
      <w:r>
        <w:rPr>
          <w:rFonts w:ascii="Times New Roman" w:hAnsi="Times New Roman" w:eastAsia="方正仿宋_GBK"/>
          <w:b w:val="0"/>
          <w:sz w:val="24"/>
        </w:rPr>
        <w:t xml:space="preserve">第4年转出1.83 MW、承接0.00 MW后，正向校核负荷为38.00 MW。负荷转出降低正向需求，同时将反向校核上界提高至7.72 MW，配置按两个方向共同确定。刚性方案第4年主变总容量为80.00 MVA，储能为0.00 MW；弹性方案相应为80.00 MVA和0.00 MW。两类方案的本站主变配置接近，差异主要通过区域其他站点的容量和负荷安排体现。</w:t>
      </w:r>
    </w:p>
    <w:p>
      <w:pPr>
        <w:pStyle w:val="2"/>
        <w:keepNext/>
        <w:spacing w:line="300" w:lineRule="auto" w:before="120" w:after="80"/>
        <w:ind w:firstLine="0"/>
        <w:jc w:val="center"/>
      </w:pPr>
      <w:r>
        <w:rPr>
          <w:rFonts w:ascii="Times New Roman" w:hAnsi="Times New Roman" w:eastAsia="宋体"/>
          <w:b w:val="0"/>
          <w:sz w:val="21"/>
        </w:rPr>
        <w:t xml:space="preserve">表5-39 BDZ-00055站第4年配置与负荷转接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1.83</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1.83</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7"/>
        <w:keepNext/>
        <w:numPr>
          <w:numId w:val="0"/>
        </w:numPr>
        <w:spacing w:line="360" w:lineRule="auto" w:before="160" w:after="120"/>
        <w:ind w:firstLine="0"/>
      </w:pPr>
      <w:bookmarkStart w:id="213" w:name="bdz-00062站规划分析"/>
      <w:r>
        <w:rPr>
          <w:rFonts w:ascii="Times New Roman" w:hAnsi="Times New Roman" w:eastAsia="方正仿宋_GBK"/>
          <w:b/>
          <w:sz w:val="24"/>
        </w:rPr>
        <w:t xml:space="preserve">BDZ-00062站规划分析</w:t>
      </w:r>
      <w:bookmarkEnd w:id="213"/>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MVA，规划第4年转接前最大正向、反向净负荷分别为48.63 MW和0.00 MW，正向95%峰值持续时间为3.00 h。弹性方案沿用基期主变容量，后续各年通过站间负荷转接满足容量需求。</w:t>
      </w:r>
    </w:p>
    <w:p>
      <w:pPr>
        <w:pStyle w:val="2"/>
        <w:widowControl/>
        <w:spacing w:line="300" w:lineRule="auto" w:before="0" w:after="0"/>
        <w:ind w:firstLine="480"/>
        <w:jc w:val="both"/>
      </w:pPr>
      <w:r>
        <w:rPr>
          <w:rFonts w:ascii="Times New Roman" w:hAnsi="Times New Roman" w:eastAsia="方正仿宋_GBK"/>
          <w:b w:val="0"/>
          <w:sz w:val="24"/>
        </w:rPr>
        <w:t xml:space="preserve">第4年转出10.63 MW、承接0.00 MW后，正向校核负荷为38.00 MW。负荷转出降低正向需求，同时将反向校核上界提高至10.63 MW，配置按两个方向共同确定。刚性方案第4年主变总容量为80.00 MVA，储能为0.00 MW；弹性方案相应为80.00 MVA和0.00 MW。两类方案的本站主变配置接近，差异主要通过区域其他站点的容量和负荷安排体现。</w:t>
      </w:r>
    </w:p>
    <w:p>
      <w:pPr>
        <w:pStyle w:val="2"/>
        <w:keepNext/>
        <w:spacing w:line="300" w:lineRule="auto" w:before="120" w:after="80"/>
        <w:ind w:firstLine="0"/>
        <w:jc w:val="center"/>
      </w:pPr>
      <w:r>
        <w:rPr>
          <w:rFonts w:ascii="Times New Roman" w:hAnsi="Times New Roman" w:eastAsia="宋体"/>
          <w:b w:val="0"/>
          <w:sz w:val="21"/>
        </w:rPr>
        <w:t xml:space="preserve">表5-40 BDZ-00062站第4年配置与负荷转接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10.63</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10.63</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7"/>
        <w:keepNext/>
        <w:numPr>
          <w:numId w:val="0"/>
        </w:numPr>
        <w:spacing w:line="360" w:lineRule="auto" w:before="160" w:after="120"/>
        <w:ind w:firstLine="0"/>
      </w:pPr>
      <w:bookmarkStart w:id="214" w:name="bdz-00065站规划分析"/>
      <w:r>
        <w:rPr>
          <w:rFonts w:ascii="Times New Roman" w:hAnsi="Times New Roman" w:eastAsia="方正仿宋_GBK"/>
          <w:b/>
          <w:sz w:val="24"/>
        </w:rPr>
        <w:t xml:space="preserve">BDZ-00065站规划分析</w:t>
      </w:r>
      <w:bookmarkEnd w:id="214"/>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该站基期主变配置为40.00+50.00 MVA，规划第4年转接前最大正向、反向净负荷分别为72.41 MW和0.00 MW，正向95%峰值持续时间为3.00 h。弹性方案沿用基期主变容量，后续各年通过站间负荷转接满足容量需求。</w:t>
      </w:r>
    </w:p>
    <w:p>
      <w:pPr>
        <w:pStyle w:val="2"/>
        <w:widowControl/>
        <w:spacing w:line="300" w:lineRule="auto" w:before="0" w:after="0"/>
        <w:ind w:firstLine="480"/>
        <w:jc w:val="both"/>
      </w:pPr>
      <w:r>
        <w:rPr>
          <w:rFonts w:ascii="Times New Roman" w:hAnsi="Times New Roman" w:eastAsia="方正仿宋_GBK"/>
          <w:b w:val="0"/>
          <w:sz w:val="24"/>
        </w:rPr>
        <w:t xml:space="preserve">第4年转出34.41 MW、承接0.00 MW后，正向校核负荷为38.00 MW。负荷转出降低正向需求，同时将反向校核上界提高至34.41 MW，配置按两个方向共同确定。刚性方案第4年主变总容量为90.00 MVA，储能为0.00 MW；弹性方案相应为90.00 MVA和0.00 MW。两类方案的本站主变配置接近，差异主要通过区域其他站点的容量和负荷安排体现。</w:t>
      </w:r>
    </w:p>
    <w:p>
      <w:pPr>
        <w:pStyle w:val="2"/>
        <w:keepNext/>
        <w:spacing w:line="300" w:lineRule="auto" w:before="120" w:after="80"/>
        <w:ind w:firstLine="0"/>
        <w:jc w:val="center"/>
      </w:pPr>
      <w:r>
        <w:rPr>
          <w:rFonts w:ascii="Times New Roman" w:hAnsi="Times New Roman" w:eastAsia="宋体"/>
          <w:b w:val="0"/>
          <w:sz w:val="21"/>
        </w:rPr>
        <w:t xml:space="preserve">表5-41 BDZ-00065站第4年配置与负荷转接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34.41</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34.41</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7"/>
        <w:keepNext/>
        <w:numPr>
          <w:numId w:val="0"/>
        </w:numPr>
        <w:spacing w:line="360" w:lineRule="auto" w:before="160" w:after="120"/>
        <w:ind w:firstLine="0"/>
      </w:pPr>
      <w:bookmarkStart w:id="215" w:name="bdz-00074站规划分析"/>
      <w:r>
        <w:rPr>
          <w:rFonts w:ascii="Times New Roman" w:hAnsi="Times New Roman" w:eastAsia="方正仿宋_GBK"/>
          <w:b/>
          <w:sz w:val="24"/>
        </w:rPr>
        <w:t xml:space="preserve">BDZ-00074站规划分析</w:t>
      </w:r>
      <w:bookmarkEnd w:id="215"/>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MVA，规划第4年转接前最大正向、反向净负荷分别为61.59 MW和11.51 MW，正向95%峰值持续时间为3.00 h。弹性方案第1年扩建50 MVA主变。</w:t>
      </w:r>
    </w:p>
    <w:p>
      <w:pPr>
        <w:pStyle w:val="2"/>
        <w:widowControl/>
        <w:spacing w:line="300" w:lineRule="auto" w:before="0" w:after="0"/>
        <w:ind w:firstLine="480"/>
        <w:jc w:val="both"/>
      </w:pPr>
      <w:r>
        <w:rPr>
          <w:rFonts w:ascii="Times New Roman" w:hAnsi="Times New Roman" w:eastAsia="方正仿宋_GBK"/>
          <w:b w:val="0"/>
          <w:sz w:val="24"/>
        </w:rPr>
        <w:t xml:space="preserve">第4年承接14.41 MW，正向校核负荷增至76.00 MW。该站利用相应主变容量承担片区内部负荷，接收能力按承接后的负荷进行正常运行及主变N-1校核。刚性方案第4年主变总容量为80.00 MVA，储能为0.00 MW；弹性方案相应为130.00 MVA和0.00 MW。弹性方案增加主变容量，为本站或片区承接负荷提供支撑。</w:t>
      </w:r>
    </w:p>
    <w:p>
      <w:pPr>
        <w:pStyle w:val="2"/>
        <w:keepNext/>
        <w:spacing w:line="300" w:lineRule="auto" w:before="120" w:after="80"/>
        <w:ind w:firstLine="0"/>
        <w:jc w:val="center"/>
      </w:pPr>
      <w:r>
        <w:rPr>
          <w:rFonts w:ascii="Times New Roman" w:hAnsi="Times New Roman" w:eastAsia="宋体"/>
          <w:b w:val="0"/>
          <w:sz w:val="21"/>
        </w:rPr>
        <w:t xml:space="preserve">表5-42 BDZ-00074站第4年配置与负荷转接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23.59</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14.41</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76.00</w:t>
            </w:r>
          </w:p>
        </w:tc>
      </w:tr>
    </w:tbl>
    <w:p>
      <w:pPr>
        <w:pStyle w:val="7"/>
        <w:keepNext/>
        <w:numPr>
          <w:numId w:val="0"/>
        </w:numPr>
        <w:spacing w:line="360" w:lineRule="auto" w:before="160" w:after="120"/>
        <w:ind w:firstLine="0"/>
      </w:pPr>
      <w:bookmarkStart w:id="216" w:name="bdz-00076站规划分析"/>
      <w:r>
        <w:rPr>
          <w:rFonts w:ascii="Times New Roman" w:hAnsi="Times New Roman" w:eastAsia="方正仿宋_GBK"/>
          <w:b/>
          <w:sz w:val="24"/>
        </w:rPr>
        <w:t xml:space="preserve">BDZ-00076站规划分析</w:t>
      </w:r>
      <w:bookmarkEnd w:id="216"/>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MVA，规划第4年转接前最大正向、反向净负荷分别为27.53 MW和0.00 MW，正向95%峰值持续时间为4.00 h。弹性方案沿用基期主变容量，后续各年通过站间负荷转接满足容量需求。</w:t>
      </w:r>
    </w:p>
    <w:p>
      <w:pPr>
        <w:pStyle w:val="2"/>
        <w:widowControl/>
        <w:spacing w:line="300" w:lineRule="auto" w:before="0" w:after="0"/>
        <w:ind w:firstLine="480"/>
        <w:jc w:val="both"/>
      </w:pPr>
      <w:r>
        <w:rPr>
          <w:rFonts w:ascii="Times New Roman" w:hAnsi="Times New Roman" w:eastAsia="方正仿宋_GBK"/>
          <w:b w:val="0"/>
          <w:sz w:val="24"/>
        </w:rPr>
        <w:t xml:space="preserve">第4年承接10.47 MW，正向校核负荷增至38.00 MW。该站利用相应主变容量承担片区内部负荷，接收能力按承接后的负荷进行正常运行及主变N-1校核。刚性方案第4年主变总容量为80.00 MVA，储能为0.00 MW；弹性方案相应为80.00 MVA和0.00 MW。两类方案的本站主变配置接近，差异主要通过区域其他站点的容量和负荷安排体现。</w:t>
      </w:r>
    </w:p>
    <w:p>
      <w:pPr>
        <w:pStyle w:val="2"/>
        <w:keepNext/>
        <w:spacing w:line="300" w:lineRule="auto" w:before="120" w:after="80"/>
        <w:ind w:firstLine="0"/>
        <w:jc w:val="center"/>
      </w:pPr>
      <w:r>
        <w:rPr>
          <w:rFonts w:ascii="Times New Roman" w:hAnsi="Times New Roman" w:eastAsia="宋体"/>
          <w:b w:val="0"/>
          <w:sz w:val="21"/>
        </w:rPr>
        <w:t xml:space="preserve">表5-43 BDZ-00076站第4年配置与负荷转接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10.47</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10.47</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7"/>
        <w:keepNext/>
        <w:numPr>
          <w:numId w:val="0"/>
        </w:numPr>
        <w:spacing w:line="360" w:lineRule="auto" w:before="160" w:after="120"/>
        <w:ind w:firstLine="0"/>
      </w:pPr>
      <w:bookmarkStart w:id="217" w:name="bdz-00092站规划分析"/>
      <w:r>
        <w:rPr>
          <w:rFonts w:ascii="Times New Roman" w:hAnsi="Times New Roman" w:eastAsia="方正仿宋_GBK"/>
          <w:b/>
          <w:sz w:val="24"/>
        </w:rPr>
        <w:t xml:space="preserve">BDZ-00092站规划分析</w:t>
      </w:r>
      <w:bookmarkEnd w:id="217"/>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MVA，规划第4年转接前最大正向、反向净负荷分别为9.68 MW和6.12 MW，正向95%峰值持续时间为1.00 h。弹性方案第2年扩建50 MVA主变。</w:t>
      </w:r>
    </w:p>
    <w:p>
      <w:pPr>
        <w:pStyle w:val="2"/>
        <w:widowControl/>
        <w:spacing w:line="300" w:lineRule="auto" w:before="0" w:after="0"/>
        <w:ind w:firstLine="480"/>
        <w:jc w:val="both"/>
      </w:pPr>
      <w:r>
        <w:rPr>
          <w:rFonts w:ascii="Times New Roman" w:hAnsi="Times New Roman" w:eastAsia="方正仿宋_GBK"/>
          <w:b w:val="0"/>
          <w:sz w:val="24"/>
        </w:rPr>
        <w:t xml:space="preserve">第4年承接66.32 MW，正向校核负荷增至76.00 MW。该站利用相应主变容量承担片区内部负荷，接收能力按承接后的负荷进行正常运行及主变N-1校核。刚性方案第4年主变总容量为80.00 MVA，储能为0.00 MW；弹性方案相应为130.00 MVA和0.00 MW。弹性方案增加主变容量，为本站或片区承接负荷提供支撑。</w:t>
      </w:r>
    </w:p>
    <w:p>
      <w:pPr>
        <w:pStyle w:val="2"/>
        <w:keepNext/>
        <w:spacing w:line="300" w:lineRule="auto" w:before="120" w:after="80"/>
        <w:ind w:firstLine="0"/>
        <w:jc w:val="center"/>
      </w:pPr>
      <w:r>
        <w:rPr>
          <w:rFonts w:ascii="Times New Roman" w:hAnsi="Times New Roman" w:eastAsia="宋体"/>
          <w:b w:val="0"/>
          <w:sz w:val="21"/>
        </w:rPr>
        <w:t xml:space="preserve">表5-44 BDZ-00092站第4年配置与负荷转接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28.32</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66.32</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76.00</w:t>
            </w:r>
          </w:p>
        </w:tc>
      </w:tr>
    </w:tbl>
    <w:p>
      <w:pPr>
        <w:pStyle w:val="7"/>
        <w:keepNext/>
        <w:numPr>
          <w:numId w:val="0"/>
        </w:numPr>
        <w:spacing w:line="360" w:lineRule="auto" w:before="160" w:after="120"/>
        <w:ind w:firstLine="0"/>
      </w:pPr>
      <w:bookmarkStart w:id="218" w:name="bdz-00094站规划分析"/>
      <w:r>
        <w:rPr>
          <w:rFonts w:ascii="Times New Roman" w:hAnsi="Times New Roman" w:eastAsia="方正仿宋_GBK"/>
          <w:b/>
          <w:sz w:val="24"/>
        </w:rPr>
        <w:t xml:space="preserve">BDZ-00094站规划分析</w:t>
      </w:r>
      <w:bookmarkEnd w:id="218"/>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MVA，规划第4年转接前最大正向、反向净负荷分别为56.14 MW和0.00 MW，正向95%峰值持续时间为2.00 h。弹性方案第1年扩建50 MVA主变。</w:t>
      </w:r>
    </w:p>
    <w:p>
      <w:pPr>
        <w:pStyle w:val="2"/>
        <w:widowControl/>
        <w:spacing w:line="300" w:lineRule="auto" w:before="0" w:after="0"/>
        <w:ind w:firstLine="480"/>
        <w:jc w:val="both"/>
      </w:pPr>
      <w:r>
        <w:rPr>
          <w:rFonts w:ascii="Times New Roman" w:hAnsi="Times New Roman" w:eastAsia="方正仿宋_GBK"/>
          <w:b w:val="0"/>
          <w:sz w:val="24"/>
        </w:rPr>
        <w:t xml:space="preserve">第4年承接19.86 MW，正向校核负荷增至76.00 MW。该站利用相应主变容量承担片区内部负荷，接收能力按承接后的负荷进行正常运行及主变N-1校核。刚性方案第4年主变总容量为80.00 MVA，储能为0.00 MW；弹性方案相应为130.00 MVA和0.00 MW。弹性方案增加主变容量，为本站或片区承接负荷提供支撑。</w:t>
      </w:r>
    </w:p>
    <w:p>
      <w:pPr>
        <w:pStyle w:val="2"/>
        <w:keepNext/>
        <w:spacing w:line="300" w:lineRule="auto" w:before="120" w:after="80"/>
        <w:ind w:firstLine="0"/>
        <w:jc w:val="center"/>
      </w:pPr>
      <w:r>
        <w:rPr>
          <w:rFonts w:ascii="Times New Roman" w:hAnsi="Times New Roman" w:eastAsia="宋体"/>
          <w:b w:val="0"/>
          <w:sz w:val="21"/>
        </w:rPr>
        <w:t xml:space="preserve">表5-45 BDZ-00094站第4年配置与负荷转接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18.14</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19.86</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76.00</w:t>
            </w:r>
          </w:p>
        </w:tc>
      </w:tr>
    </w:tbl>
    <w:p>
      <w:pPr>
        <w:pStyle w:val="7"/>
        <w:keepNext/>
        <w:numPr>
          <w:numId w:val="0"/>
        </w:numPr>
        <w:spacing w:line="360" w:lineRule="auto" w:before="160" w:after="120"/>
        <w:ind w:firstLine="0"/>
      </w:pPr>
      <w:bookmarkStart w:id="219" w:name="bdz-00103站规划分析"/>
      <w:r>
        <w:rPr>
          <w:rFonts w:ascii="Times New Roman" w:hAnsi="Times New Roman" w:eastAsia="方正仿宋_GBK"/>
          <w:b/>
          <w:sz w:val="24"/>
        </w:rPr>
        <w:t xml:space="preserve">BDZ-00103站规划分析</w:t>
      </w:r>
      <w:bookmarkEnd w:id="219"/>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MVA，规划第4年转接前最大正向、反向净负荷分别为56.87 MW和0.00 MW，正向95%峰值持续时间为3.00 h。弹性方案沿用基期主变容量，后续各年通过站间负荷转接满足容量需求。</w:t>
      </w:r>
    </w:p>
    <w:p>
      <w:pPr>
        <w:pStyle w:val="2"/>
        <w:widowControl/>
        <w:spacing w:line="300" w:lineRule="auto" w:before="0" w:after="0"/>
        <w:ind w:firstLine="480"/>
        <w:jc w:val="both"/>
      </w:pPr>
      <w:r>
        <w:rPr>
          <w:rFonts w:ascii="Times New Roman" w:hAnsi="Times New Roman" w:eastAsia="方正仿宋_GBK"/>
          <w:b w:val="0"/>
          <w:sz w:val="24"/>
        </w:rPr>
        <w:t xml:space="preserve">第4年转出18.87 MW、承接0.00 MW后，正向校核负荷为38.00 MW。负荷转出降低正向需求，同时将反向校核上界提高至18.87 MW，配置按两个方向共同确定。刚性方案第4年主变总容量为80.00 MVA，储能为0.00 MW；弹性方案相应为80.00 MVA和0.00 MW。两类方案的本站主变配置接近，差异主要通过区域其他站点的容量和负荷安排体现。</w:t>
      </w:r>
    </w:p>
    <w:p>
      <w:pPr>
        <w:pStyle w:val="2"/>
        <w:keepNext/>
        <w:spacing w:line="300" w:lineRule="auto" w:before="120" w:after="80"/>
        <w:ind w:firstLine="0"/>
        <w:jc w:val="center"/>
      </w:pPr>
      <w:r>
        <w:rPr>
          <w:rFonts w:ascii="Times New Roman" w:hAnsi="Times New Roman" w:eastAsia="宋体"/>
          <w:b w:val="0"/>
          <w:sz w:val="21"/>
        </w:rPr>
        <w:t xml:space="preserve">表5-46 BDZ-00103站第4年配置与负荷转接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18.87</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18.87</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7"/>
        <w:keepNext/>
        <w:numPr>
          <w:numId w:val="0"/>
        </w:numPr>
        <w:spacing w:line="360" w:lineRule="auto" w:before="160" w:after="120"/>
        <w:ind w:firstLine="0"/>
      </w:pPr>
      <w:bookmarkStart w:id="220" w:name="bdz-00106站规划分析"/>
      <w:r>
        <w:rPr>
          <w:rFonts w:ascii="Times New Roman" w:hAnsi="Times New Roman" w:eastAsia="方正仿宋_GBK"/>
          <w:b/>
          <w:sz w:val="24"/>
        </w:rPr>
        <w:t xml:space="preserve">BDZ-00106站规划分析</w:t>
      </w:r>
      <w:bookmarkEnd w:id="220"/>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MVA，规划第4年转接前最大正向、反向净负荷分别为5.02 MW和0.00 MW，正向95%峰值持续时间为4.00 h。弹性方案沿用基期主变容量，后续各年通过站间负荷转接满足容量需求。</w:t>
      </w:r>
    </w:p>
    <w:p>
      <w:pPr>
        <w:pStyle w:val="2"/>
        <w:widowControl/>
        <w:spacing w:line="300" w:lineRule="auto" w:before="0" w:after="0"/>
        <w:ind w:firstLine="480"/>
        <w:jc w:val="both"/>
      </w:pPr>
      <w:r>
        <w:rPr>
          <w:rFonts w:ascii="Times New Roman" w:hAnsi="Times New Roman" w:eastAsia="方正仿宋_GBK"/>
          <w:b w:val="0"/>
          <w:sz w:val="24"/>
        </w:rPr>
        <w:t xml:space="preserve">第4年承接32.98 MW，正向校核负荷增至38.00 MW。该站利用相应主变容量承担片区内部负荷，接收能力按承接后的负荷进行正常运行及主变N-1校核。刚性方案第4年主变总容量为80.00 MVA，储能为0.00 MW；弹性方案相应为80.00 MVA和0.00 MW。两类方案的本站主变配置接近，差异主要通过区域其他站点的容量和负荷安排体现。</w:t>
      </w:r>
    </w:p>
    <w:p>
      <w:pPr>
        <w:pStyle w:val="2"/>
        <w:keepNext/>
        <w:spacing w:line="300" w:lineRule="auto" w:before="120" w:after="80"/>
        <w:ind w:firstLine="0"/>
        <w:jc w:val="center"/>
      </w:pPr>
      <w:r>
        <w:rPr>
          <w:rFonts w:ascii="Times New Roman" w:hAnsi="Times New Roman" w:eastAsia="宋体"/>
          <w:b w:val="0"/>
          <w:sz w:val="21"/>
        </w:rPr>
        <w:t xml:space="preserve">表5-47 BDZ-00106站第4年配置与负荷转接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32.98</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32.98</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7"/>
        <w:keepNext/>
        <w:numPr>
          <w:numId w:val="0"/>
        </w:numPr>
        <w:spacing w:line="360" w:lineRule="auto" w:before="160" w:after="120"/>
        <w:ind w:firstLine="0"/>
      </w:pPr>
      <w:bookmarkStart w:id="221" w:name="bdz-00110站规划分析"/>
      <w:r>
        <w:rPr>
          <w:rFonts w:ascii="Times New Roman" w:hAnsi="Times New Roman" w:eastAsia="方正仿宋_GBK"/>
          <w:b/>
          <w:sz w:val="24"/>
        </w:rPr>
        <w:t xml:space="preserve">BDZ-00110站规划分析</w:t>
      </w:r>
      <w:bookmarkEnd w:id="221"/>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该站基期主变配置为40.00+63.00 MVA，规划第4年转接前最大正向、反向净负荷分别为33.16 MW和0.00 MW，正向95%峰值持续时间为5.00 h。弹性方案第1年扩建50 MVA主变。</w:t>
      </w:r>
    </w:p>
    <w:p>
      <w:pPr>
        <w:pStyle w:val="2"/>
        <w:widowControl/>
        <w:spacing w:line="300" w:lineRule="auto" w:before="0" w:after="0"/>
        <w:ind w:firstLine="480"/>
        <w:jc w:val="both"/>
      </w:pPr>
      <w:r>
        <w:rPr>
          <w:rFonts w:ascii="Times New Roman" w:hAnsi="Times New Roman" w:eastAsia="方正仿宋_GBK"/>
          <w:b w:val="0"/>
          <w:sz w:val="24"/>
        </w:rPr>
        <w:t xml:space="preserve">第4年承接52.33 MW，正向校核负荷增至85.49 MW。该站利用相应主变容量承担片区内部负荷，接收能力按承接后的负荷进行正常运行及主变N-1校核。刚性方案第4年主变总容量为153.00 MVA，储能为0.00 MW；弹性方案相应为153.00 MVA和0.00 MW。两类方案的本站主变配置接近，差异主要通过区域其他站点的容量和负荷安排体现。</w:t>
      </w:r>
    </w:p>
    <w:p>
      <w:pPr>
        <w:pStyle w:val="2"/>
        <w:keepNext/>
        <w:spacing w:line="300" w:lineRule="auto" w:before="120" w:after="80"/>
        <w:ind w:firstLine="0"/>
        <w:jc w:val="center"/>
      </w:pPr>
      <w:r>
        <w:rPr>
          <w:rFonts w:ascii="Times New Roman" w:hAnsi="Times New Roman" w:eastAsia="宋体"/>
          <w:b w:val="0"/>
          <w:sz w:val="21"/>
        </w:rPr>
        <w:t xml:space="preserve">表5-48 BDZ-00110站第4年配置与负荷转接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40.00+63.00+50.00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52.34</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85.50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40.00+63.00+50.00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52.33</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85.49</w:t>
            </w:r>
          </w:p>
        </w:tc>
      </w:tr>
    </w:tbl>
    <w:p>
      <w:pPr>
        <w:pStyle w:val="7"/>
        <w:keepNext/>
        <w:numPr>
          <w:numId w:val="0"/>
        </w:numPr>
        <w:spacing w:line="360" w:lineRule="auto" w:before="160" w:after="120"/>
        <w:ind w:firstLine="0"/>
      </w:pPr>
      <w:bookmarkStart w:id="222" w:name="bdz-00114站规划分析"/>
      <w:r>
        <w:rPr>
          <w:rFonts w:ascii="Times New Roman" w:hAnsi="Times New Roman" w:eastAsia="方正仿宋_GBK"/>
          <w:b/>
          <w:sz w:val="24"/>
        </w:rPr>
        <w:t xml:space="preserve">BDZ-00114站规划分析</w:t>
      </w:r>
      <w:bookmarkEnd w:id="222"/>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该站基期主变配置为40.00+63.00 MVA，规划第4年转接前最大正向、反向净负荷分别为95.14 MW和9.47 MW，正向95%峰值持续时间为1.00 h。弹性方案第1年实施主变增容，新购容量63.00 MVA。</w:t>
      </w:r>
    </w:p>
    <w:p>
      <w:pPr>
        <w:pStyle w:val="2"/>
        <w:widowControl/>
        <w:spacing w:line="300" w:lineRule="auto" w:before="0" w:after="0"/>
        <w:ind w:firstLine="480"/>
        <w:jc w:val="both"/>
      </w:pPr>
      <w:r>
        <w:rPr>
          <w:rFonts w:ascii="Times New Roman" w:hAnsi="Times New Roman" w:eastAsia="方正仿宋_GBK"/>
          <w:b w:val="0"/>
          <w:sz w:val="24"/>
        </w:rPr>
        <w:t xml:space="preserve">第4年转出35.29 MW、承接0.00 MW后，正向校核负荷为59.85 MW。负荷转出降低正向需求，同时将反向校核上界提高至44.76 MW，配置按两个方向共同确定。刚性方案第4年主变总容量为126.00 MVA，储能为95.20 MW；弹性方案相应为126.00 MVA和0.00 MW。弹性方案储能减少95.20 MW，主变N-1工况的容量支撑更多由在役主变和站间负荷配置承担。</w:t>
      </w:r>
    </w:p>
    <w:p>
      <w:pPr>
        <w:pStyle w:val="2"/>
        <w:keepNext/>
        <w:spacing w:line="300" w:lineRule="auto" w:before="120" w:after="80"/>
        <w:ind w:firstLine="0"/>
        <w:jc w:val="center"/>
      </w:pPr>
      <w:r>
        <w:rPr>
          <w:rFonts w:ascii="Times New Roman" w:hAnsi="Times New Roman" w:eastAsia="宋体"/>
          <w:b w:val="0"/>
          <w:sz w:val="21"/>
        </w:rPr>
        <w:t xml:space="preserve">表5-49 BDZ-00114站第4年配置与负荷转接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63.00+63.00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95.20/204.68</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59.91</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155.05</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63.00+63.00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35.29</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59.85</w:t>
            </w:r>
          </w:p>
        </w:tc>
      </w:tr>
    </w:tbl>
    <w:p>
      <w:pPr>
        <w:pStyle w:val="7"/>
        <w:keepNext/>
        <w:numPr>
          <w:numId w:val="0"/>
        </w:numPr>
        <w:spacing w:line="360" w:lineRule="auto" w:before="160" w:after="120"/>
        <w:ind w:firstLine="0"/>
      </w:pPr>
      <w:bookmarkStart w:id="223" w:name="bdz-00115站规划分析"/>
      <w:r>
        <w:rPr>
          <w:rFonts w:ascii="Times New Roman" w:hAnsi="Times New Roman" w:eastAsia="方正仿宋_GBK"/>
          <w:b/>
          <w:sz w:val="24"/>
        </w:rPr>
        <w:t xml:space="preserve">BDZ-00115站规划分析</w:t>
      </w:r>
      <w:bookmarkEnd w:id="223"/>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MVA，规划第4年转接前最大正向、反向净负荷分别为63.53 MW和0.00 MW，正向95%峰值持续时间为3.00 h。弹性方案第1年扩建50 MVA主变。</w:t>
      </w:r>
    </w:p>
    <w:p>
      <w:pPr>
        <w:pStyle w:val="2"/>
        <w:widowControl/>
        <w:spacing w:line="300" w:lineRule="auto" w:before="0" w:after="0"/>
        <w:ind w:firstLine="480"/>
        <w:jc w:val="both"/>
      </w:pPr>
      <w:r>
        <w:rPr>
          <w:rFonts w:ascii="Times New Roman" w:hAnsi="Times New Roman" w:eastAsia="方正仿宋_GBK"/>
          <w:b w:val="0"/>
          <w:sz w:val="24"/>
        </w:rPr>
        <w:t xml:space="preserve">第4年承接12.47 MW，正向校核负荷增至76.00 MW。该站利用相应主变容量承担片区内部负荷，接收能力按承接后的负荷进行正常运行及主变N-1校核。刚性方案第4年主变总容量为80.00 MVA，储能为0.00 MW；弹性方案相应为130.00 MVA和0.00 MW。弹性方案增加主变容量，为本站或片区承接负荷提供支撑。</w:t>
      </w:r>
    </w:p>
    <w:p>
      <w:pPr>
        <w:pStyle w:val="2"/>
        <w:keepNext/>
        <w:spacing w:line="300" w:lineRule="auto" w:before="120" w:after="80"/>
        <w:ind w:firstLine="0"/>
        <w:jc w:val="center"/>
      </w:pPr>
      <w:r>
        <w:rPr>
          <w:rFonts w:ascii="Times New Roman" w:hAnsi="Times New Roman" w:eastAsia="宋体"/>
          <w:b w:val="0"/>
          <w:sz w:val="21"/>
        </w:rPr>
        <w:t xml:space="preserve">表5-50 BDZ-00115站第4年配置与负荷转接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25.53</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12.47</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76.00</w:t>
            </w:r>
          </w:p>
        </w:tc>
      </w:tr>
    </w:tbl>
    <w:p>
      <w:pPr>
        <w:pStyle w:val="7"/>
        <w:keepNext/>
        <w:numPr>
          <w:numId w:val="0"/>
        </w:numPr>
        <w:spacing w:line="360" w:lineRule="auto" w:before="160" w:after="120"/>
        <w:ind w:firstLine="0"/>
      </w:pPr>
      <w:bookmarkStart w:id="224" w:name="bdz-00139站规划分析"/>
      <w:r>
        <w:rPr>
          <w:rFonts w:ascii="Times New Roman" w:hAnsi="Times New Roman" w:eastAsia="方正仿宋_GBK"/>
          <w:b/>
          <w:sz w:val="24"/>
        </w:rPr>
        <w:t xml:space="preserve">BDZ-00139站规划分析</w:t>
      </w:r>
      <w:bookmarkEnd w:id="224"/>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MVA，规划第4年转接前最大正向、反向净负荷分别为80.37 MW和0.00 MW，正向95%峰值持续时间为3.00 h。弹性方案第1年新增储能0.20 MW/0.43 MWh；第4年新增储能0.10 MW/0.22 MWh。</w:t>
      </w:r>
    </w:p>
    <w:p>
      <w:pPr>
        <w:pStyle w:val="2"/>
        <w:widowControl/>
        <w:spacing w:line="300" w:lineRule="auto" w:before="0" w:after="0"/>
        <w:ind w:firstLine="480"/>
        <w:jc w:val="both"/>
      </w:pPr>
      <w:r>
        <w:rPr>
          <w:rFonts w:ascii="Times New Roman" w:hAnsi="Times New Roman" w:eastAsia="方正仿宋_GBK"/>
          <w:b w:val="0"/>
          <w:sz w:val="24"/>
        </w:rPr>
        <w:t xml:space="preserve">第4年转出42.16 MW、承接0.00 MW后，正向校核负荷为38.22 MW。负荷转出降低正向需求，同时将反向校核上界提高至42.16 MW，配置按两个方向共同确定。刚性方案第4年主变总容量为80.00 MVA，储能为3.10 MW；弹性方案相应为80.00 MVA和0.30 MW。弹性方案储能减少2.80 MW，主变N-1工况的容量支撑更多由在役主变和站间负荷配置承担。</w:t>
      </w:r>
    </w:p>
    <w:p>
      <w:pPr>
        <w:pStyle w:val="2"/>
        <w:keepNext/>
        <w:spacing w:line="300" w:lineRule="auto" w:before="120" w:after="80"/>
        <w:ind w:firstLine="0"/>
        <w:jc w:val="center"/>
      </w:pPr>
      <w:r>
        <w:rPr>
          <w:rFonts w:ascii="Times New Roman" w:hAnsi="Times New Roman" w:eastAsia="宋体"/>
          <w:b w:val="0"/>
          <w:sz w:val="21"/>
        </w:rPr>
        <w:t xml:space="preserve">表5-51 BDZ-00139站第4年配置与负荷转接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3.10/6.67</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40.15</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40.22</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0.30/0.65</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42.16</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38.22</w:t>
            </w:r>
          </w:p>
        </w:tc>
      </w:tr>
    </w:tbl>
    <w:p>
      <w:pPr>
        <w:pStyle w:val="7"/>
        <w:keepNext/>
        <w:numPr>
          <w:numId w:val="0"/>
        </w:numPr>
        <w:spacing w:line="360" w:lineRule="auto" w:before="160" w:after="120"/>
        <w:ind w:firstLine="0"/>
      </w:pPr>
      <w:bookmarkStart w:id="225" w:name="bdz-00148站规划分析"/>
      <w:r>
        <w:rPr>
          <w:rFonts w:ascii="Times New Roman" w:hAnsi="Times New Roman" w:eastAsia="方正仿宋_GBK"/>
          <w:b/>
          <w:sz w:val="24"/>
        </w:rPr>
        <w:t xml:space="preserve">BDZ-00148站规划分析</w:t>
      </w:r>
      <w:bookmarkEnd w:id="225"/>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该站基期主变配置为40.00+50.00 MVA，规划第4年转接前最大正向、反向净负荷分别为89.09 MW和0.00 MW，正向95%峰值持续时间为2.00 h。弹性方案第4年新增储能2.60 MW/5.59 MWh。</w:t>
      </w:r>
    </w:p>
    <w:p>
      <w:pPr>
        <w:pStyle w:val="2"/>
        <w:widowControl/>
        <w:spacing w:line="300" w:lineRule="auto" w:before="0" w:after="0"/>
        <w:ind w:firstLine="480"/>
        <w:jc w:val="both"/>
      </w:pPr>
      <w:r>
        <w:rPr>
          <w:rFonts w:ascii="Times New Roman" w:hAnsi="Times New Roman" w:eastAsia="方正仿宋_GBK"/>
          <w:b w:val="0"/>
          <w:sz w:val="24"/>
        </w:rPr>
        <w:t xml:space="preserve">第4年转出48.49 MW、承接0.00 MW后，正向校核负荷为40.60 MW。负荷转出降低正向需求，同时将反向校核上界提高至48.49 MW，配置按两个方向共同确定。刚性方案第4年主变总容量为90.00 MVA，储能为89.10 MW；弹性方案相应为90.00 MVA和2.60 MW。弹性方案储能减少86.50 MW，主变N-1工况的容量支撑更多由在役主变和站间负荷配置承担。</w:t>
      </w:r>
    </w:p>
    <w:p>
      <w:pPr>
        <w:pStyle w:val="2"/>
        <w:keepNext/>
        <w:spacing w:line="300" w:lineRule="auto" w:before="120" w:after="80"/>
        <w:ind w:firstLine="0"/>
        <w:jc w:val="center"/>
      </w:pPr>
      <w:r>
        <w:rPr>
          <w:rFonts w:ascii="Times New Roman" w:hAnsi="Times New Roman" w:eastAsia="宋体"/>
          <w:b w:val="0"/>
          <w:sz w:val="21"/>
        </w:rPr>
        <w:t xml:space="preserve">表5-52 BDZ-00148站第4年配置与负荷转接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89.10/191.56</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38.01</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127.10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2.60/5.59</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48.49</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40.60</w:t>
            </w:r>
          </w:p>
        </w:tc>
      </w:tr>
    </w:tbl>
    <w:p>
      <w:pPr>
        <w:pStyle w:val="7"/>
        <w:keepNext/>
        <w:numPr>
          <w:numId w:val="0"/>
        </w:numPr>
        <w:spacing w:line="360" w:lineRule="auto" w:before="160" w:after="120"/>
        <w:ind w:firstLine="0"/>
      </w:pPr>
      <w:bookmarkStart w:id="226" w:name="bdz-00151站规划分析"/>
      <w:r>
        <w:rPr>
          <w:rFonts w:ascii="Times New Roman" w:hAnsi="Times New Roman" w:eastAsia="方正仿宋_GBK"/>
          <w:b/>
          <w:sz w:val="24"/>
        </w:rPr>
        <w:t xml:space="preserve">BDZ-00151站规划分析</w:t>
      </w:r>
      <w:bookmarkEnd w:id="226"/>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该站基期主变配置为50.00+63.00 MVA，规划第4年转接前最大正向、反向净负荷分别为110.92 MW和0.00 MW，正向95%峰值持续时间为4.00 h。弹性方案沿用基期主变容量，后续各年通过站间负荷转接满足容量需求。</w:t>
      </w:r>
    </w:p>
    <w:p>
      <w:pPr>
        <w:pStyle w:val="2"/>
        <w:widowControl/>
        <w:spacing w:line="300" w:lineRule="auto" w:before="0" w:after="0"/>
        <w:ind w:firstLine="480"/>
        <w:jc w:val="both"/>
      </w:pPr>
      <w:r>
        <w:rPr>
          <w:rFonts w:ascii="Times New Roman" w:hAnsi="Times New Roman" w:eastAsia="方正仿宋_GBK"/>
          <w:b w:val="0"/>
          <w:sz w:val="24"/>
        </w:rPr>
        <w:t xml:space="preserve">第4年转出63.42 MW、承接0.00 MW后，正向校核负荷为47.50 MW。负荷转出降低正向需求，同时将反向校核上界提高至63.42 MW，配置按两个方向共同确定。刚性方案第4年主变总容量为126.00 MVA，储能为0.00 MW；弹性方案相应为113.00 MVA和0.00 MW。两类方案的本站主变配置接近，差异主要通过区域其他站点的容量和负荷安排体现。</w:t>
      </w:r>
    </w:p>
    <w:p>
      <w:pPr>
        <w:pStyle w:val="2"/>
        <w:keepNext/>
        <w:spacing w:line="300" w:lineRule="auto" w:before="120" w:after="80"/>
        <w:ind w:firstLine="0"/>
        <w:jc w:val="center"/>
      </w:pPr>
      <w:r>
        <w:rPr>
          <w:rFonts w:ascii="Times New Roman" w:hAnsi="Times New Roman" w:eastAsia="宋体"/>
          <w:b w:val="0"/>
          <w:sz w:val="21"/>
        </w:rPr>
        <w:t xml:space="preserve">表5-53 BDZ-00151站第4年配置与负荷转接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63.00+63.00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51.07</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59.85</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50.00+63.00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63.42</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47.50</w:t>
            </w:r>
          </w:p>
        </w:tc>
      </w:tr>
    </w:tbl>
    <w:p>
      <w:pPr>
        <w:pStyle w:val="7"/>
        <w:keepNext/>
        <w:numPr>
          <w:numId w:val="0"/>
        </w:numPr>
        <w:spacing w:line="360" w:lineRule="auto" w:before="160" w:after="120"/>
        <w:ind w:firstLine="0"/>
      </w:pPr>
      <w:bookmarkStart w:id="227" w:name="bdz-00154站规划分析"/>
      <w:r>
        <w:rPr>
          <w:rFonts w:ascii="Times New Roman" w:hAnsi="Times New Roman" w:eastAsia="方正仿宋_GBK"/>
          <w:b/>
          <w:sz w:val="24"/>
        </w:rPr>
        <w:t xml:space="preserve">BDZ-00154站规划分析</w:t>
      </w:r>
      <w:bookmarkEnd w:id="227"/>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MVA，规划第4年转接前最大正向、反向净负荷分别为16.75 MW和0.00 MW，正向95%峰值持续时间为4.00 h。弹性方案第1年扩建50 MVA主变。</w:t>
      </w:r>
    </w:p>
    <w:p>
      <w:pPr>
        <w:pStyle w:val="2"/>
        <w:widowControl/>
        <w:spacing w:line="300" w:lineRule="auto" w:before="0" w:after="0"/>
        <w:ind w:firstLine="480"/>
        <w:jc w:val="both"/>
      </w:pPr>
      <w:r>
        <w:rPr>
          <w:rFonts w:ascii="Times New Roman" w:hAnsi="Times New Roman" w:eastAsia="方正仿宋_GBK"/>
          <w:b w:val="0"/>
          <w:sz w:val="24"/>
        </w:rPr>
        <w:t xml:space="preserve">第4年承接59.25 MW，正向校核负荷增至76.00 MW。该站利用相应主变容量承担片区内部负荷，接收能力按承接后的负荷进行正常运行及主变N-1校核。刚性方案第4年主变总容量为80.00 MVA，储能为0.00 MW；弹性方案相应为130.00 MVA和0.00 MW。弹性方案增加主变容量，为本站或片区承接负荷提供支撑。</w:t>
      </w:r>
    </w:p>
    <w:p>
      <w:pPr>
        <w:pStyle w:val="2"/>
        <w:keepNext/>
        <w:spacing w:line="300" w:lineRule="auto" w:before="120" w:after="80"/>
        <w:ind w:firstLine="0"/>
        <w:jc w:val="center"/>
      </w:pPr>
      <w:r>
        <w:rPr>
          <w:rFonts w:ascii="Times New Roman" w:hAnsi="Times New Roman" w:eastAsia="宋体"/>
          <w:b w:val="0"/>
          <w:sz w:val="21"/>
        </w:rPr>
        <w:t xml:space="preserve">表5-54 BDZ-00154站第4年配置与负荷转接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21.25</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59.25</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76.00</w:t>
            </w:r>
          </w:p>
        </w:tc>
      </w:tr>
    </w:tbl>
    <w:p>
      <w:pPr>
        <w:pStyle w:val="7"/>
        <w:keepNext/>
        <w:numPr>
          <w:numId w:val="0"/>
        </w:numPr>
        <w:spacing w:line="360" w:lineRule="auto" w:before="160" w:after="120"/>
        <w:ind w:firstLine="0"/>
      </w:pPr>
      <w:bookmarkStart w:id="228" w:name="bdz-00155站规划分析"/>
      <w:r>
        <w:rPr>
          <w:rFonts w:ascii="Times New Roman" w:hAnsi="Times New Roman" w:eastAsia="方正仿宋_GBK"/>
          <w:b/>
          <w:sz w:val="24"/>
        </w:rPr>
        <w:t xml:space="preserve">BDZ-00155站规划分析</w:t>
      </w:r>
      <w:bookmarkEnd w:id="228"/>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MVA，规划第4年转接前最大正向、反向净负荷分别为45.93 MW和0.00 MW，正向95%峰值持续时间为3.00 h。弹性方案沿用基期主变容量，后续各年通过站间负荷转接满足容量需求。</w:t>
      </w:r>
    </w:p>
    <w:p>
      <w:pPr>
        <w:pStyle w:val="2"/>
        <w:widowControl/>
        <w:spacing w:line="300" w:lineRule="auto" w:before="0" w:after="0"/>
        <w:ind w:firstLine="480"/>
        <w:jc w:val="both"/>
      </w:pPr>
      <w:r>
        <w:rPr>
          <w:rFonts w:ascii="Times New Roman" w:hAnsi="Times New Roman" w:eastAsia="方正仿宋_GBK"/>
          <w:b w:val="0"/>
          <w:sz w:val="24"/>
        </w:rPr>
        <w:t xml:space="preserve">第4年转出7.93 MW、承接0.00 MW后，正向校核负荷为38.00 MW。负荷转出降低正向需求，同时将反向校核上界提高至7.93 MW，配置按两个方向共同确定。刚性方案第4年主变总容量为80.00 MVA，储能为0.00 MW；弹性方案相应为80.00 MVA和0.00 MW。两类方案的本站主变配置接近，差异主要通过区域其他站点的容量和负荷安排体现。</w:t>
      </w:r>
    </w:p>
    <w:p>
      <w:pPr>
        <w:pStyle w:val="2"/>
        <w:keepNext/>
        <w:spacing w:line="300" w:lineRule="auto" w:before="120" w:after="80"/>
        <w:ind w:firstLine="0"/>
        <w:jc w:val="center"/>
      </w:pPr>
      <w:r>
        <w:rPr>
          <w:rFonts w:ascii="Times New Roman" w:hAnsi="Times New Roman" w:eastAsia="宋体"/>
          <w:b w:val="0"/>
          <w:sz w:val="21"/>
        </w:rPr>
        <w:t xml:space="preserve">表5-55 BDZ-00155站第4年配置与负荷转接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7.93</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7.93</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7"/>
        <w:keepNext/>
        <w:numPr>
          <w:numId w:val="0"/>
        </w:numPr>
        <w:spacing w:line="360" w:lineRule="auto" w:before="160" w:after="120"/>
        <w:ind w:firstLine="0"/>
      </w:pPr>
      <w:bookmarkStart w:id="229" w:name="bdz-00175站规划分析"/>
      <w:r>
        <w:rPr>
          <w:rFonts w:ascii="Times New Roman" w:hAnsi="Times New Roman" w:eastAsia="方正仿宋_GBK"/>
          <w:b/>
          <w:sz w:val="24"/>
        </w:rPr>
        <w:t xml:space="preserve">BDZ-00175站规划分析</w:t>
      </w:r>
      <w:bookmarkEnd w:id="229"/>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MVA，规划第4年转接前最大正向、反向净负荷分别为38.94 MW和0.00 MW，正向95%峰值持续时间为3.00 h。弹性方案沿用基期主变容量，后续各年通过站间负荷转接满足容量需求。</w:t>
      </w:r>
    </w:p>
    <w:p>
      <w:pPr>
        <w:pStyle w:val="2"/>
        <w:widowControl/>
        <w:spacing w:line="300" w:lineRule="auto" w:before="0" w:after="0"/>
        <w:ind w:firstLine="480"/>
        <w:jc w:val="both"/>
      </w:pPr>
      <w:r>
        <w:rPr>
          <w:rFonts w:ascii="Times New Roman" w:hAnsi="Times New Roman" w:eastAsia="方正仿宋_GBK"/>
          <w:b w:val="0"/>
          <w:sz w:val="24"/>
        </w:rPr>
        <w:t xml:space="preserve">第4年转出0.94 MW、承接0.00 MW后，正向校核负荷为38.00 MW。负荷转出降低正向需求，同时将反向校核上界提高至0.94 MW，配置按两个方向共同确定。刚性方案第4年主变总容量为80.00 MVA，储能为0.00 MW；弹性方案相应为80.00 MVA和0.00 MW。两类方案的本站主变配置接近，差异主要通过区域其他站点的容量和负荷安排体现。</w:t>
      </w:r>
    </w:p>
    <w:p>
      <w:pPr>
        <w:pStyle w:val="2"/>
        <w:keepNext/>
        <w:spacing w:line="300" w:lineRule="auto" w:before="120" w:after="80"/>
        <w:ind w:firstLine="0"/>
        <w:jc w:val="center"/>
      </w:pPr>
      <w:r>
        <w:rPr>
          <w:rFonts w:ascii="Times New Roman" w:hAnsi="Times New Roman" w:eastAsia="宋体"/>
          <w:b w:val="0"/>
          <w:sz w:val="21"/>
        </w:rPr>
        <w:t xml:space="preserve">表5-56 BDZ-00175站第4年配置与负荷转接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0.94</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0.94</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7"/>
        <w:keepNext/>
        <w:numPr>
          <w:numId w:val="0"/>
        </w:numPr>
        <w:spacing w:line="360" w:lineRule="auto" w:before="160" w:after="120"/>
        <w:ind w:firstLine="0"/>
      </w:pPr>
      <w:bookmarkStart w:id="230" w:name="bdz-00183站规划分析"/>
      <w:r>
        <w:rPr>
          <w:rFonts w:ascii="Times New Roman" w:hAnsi="Times New Roman" w:eastAsia="方正仿宋_GBK"/>
          <w:b/>
          <w:sz w:val="24"/>
        </w:rPr>
        <w:t xml:space="preserve">BDZ-00183站规划分析</w:t>
      </w:r>
      <w:bookmarkEnd w:id="230"/>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MVA，规划第4年转接前最大正向、反向净负荷分别为14.24 MW和4.85 MW，正向95%峰值持续时间为4.00 h。弹性方案沿用基期主变容量，后续各年通过站间负荷转接满足容量需求。</w:t>
      </w:r>
    </w:p>
    <w:p>
      <w:pPr>
        <w:pStyle w:val="2"/>
        <w:widowControl/>
        <w:spacing w:line="300" w:lineRule="auto" w:before="0" w:after="0"/>
        <w:ind w:firstLine="480"/>
        <w:jc w:val="both"/>
      </w:pPr>
      <w:r>
        <w:rPr>
          <w:rFonts w:ascii="Times New Roman" w:hAnsi="Times New Roman" w:eastAsia="方正仿宋_GBK"/>
          <w:b w:val="0"/>
          <w:sz w:val="24"/>
        </w:rPr>
        <w:t xml:space="preserve">第4年承接23.76 MW，正向校核负荷增至38.00 MW。该站利用相应主变容量承担片区内部负荷，接收能力按承接后的负荷进行正常运行及主变N-1校核。刚性方案第4年主变总容量为80.00 MVA，储能为0.00 MW；弹性方案相应为80.00 MVA和0.00 MW。两类方案的本站主变配置接近，差异主要通过区域其他站点的容量和负荷安排体现。</w:t>
      </w:r>
    </w:p>
    <w:p>
      <w:pPr>
        <w:pStyle w:val="2"/>
        <w:keepNext/>
        <w:spacing w:line="300" w:lineRule="auto" w:before="120" w:after="80"/>
        <w:ind w:firstLine="0"/>
        <w:jc w:val="center"/>
      </w:pPr>
      <w:r>
        <w:rPr>
          <w:rFonts w:ascii="Times New Roman" w:hAnsi="Times New Roman" w:eastAsia="宋体"/>
          <w:b w:val="0"/>
          <w:sz w:val="21"/>
        </w:rPr>
        <w:t xml:space="preserve">表5-57 BDZ-00183站第4年配置与负荷转接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21.59</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35.83</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23.76</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7"/>
        <w:keepNext/>
        <w:numPr>
          <w:numId w:val="0"/>
        </w:numPr>
        <w:spacing w:line="360" w:lineRule="auto" w:before="160" w:after="120"/>
        <w:ind w:firstLine="0"/>
      </w:pPr>
      <w:bookmarkStart w:id="231" w:name="sim-city-kl站规划分析"/>
      <w:r>
        <w:rPr>
          <w:rFonts w:ascii="Times New Roman" w:hAnsi="Times New Roman" w:eastAsia="方正仿宋_GBK"/>
          <w:b/>
          <w:sz w:val="24"/>
        </w:rPr>
        <w:t xml:space="preserve">SIM-CITY-KL站规划分析</w:t>
      </w:r>
      <w:bookmarkEnd w:id="231"/>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MVA，规划第4年转接前最大正向、反向净负荷分别为13.92 MW和4.11 MW，正向95%峰值持续时间为1.00 h。弹性方案沿用基期主变容量，后续各年通过站间负荷转接满足容量需求。</w:t>
      </w:r>
    </w:p>
    <w:p>
      <w:pPr>
        <w:pStyle w:val="2"/>
        <w:widowControl/>
        <w:spacing w:line="300" w:lineRule="auto" w:before="0" w:after="0"/>
        <w:ind w:firstLine="480"/>
        <w:jc w:val="both"/>
      </w:pPr>
      <w:r>
        <w:rPr>
          <w:rFonts w:ascii="Times New Roman" w:hAnsi="Times New Roman" w:eastAsia="方正仿宋_GBK"/>
          <w:b w:val="0"/>
          <w:sz w:val="24"/>
        </w:rPr>
        <w:t xml:space="preserve">第4年承接24.08 MW，正向校核负荷增至38.00 MW。该站利用相应主变容量承担片区内部负荷，接收能力按承接后的负荷进行正常运行及主变N-1校核。刚性方案第4年主变总容量为80.00 MVA，储能为14.00 MW；弹性方案相应为80.00 MVA和0.00 MW。弹性方案储能减少14.00 MW，主变N-1工况的容量支撑更多由在役主变和站间负荷配置承担。</w:t>
      </w:r>
    </w:p>
    <w:p>
      <w:pPr>
        <w:pStyle w:val="2"/>
        <w:keepNext/>
        <w:spacing w:line="300" w:lineRule="auto" w:before="120" w:after="80"/>
        <w:ind w:firstLine="0"/>
        <w:jc w:val="center"/>
      </w:pPr>
      <w:r>
        <w:rPr>
          <w:rFonts w:ascii="Times New Roman" w:hAnsi="Times New Roman" w:eastAsia="宋体"/>
          <w:b w:val="0"/>
          <w:sz w:val="21"/>
        </w:rPr>
        <w:t xml:space="preserve">表5-58 SIM-CITY-KL站第4年配置与负荷转接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14.00/30.10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38.08</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52.00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24.08</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7"/>
        <w:keepNext/>
        <w:numPr>
          <w:numId w:val="0"/>
        </w:numPr>
        <w:spacing w:line="360" w:lineRule="auto" w:before="160" w:after="120"/>
        <w:ind w:firstLine="0"/>
      </w:pPr>
      <w:bookmarkStart w:id="232" w:name="sim-city-xsz站规划分析"/>
      <w:r>
        <w:rPr>
          <w:rFonts w:ascii="Times New Roman" w:hAnsi="Times New Roman" w:eastAsia="方正仿宋_GBK"/>
          <w:b/>
          <w:sz w:val="24"/>
        </w:rPr>
        <w:t xml:space="preserve">SIM-CITY-XSZ站规划分析</w:t>
      </w:r>
      <w:bookmarkEnd w:id="232"/>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MVA，规划第4年转接前最大正向、反向净负荷分别为11.78 MW和2.90 MW，正向95%峰值持续时间为1.00 h。弹性方案沿用基期主变容量，后续各年通过站间负荷转接满足容量需求。</w:t>
      </w:r>
    </w:p>
    <w:p>
      <w:pPr>
        <w:pStyle w:val="2"/>
        <w:widowControl/>
        <w:spacing w:line="300" w:lineRule="auto" w:before="0" w:after="0"/>
        <w:ind w:firstLine="480"/>
        <w:jc w:val="both"/>
      </w:pPr>
      <w:r>
        <w:rPr>
          <w:rFonts w:ascii="Times New Roman" w:hAnsi="Times New Roman" w:eastAsia="方正仿宋_GBK"/>
          <w:b w:val="0"/>
          <w:sz w:val="24"/>
        </w:rPr>
        <w:t xml:space="preserve">第4年承接26.22 MW，正向校核负荷增至38.00 MW。该站利用相应主变容量承担片区内部负荷，接收能力按承接后的负荷进行正常运行及主变N-1校核。刚性方案第4年主变总容量为80.00 MVA，储能为11.80 MW；弹性方案相应为80.00 MVA和0.00 MW。弹性方案储能减少11.80 MW，主变N-1工况的容量支撑更多由在役主变和站间负荷配置承担。</w:t>
      </w:r>
    </w:p>
    <w:p>
      <w:pPr>
        <w:pStyle w:val="2"/>
        <w:keepNext/>
        <w:spacing w:line="300" w:lineRule="auto" w:before="120" w:after="80"/>
        <w:ind w:firstLine="0"/>
        <w:jc w:val="center"/>
      </w:pPr>
      <w:r>
        <w:rPr>
          <w:rFonts w:ascii="Times New Roman" w:hAnsi="Times New Roman" w:eastAsia="宋体"/>
          <w:b w:val="0"/>
          <w:sz w:val="21"/>
        </w:rPr>
        <w:t xml:space="preserve">表5-59 SIM-CITY-XSZ站第4年配置与负荷转接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11.80/25.37</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38.02</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49.80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26.22</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7"/>
        <w:keepNext/>
        <w:numPr>
          <w:numId w:val="0"/>
        </w:numPr>
        <w:spacing w:line="360" w:lineRule="auto" w:before="160" w:after="120"/>
        <w:ind w:firstLine="0"/>
      </w:pPr>
      <w:bookmarkStart w:id="233" w:name="sim-city-yq站规划分析"/>
      <w:r>
        <w:rPr>
          <w:rFonts w:ascii="Times New Roman" w:hAnsi="Times New Roman" w:eastAsia="方正仿宋_GBK"/>
          <w:b/>
          <w:sz w:val="24"/>
        </w:rPr>
        <w:t xml:space="preserve">SIM-CITY-YQ站规划分析</w:t>
      </w:r>
      <w:bookmarkEnd w:id="233"/>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MVA，规划第4年转接前最大正向、反向净负荷分别为18.16 MW和0.00 MW，正向95%峰值持续时间为1.00 h。弹性方案沿用基期主变容量，后续各年通过站间负荷转接满足容量需求。</w:t>
      </w:r>
    </w:p>
    <w:p>
      <w:pPr>
        <w:pStyle w:val="2"/>
        <w:widowControl/>
        <w:spacing w:line="300" w:lineRule="auto" w:before="0" w:after="0"/>
        <w:ind w:firstLine="480"/>
        <w:jc w:val="both"/>
      </w:pPr>
      <w:r>
        <w:rPr>
          <w:rFonts w:ascii="Times New Roman" w:hAnsi="Times New Roman" w:eastAsia="方正仿宋_GBK"/>
          <w:b w:val="0"/>
          <w:sz w:val="24"/>
        </w:rPr>
        <w:t xml:space="preserve">第4年承接19.84 MW，正向校核负荷增至38.00 MW。该站利用相应主变容量承担片区内部负荷，接收能力按承接后的负荷进行正常运行及主变N-1校核。刚性方案第4年主变总容量为80.00 MVA，储能为0.00 MW；弹性方案相应为80.00 MVA和0.00 MW。两类方案的本站主变配置接近，差异主要通过区域其他站点的容量和负荷安排体现。</w:t>
      </w:r>
    </w:p>
    <w:p>
      <w:pPr>
        <w:pStyle w:val="2"/>
        <w:keepNext/>
        <w:spacing w:line="300" w:lineRule="auto" w:before="120" w:after="80"/>
        <w:ind w:firstLine="0"/>
        <w:jc w:val="center"/>
      </w:pPr>
      <w:r>
        <w:rPr>
          <w:rFonts w:ascii="Times New Roman" w:hAnsi="Times New Roman" w:eastAsia="宋体"/>
          <w:b w:val="0"/>
          <w:sz w:val="21"/>
        </w:rPr>
        <w:t xml:space="preserve">表5-60 SIM-CITY-YQ站第4年配置与负荷转接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19.84</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19.84</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bookmarkStart w:id="1740" w:name="h740"/>
      <w:pPr>
        <w:pStyle w:val="4"/>
        <w:keepNext/>
        <w:numPr>
          <w:numId w:val="0"/>
        </w:numPr>
        <w:spacing w:line="360" w:lineRule="auto" w:before="160" w:after="120"/>
        <w:ind w:firstLine="0"/>
      </w:pPr>
      <w:bookmarkStart w:id="234" w:name="措施作用与工程衔接"/>
      <w:r>
        <w:rPr>
          <w:rFonts w:ascii="Times New Roman" w:hAnsi="Times New Roman" w:eastAsia="方正仿宋_GBK"/>
          <w:b/>
          <w:sz w:val="32"/>
        </w:rPr>
        <w:t xml:space="preserve">5.5 措施作用与工程衔接</w:t>
      </w:r>
      <w:bookmarkEnd w:id="234"/>
      <w:bookmarkEnd w:id="1740"/>
    </w:p>
    <w:p>
      <w:pPr>
        <w:pStyle w:val="5"/>
        <w:keepNext/>
        <w:numPr>
          <w:numId w:val="0"/>
        </w:numPr>
        <w:spacing w:line="360" w:lineRule="auto" w:before="160" w:after="120"/>
        <w:ind w:firstLine="0"/>
      </w:pPr>
      <w:bookmarkStart w:id="235" w:name="既有能力与新建能力的作用"/>
      <w:r>
        <w:rPr>
          <w:rFonts w:ascii="Times New Roman" w:hAnsi="Times New Roman" w:eastAsia="方正仿宋_GBK"/>
          <w:b/>
          <w:sz w:val="26"/>
        </w:rPr>
        <w:t xml:space="preserve">5.5.1 既有能力与新建能力的作用</w:t>
      </w:r>
      <w:bookmarkEnd w:id="235"/>
    </w:p>
    <w:p>
      <w:pPr>
        <w:pStyle w:val="FirstParagraph"/>
        <w:widowControl/>
        <w:spacing w:line="300" w:lineRule="auto" w:before="0" w:after="0"/>
        <w:ind w:firstLine="480"/>
        <w:jc w:val="both"/>
      </w:pPr>
      <w:r>
        <w:rPr>
          <w:rFonts w:ascii="Times New Roman" w:hAnsi="Times New Roman" w:eastAsia="方正仿宋_GBK"/>
          <w:b w:val="0"/>
          <w:sz w:val="24"/>
        </w:rPr>
        <w:t xml:space="preserve">既有转供率描述各站初始可转负荷预算。原站负荷较重、受端存在余量时，优化可利用这一预算调整供电归属。达到预算上限后，新增联络项目才提供进一步转接的能力，项目费用据此参与比选。</w:t>
      </w:r>
    </w:p>
    <w:p>
      <w:pPr>
        <w:pStyle w:val="2"/>
        <w:widowControl/>
        <w:spacing w:line="300" w:lineRule="auto" w:before="0" w:after="0"/>
        <w:ind w:firstLine="480"/>
        <w:jc w:val="both"/>
      </w:pPr>
      <w:r>
        <w:rPr>
          <w:rFonts w:ascii="Times New Roman" w:hAnsi="Times New Roman" w:eastAsia="方正仿宋_GBK"/>
          <w:b w:val="0"/>
          <w:sz w:val="24"/>
        </w:rPr>
        <w:t xml:space="preserve">邳州28.29%的样本初始率低于30%的规划目标，新建项目同时承担能力提升和负荷调整需求。市区初始50%已达到本研究目标，新建需求取决于后续站级约束和经济比较。两种地区采用同一能力表达式，差异来自初始率、负荷分布与设备结构。</w:t>
      </w:r>
    </w:p>
    <w:p>
      <w:pPr>
        <w:pStyle w:val="2"/>
        <w:keepNext/>
        <w:spacing w:line="300" w:lineRule="auto" w:before="120" w:after="80"/>
        <w:ind w:firstLine="0"/>
        <w:jc w:val="center"/>
      </w:pPr>
      <w:r>
        <w:rPr>
          <w:rFonts w:ascii="Times New Roman" w:hAnsi="Times New Roman" w:eastAsia="宋体"/>
          <w:b w:val="0"/>
          <w:sz w:val="21"/>
        </w:rPr>
        <w:t xml:space="preserve">表5-61 既有与新增转供能力的实际利用</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地区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仿真年</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既有能力使用/MW</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新增能力使用/MW</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在役项目/项</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总转接/MW</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122.86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38.57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161.42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113.66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21.83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135.49</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120.78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28.52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149.30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154.92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42.69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197.61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108.39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21.74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130.12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108.02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34.01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142.04</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117.73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42.39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160.12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135.31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48.80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184.11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354.94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354.94</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363.46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363.46</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382.29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382.29</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401.91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401.91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349.76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14.67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364.43</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361.73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18.47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380.20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374.35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22.40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396.75</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372.29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17.22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389.51</w:t>
            </w:r>
          </w:p>
        </w:tc>
      </w:tr>
    </w:tbl>
    <w:p>
      <w:pPr>
        <w:pStyle w:val="5"/>
        <w:keepNext/>
        <w:numPr>
          <w:numId w:val="0"/>
        </w:numPr>
        <w:spacing w:line="360" w:lineRule="auto" w:before="160" w:after="120"/>
        <w:ind w:firstLine="0"/>
      </w:pPr>
      <w:bookmarkStart w:id="236" w:name="峰段支撑与工程应用"/>
      <w:r>
        <w:rPr>
          <w:rFonts w:ascii="Times New Roman" w:hAnsi="Times New Roman" w:eastAsia="方正仿宋_GBK"/>
          <w:b/>
          <w:sz w:val="26"/>
        </w:rPr>
        <w:t xml:space="preserve">5.5.2 峰段支撑与工程应用</w:t>
      </w:r>
      <w:bookmarkEnd w:id="236"/>
    </w:p>
    <w:p>
      <w:pPr>
        <w:pStyle w:val="FirstParagraph"/>
        <w:widowControl/>
        <w:spacing w:line="300" w:lineRule="auto" w:before="0" w:after="0"/>
        <w:ind w:firstLine="480"/>
        <w:jc w:val="both"/>
      </w:pPr>
      <w:r>
        <w:rPr>
          <w:rFonts w:ascii="Times New Roman" w:hAnsi="Times New Roman" w:eastAsia="方正仿宋_GBK"/>
          <w:b w:val="0"/>
          <w:sz w:val="24"/>
        </w:rPr>
        <w:t xml:space="preserve">储能按峰值持续时间承担静态容量缺口，工程应用可进一步用实际可用能量、效率和连续时序更新支撑系数。联络项目按区县等效能力建模，实施阶段可将实际馈线分段、接收余量及路径条件纳入模型。</w:t>
      </w:r>
    </w:p>
    <w:p>
      <w:pPr>
        <w:pStyle w:val="2"/>
        <w:widowControl/>
        <w:spacing w:line="300" w:lineRule="auto" w:before="0" w:after="0"/>
        <w:ind w:firstLine="480"/>
        <w:jc w:val="both"/>
      </w:pPr>
      <w:r>
        <w:rPr>
          <w:rFonts w:ascii="Times New Roman" w:hAnsi="Times New Roman" w:eastAsia="方正仿宋_GBK"/>
          <w:b w:val="0"/>
          <w:sz w:val="24"/>
        </w:rPr>
        <w:t xml:space="preserve">本研究结果对应所列研究参数。实际规划从核定在役资产与预测负荷出发，沿用相同的容量、守恒和费用计算关系，完成工程概算及供电安全校核。</w:t>
      </w:r>
    </w:p>
    <w:p>
      <w:bookmarkStart w:id="1748" w:name="h748"/>
      <w:pPr>
        <w:pStyle w:val="4"/>
        <w:keepNext/>
        <w:numPr>
          <w:numId w:val="0"/>
        </w:numPr>
        <w:spacing w:line="360" w:lineRule="auto" w:before="160" w:after="120"/>
        <w:ind w:firstLine="0"/>
      </w:pPr>
      <w:bookmarkStart w:id="237" w:name="参数拓展与通用推荐矩阵"/>
      <w:r>
        <w:rPr>
          <w:rFonts w:ascii="Times New Roman" w:hAnsi="Times New Roman" w:eastAsia="方正仿宋_GBK"/>
          <w:b/>
          <w:sz w:val="32"/>
        </w:rPr>
        <w:t xml:space="preserve">5.6 参数拓展与通用推荐矩阵</w:t>
      </w:r>
      <w:bookmarkEnd w:id="237"/>
      <w:bookmarkEnd w:id="1748"/>
    </w:p>
    <w:p>
      <w:pPr>
        <w:pStyle w:val="5"/>
        <w:keepNext/>
        <w:numPr>
          <w:numId w:val="0"/>
        </w:numPr>
        <w:spacing w:line="360" w:lineRule="auto" w:before="160" w:after="120"/>
        <w:ind w:firstLine="0"/>
      </w:pPr>
      <w:bookmarkStart w:id="238" w:name="从案例关系到通用参数"/>
      <w:r>
        <w:rPr>
          <w:rFonts w:ascii="Times New Roman" w:hAnsi="Times New Roman" w:eastAsia="方正仿宋_GBK"/>
          <w:b/>
          <w:sz w:val="26"/>
        </w:rPr>
        <w:t xml:space="preserve">5.6.1 从案例关系到通用参数</w:t>
      </w:r>
      <w:bookmarkEnd w:id="238"/>
    </w:p>
    <w:p>
      <w:pPr>
        <w:pStyle w:val="FirstParagraph"/>
        <w:widowControl/>
        <w:spacing w:line="300" w:lineRule="auto" w:before="0" w:after="0"/>
        <w:ind w:firstLine="480"/>
        <w:jc w:val="both"/>
      </w:pPr>
      <w:r>
        <w:rPr>
          <w:rFonts w:ascii="Times New Roman" w:hAnsi="Times New Roman" w:eastAsia="方正仿宋_GBK"/>
          <w:b w:val="0"/>
          <w:sz w:val="24"/>
        </w:rPr>
        <w:t xml:space="preserve">案例说明容载比由主变容量和年网供最大负荷共同形成，其经济取值还受储能持续支撑、站间转供能力和工程价格影响。通用矩阵据此采用可比较的参数范围，构造A类和B/C类两种等容量仿真站群，将具体地区的站名和规模转换为一般结构条件。</w:t>
      </w:r>
    </w:p>
    <w:p>
      <w:pPr>
        <w:pStyle w:val="2"/>
        <w:widowControl/>
        <w:spacing w:line="300" w:lineRule="auto" w:before="0" w:after="0"/>
        <w:ind w:firstLine="480"/>
        <w:jc w:val="both"/>
      </w:pPr>
      <w:r>
        <w:rPr>
          <w:rFonts w:ascii="Times New Roman" w:hAnsi="Times New Roman" w:eastAsia="方正仿宋_GBK"/>
          <w:b w:val="0"/>
          <w:sz w:val="24"/>
        </w:rPr>
        <w:t xml:space="preserve">外推站群均含5座变电站，每站初始配置两台主变。A类单台50 MVA，B/C类单台40 MVA，基期年网供最大负荷分别为250和200 MW，基期容载比均为2.00。负荷分配采用较均匀与偏集中两种权重；各站独立正向峰值合计分别按区域同期峰值的1.00和1.15倍构造。案例中邳州、市区的相应比值约为1.06和1.11，为该一般量级提供参考。光伏分配采用独立权重，保留源荷空间差异。新购规格、扩建50 MVA主变、储能柜及联络能力与前述计算方法一致。</w:t>
      </w:r>
    </w:p>
    <w:p>
      <w:pPr>
        <w:pStyle w:val="2"/>
        <w:widowControl/>
        <w:spacing w:line="300" w:lineRule="auto" w:before="0" w:after="0"/>
        <w:ind w:firstLine="480"/>
        <w:jc w:val="both"/>
      </w:pPr>
      <w:r>
        <w:rPr>
          <w:rFonts w:ascii="Times New Roman" w:hAnsi="Times New Roman" w:eastAsia="方正仿宋_GBK"/>
          <w:b w:val="0"/>
          <w:sz w:val="24"/>
        </w:rPr>
        <w:t xml:space="preserve">参数变化通过站级正向、反向负荷和持续支撑系数进入约束，以全寿命费用确定对应配置。通用外推采用规划第4年的静态容量比选，归纳目标年推荐值；两地区案例另按逐年状态进行建设时序寻优。具体计算点保存在配套文件。</w:t>
      </w:r>
    </w:p>
    <w:p>
      <w:pPr>
        <w:pStyle w:val="5"/>
        <w:keepNext/>
        <w:numPr>
          <w:numId w:val="0"/>
        </w:numPr>
        <w:spacing w:line="360" w:lineRule="auto" w:before="160" w:after="120"/>
        <w:ind w:firstLine="0"/>
      </w:pPr>
      <w:bookmarkStart w:id="239" w:name="参数范围与场景构造"/>
      <w:r>
        <w:rPr>
          <w:rFonts w:ascii="Times New Roman" w:hAnsi="Times New Roman" w:eastAsia="方正仿宋_GBK"/>
          <w:b/>
          <w:sz w:val="26"/>
        </w:rPr>
        <w:t xml:space="preserve">5.6.2 参数范围与场景构造</w:t>
      </w:r>
      <w:bookmarkEnd w:id="239"/>
    </w:p>
    <w:p>
      <w:pPr>
        <w:pStyle w:val="FirstParagraph"/>
        <w:keepNext/>
        <w:spacing w:line="300" w:lineRule="auto" w:before="120" w:after="80"/>
        <w:ind w:firstLine="0"/>
        <w:jc w:val="center"/>
      </w:pPr>
      <w:r>
        <w:rPr>
          <w:rFonts w:ascii="Times New Roman" w:hAnsi="Times New Roman" w:eastAsia="宋体"/>
          <w:b w:val="0"/>
          <w:sz w:val="21"/>
        </w:rPr>
        <w:t xml:space="preserve">表5-62 通用外推参数及站群假定</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793"/>
        <w:gridCol w:w="3259"/>
        <w:gridCol w:w="3259"/>
      </w:tblGrid>
      <w:tr>
        <w:trPr>
          <w:cantSplit/>
          <w:tblHeader/>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参数</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取值或范围</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设定方式</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供电区域</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A类、B/C类</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两类五站仿真模板</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初始主变</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5站；各2×50或2×40 MVA</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等容量基期</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初始容载比</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两类站群一致</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负荷分布</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0.10/0.15/0.20/0.25/0.30；0.16/0.18/0.20/0.22/0.24</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权重之和为1</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站级峰值合计/区域同期峰值</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偏集中1.15；较均匀1.00</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案例1.06和1.11支持外推量级</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光伏分布</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0.08/0.14/0.18/0.25/0.35</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权重之和为1</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装机渗透率</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0、0.30、0.80、1、1.30、1.80、2、2.30、2.80、3</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参数假定</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年负荷平均增长率</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0、1%、2%、4%、7%、8%、10%</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参数假定</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95%峰值持续时间</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1、2、3、4、6 h</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正反向采用相同场景时长</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初始站间转供率</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A类50%；B/C类28.29%</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案例参数外推</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线路、储能价格倍数</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线路0.75/1.00/1.25；储能0.50/1.00/1.25</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九组交叉价格</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光伏利用小时、用户年负荷率</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1200 h；0.50</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电量指标换算</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目标年、费用时点</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第4年；按2025年投运折现</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目标年静态规划外推</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线路类型</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架空为主/电缆为主；电缆占比10.00%/90.00%</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与供电类别交叉计算</w:t>
            </w:r>
          </w:p>
        </w:tc>
      </w:tr>
    </w:tbl>
    <w:p>
      <w:pPr>
        <w:pStyle w:val="2"/>
        <w:widowControl/>
        <w:spacing w:line="300" w:lineRule="auto" w:before="0" w:after="0"/>
        <w:ind w:firstLine="480"/>
        <w:jc w:val="both"/>
      </w:pPr>
      <w:r>
        <w:rPr>
          <w:rFonts w:ascii="Times New Roman" w:hAnsi="Times New Roman" w:eastAsia="方正仿宋_GBK"/>
          <w:b w:val="0"/>
          <w:sz w:val="24"/>
        </w:rPr>
        <w:t xml:space="preserve">分布式电源装机渗透率在0～3.00之间选取10个代表值，年负荷平均增长率在0～10%之间选取7个值，95%峰值持续时间选取1、2、3、4、6 h。初始转供率采用50%和28.29%，分别对应两类站群；负荷分布采用两种形态。线路类型取架空为主和电缆为主；每类线路与储能各取三档价格，按九组交叉价格计算，形成25200个技术经济情景。</w:t>
      </w:r>
    </w:p>
    <w:p>
      <w:pPr>
        <w:pStyle w:val="2"/>
        <w:widowControl/>
        <w:spacing w:line="300" w:lineRule="auto" w:before="0" w:after="0"/>
        <w:ind w:firstLine="480"/>
        <w:jc w:val="both"/>
      </w:pPr>
      <w:r>
        <w:rPr>
          <w:rFonts w:ascii="Times New Roman" w:hAnsi="Times New Roman" w:eastAsia="方正仿宋_GBK"/>
          <w:b w:val="0"/>
          <w:sz w:val="24"/>
        </w:rPr>
        <w:t xml:space="preserve">设用户年负荷率0.50、光伏利用小时1200 h，分布式电源电量渗透率按装机渗透率换算，约为0.00%～82.19%。技术场景以夜间正向负荷作为年网供最大负荷，日间光伏出力系数0.75、用户负荷为正向峰值的30%，由此构造反向净负荷。</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sSub>
                        <m:e>
                          <m:r>
                            <m:t>C</m:t>
                          </m:r>
                        </m:e>
                        <m:sub>
                          <m:r>
                            <m:rPr>
                              <m:sty m:val="p"/>
                            </m:rPr>
                            <m:t>D</m:t>
                          </m:r>
                          <m:r>
                            <m:rPr>
                              <m:sty m:val="p"/>
                            </m:rPr>
                            <m:t>G</m:t>
                          </m:r>
                        </m:sub>
                      </m:sSub>
                    </m:e>
                    <m:e>
                      <m:r>
                        <m:t>=</m:t>
                      </m:r>
                      <m:sSub>
                        <m:e>
                          <m:r>
                            <m:t>η</m:t>
                          </m:r>
                        </m:e>
                        <m:sub>
                          <m:r>
                            <m:t>C</m:t>
                          </m:r>
                        </m:sub>
                      </m:sSub>
                      <m:sSub>
                        <m:e>
                          <m:r>
                            <m:t>P</m:t>
                          </m:r>
                        </m:e>
                        <m:sub>
                          <m:r>
                            <m:rPr>
                              <m:sty m:val="p"/>
                            </m:rPr>
                            <m:t>u</m:t>
                          </m:r>
                          <m:r>
                            <m:rPr>
                              <m:sty m:val="p"/>
                            </m:rPr>
                            <m:t>s</m:t>
                          </m:r>
                          <m:r>
                            <m:rPr>
                              <m:sty m:val="p"/>
                            </m:rPr>
                            <m:t>e</m:t>
                          </m:r>
                          <m:r>
                            <m:rPr>
                              <m:sty m:val="p"/>
                            </m:rPr>
                            <m:t>r</m:t>
                          </m:r>
                          <m:r>
                            <m:rPr>
                              <m:sty m:val="p"/>
                            </m:rPr>
                            <m:t>,</m:t>
                          </m:r>
                          <m:r>
                            <m:rPr>
                              <m:sty m:val="p"/>
                            </m:rPr>
                            <m:t>m</m:t>
                          </m:r>
                          <m:r>
                            <m:rPr>
                              <m:sty m:val="p"/>
                            </m:rPr>
                            <m:t>a</m:t>
                          </m:r>
                          <m:r>
                            <m:rPr>
                              <m:sty m:val="p"/>
                            </m:rPr>
                            <m:t>x</m:t>
                          </m:r>
                        </m:sub>
                      </m:sSub>
                    </m:e>
                  </m:mr>
                  <m:mr>
                    <m:e>
                      <m:sSubSup>
                        <m:e>
                          <m:r>
                            <m:t>L</m:t>
                          </m:r>
                        </m:e>
                        <m:sub>
                          <m:r>
                            <m:t>i</m:t>
                          </m:r>
                        </m:sub>
                        <m:sup>
                          <m:r>
                            <m:t>−</m:t>
                          </m:r>
                        </m:sup>
                      </m:sSubSup>
                    </m:e>
                    <m:e>
                      <m:r>
                        <m:t>=</m:t>
                      </m:r>
                      <m:r>
                        <m:rPr>
                          <m:nor/>
                          <m:sty m:val="p"/>
                        </m:rPr>
                        <m:t>max</m:t>
                      </m:r>
                      <m:r>
                        <m:t>(</m:t>
                      </m:r>
                      <m:r>
                        <m:t>0</m:t>
                      </m:r>
                      <m:r>
                        <m:t>,</m:t>
                      </m:r>
                      <m:r>
                        <m:t>0.75</m:t>
                      </m:r>
                      <m:sSub>
                        <m:e>
                          <m:r>
                            <m:t>C</m:t>
                          </m:r>
                        </m:e>
                        <m:sub>
                          <m:r>
                            <m:rPr>
                              <m:sty m:val="p"/>
                            </m:rPr>
                            <m:t>D</m:t>
                          </m:r>
                          <m:r>
                            <m:rPr>
                              <m:sty m:val="p"/>
                            </m:rPr>
                            <m:t>G</m:t>
                          </m:r>
                        </m:sub>
                      </m:sSub>
                      <m:sSubSup>
                        <m:e>
                          <m:r>
                            <m:t>w</m:t>
                          </m:r>
                        </m:e>
                        <m:sub>
                          <m:r>
                            <m:t>i</m:t>
                          </m:r>
                        </m:sub>
                        <m:sup>
                          <m:r>
                            <m:t>G</m:t>
                          </m:r>
                        </m:sup>
                      </m:sSubSup>
                      <m:r>
                        <m:t>−</m:t>
                      </m:r>
                      <m:r>
                        <m:t>0.30</m:t>
                      </m:r>
                      <m:sSubSup>
                        <m:e>
                          <m:r>
                            <m:t>L</m:t>
                          </m:r>
                        </m:e>
                        <m:sub>
                          <m:r>
                            <m:t>i</m:t>
                          </m:r>
                        </m:sub>
                        <m:sup>
                          <m:r>
                            <m:t>+</m:t>
                          </m:r>
                        </m:sup>
                      </m:sSubSup>
                      <m:r>
                        <m:t>)</m:t>
                      </m:r>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（5-15）</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
          <m:e>
            <m:r>
              <m:t>η</m:t>
            </m:r>
          </m:e>
          <m:sub>
            <m:r>
              <m:t>C</m:t>
            </m:r>
          </m:sub>
        </m:sSub>
      </m:oMath>
      <w:r>
        <w:rPr>
          <w:rFonts w:ascii="Times New Roman" w:hAnsi="Times New Roman" w:eastAsia="方正仿宋_GBK"/>
          <w:b w:val="0"/>
          <w:sz w:val="24"/>
        </w:rPr>
        <w:t xml:space="preserve">为分布式电源装机渗透率，</w:t>
      </w:r>
      <m:oMath>
        <m:sSub>
          <m:e>
            <m:r>
              <m:t>C</m:t>
            </m:r>
          </m:e>
          <m:sub>
            <m:r>
              <m:rPr>
                <m:sty m:val="p"/>
              </m:rPr>
              <m:t>D</m:t>
            </m:r>
            <m:r>
              <m:rPr>
                <m:sty m:val="p"/>
              </m:rPr>
              <m:t>G</m:t>
            </m:r>
          </m:sub>
        </m:sSub>
      </m:oMath>
      <w:r>
        <w:rPr>
          <w:rFonts w:ascii="Times New Roman" w:hAnsi="Times New Roman" w:eastAsia="方正仿宋_GBK"/>
          <w:b w:val="0"/>
          <w:sz w:val="24"/>
        </w:rPr>
        <w:t xml:space="preserve">为装机容量，单位MW；</w:t>
      </w:r>
      <m:oMath>
        <m:sSub>
          <m:e>
            <m:r>
              <m:t>P</m:t>
            </m:r>
          </m:e>
          <m:sub>
            <m:r>
              <m:rPr>
                <m:sty m:val="p"/>
              </m:rPr>
              <m:t>u</m:t>
            </m:r>
            <m:r>
              <m:rPr>
                <m:sty m:val="p"/>
              </m:rPr>
              <m:t>s</m:t>
            </m:r>
            <m:r>
              <m:rPr>
                <m:sty m:val="p"/>
              </m:rPr>
              <m:t>e</m:t>
            </m:r>
            <m:r>
              <m:rPr>
                <m:sty m:val="p"/>
              </m:rPr>
              <m:t>r</m:t>
            </m:r>
            <m:r>
              <m:rPr>
                <m:sty m:val="p"/>
              </m:rPr>
              <m:t>,</m:t>
            </m:r>
            <m:r>
              <m:rPr>
                <m:sty m:val="p"/>
              </m:rPr>
              <m:t>m</m:t>
            </m:r>
            <m:r>
              <m:rPr>
                <m:sty m:val="p"/>
              </m:rPr>
              <m:t>a</m:t>
            </m:r>
            <m:r>
              <m:rPr>
                <m:sty m:val="p"/>
              </m:rPr>
              <m:t>x</m:t>
            </m:r>
          </m:sub>
        </m:sSub>
      </m:oMath>
      <w:r>
        <w:rPr>
          <w:rFonts w:ascii="Times New Roman" w:hAnsi="Times New Roman" w:eastAsia="方正仿宋_GBK"/>
          <w:b w:val="0"/>
          <w:sz w:val="24"/>
        </w:rPr>
        <w:t xml:space="preserve">为用户最大负荷，在本外推场景中取年网供最大负荷；</w:t>
      </w:r>
      <m:oMath>
        <m:sSubSup>
          <m:e>
            <m:r>
              <m:t>w</m:t>
            </m:r>
          </m:e>
          <m:sub>
            <m:r>
              <m:t>i</m:t>
            </m:r>
          </m:sub>
          <m:sup>
            <m:r>
              <m:t>G</m:t>
            </m:r>
          </m:sup>
        </m:sSubSup>
      </m:oMath>
      <w:r>
        <w:rPr>
          <w:rFonts w:ascii="Times New Roman" w:hAnsi="Times New Roman" w:eastAsia="方正仿宋_GBK"/>
          <w:b w:val="0"/>
          <w:sz w:val="24"/>
        </w:rPr>
        <w:t xml:space="preserve">为站级光伏分配权重，各站权重之和为1。</w:t>
      </w:r>
      <m:oMath>
        <m:sSubSup>
          <m:e>
            <m:r>
              <m:t>L</m:t>
            </m:r>
          </m:e>
          <m:sub>
            <m:r>
              <m:t>i</m:t>
            </m:r>
          </m:sub>
          <m:sup>
            <m:r>
              <m:t>+</m:t>
            </m:r>
          </m:sup>
        </m:sSubSup>
      </m:oMath>
      <w:r>
        <w:rPr>
          <w:rFonts w:ascii="Times New Roman" w:hAnsi="Times New Roman" w:eastAsia="方正仿宋_GBK"/>
          <w:b w:val="0"/>
          <w:sz w:val="24"/>
        </w:rPr>
        <w:t xml:space="preserve">为站级最大正向净负荷，</w:t>
      </w:r>
      <m:oMath>
        <m:sSubSup>
          <m:e>
            <m:r>
              <m:t>L</m:t>
            </m:r>
          </m:e>
          <m:sub>
            <m:r>
              <m:t>i</m:t>
            </m:r>
          </m:sub>
          <m:sup>
            <m:r>
              <m:t>−</m:t>
            </m:r>
          </m:sup>
        </m:sSubSup>
      </m:oMath>
      <w:r>
        <w:rPr>
          <w:rFonts w:ascii="Times New Roman" w:hAnsi="Times New Roman" w:eastAsia="方正仿宋_GBK"/>
          <w:b w:val="0"/>
          <w:sz w:val="24"/>
        </w:rPr>
        <w:t xml:space="preserve">为构造的最大反向净负荷。0.75和0.30均为外推场景假定。</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r>
                      <m:t>η</m:t>
                    </m:r>
                  </m:e>
                  <m:sub>
                    <m:r>
                      <m:t>E</m:t>
                    </m:r>
                  </m:sub>
                </m:sSub>
                <m:r>
                  <m:t>=</m:t>
                </m:r>
                <m:f>
                  <m:fPr>
                    <m:type m:val="bar"/>
                  </m:fPr>
                  <m:num>
                    <m:sSub>
                      <m:e>
                        <m:r>
                          <m:t>C</m:t>
                        </m:r>
                      </m:e>
                      <m:sub>
                        <m:r>
                          <m:rPr>
                            <m:sty m:val="p"/>
                          </m:rPr>
                          <m:t>D</m:t>
                        </m:r>
                        <m:r>
                          <m:rPr>
                            <m:sty m:val="p"/>
                          </m:rPr>
                          <m:t>G</m:t>
                        </m:r>
                      </m:sub>
                    </m:sSub>
                    <m:sSub>
                      <m:e>
                        <m:r>
                          <m:t>T</m:t>
                        </m:r>
                      </m:e>
                      <m:sub>
                        <m:r>
                          <m:t>G</m:t>
                        </m:r>
                      </m:sub>
                    </m:sSub>
                  </m:num>
                  <m:den>
                    <m:sSub>
                      <m:e>
                        <m:r>
                          <m:t>P</m:t>
                        </m:r>
                      </m:e>
                      <m:sub>
                        <m:r>
                          <m:rPr>
                            <m:sty m:val="p"/>
                          </m:rPr>
                          <m:t>u</m:t>
                        </m:r>
                        <m:r>
                          <m:rPr>
                            <m:sty m:val="p"/>
                          </m:rPr>
                          <m:t>s</m:t>
                        </m:r>
                        <m:r>
                          <m:rPr>
                            <m:sty m:val="p"/>
                          </m:rPr>
                          <m:t>e</m:t>
                        </m:r>
                        <m:r>
                          <m:rPr>
                            <m:sty m:val="p"/>
                          </m:rPr>
                          <m:t>r</m:t>
                        </m:r>
                        <m:r>
                          <m:rPr>
                            <m:sty m:val="p"/>
                          </m:rPr>
                          <m:t>,</m:t>
                        </m:r>
                        <m:r>
                          <m:rPr>
                            <m:sty m:val="p"/>
                          </m:rPr>
                          <m:t>m</m:t>
                        </m:r>
                        <m:r>
                          <m:rPr>
                            <m:sty m:val="p"/>
                          </m:rPr>
                          <m:t>a</m:t>
                        </m:r>
                        <m:r>
                          <m:rPr>
                            <m:sty m:val="p"/>
                          </m:rPr>
                          <m:t>x</m:t>
                        </m:r>
                      </m:sub>
                    </m:sSub>
                    <m:r>
                      <m:t> </m:t>
                    </m:r>
                    <m:r>
                      <m:t>8760</m:t>
                    </m:r>
                    <m:r>
                      <m:t> </m:t>
                    </m:r>
                    <m:sSub>
                      <m:e>
                        <m:r>
                          <m:t>f</m:t>
                        </m:r>
                      </m:e>
                      <m:sub>
                        <m:r>
                          <m:rPr>
                            <m:sty m:val="p"/>
                          </m:rPr>
                          <m:t>u</m:t>
                        </m:r>
                        <m:r>
                          <m:rPr>
                            <m:sty m:val="p"/>
                          </m:rPr>
                          <m:t>s</m:t>
                        </m:r>
                        <m:r>
                          <m:rPr>
                            <m:sty m:val="p"/>
                          </m:rPr>
                          <m:t>e</m:t>
                        </m:r>
                        <m:r>
                          <m:rPr>
                            <m:sty m:val="p"/>
                          </m:rPr>
                          <m:t>r</m:t>
                        </m:r>
                      </m:sub>
                    </m:sSub>
                  </m:den>
                </m:f>
                <m:r>
                  <m:t>=</m:t>
                </m:r>
                <m:sSub>
                  <m:e>
                    <m:r>
                      <m:t>η</m:t>
                    </m:r>
                  </m:e>
                  <m:sub>
                    <m:r>
                      <m:t>C</m:t>
                    </m:r>
                  </m:sub>
                </m:sSub>
                <m:f>
                  <m:fPr>
                    <m:type m:val="bar"/>
                  </m:fPr>
                  <m:num>
                    <m:r>
                      <m:t>1200</m:t>
                    </m:r>
                  </m:num>
                  <m:den>
                    <m:r>
                      <m:t>8760</m:t>
                    </m:r>
                    <m:r>
                      <m:t>×</m:t>
                    </m:r>
                    <m:r>
                      <m:t>0.50</m:t>
                    </m:r>
                  </m:den>
                </m:f>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（5-16）</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
          <m:e>
            <m:r>
              <m:t>η</m:t>
            </m:r>
          </m:e>
          <m:sub>
            <m:r>
              <m:t>E</m:t>
            </m:r>
          </m:sub>
        </m:sSub>
      </m:oMath>
      <w:r>
        <w:rPr>
          <w:rFonts w:ascii="Times New Roman" w:hAnsi="Times New Roman" w:eastAsia="方正仿宋_GBK"/>
          <w:b w:val="0"/>
          <w:sz w:val="24"/>
        </w:rPr>
        <w:t xml:space="preserve">为分布式电源电量渗透率，</w:t>
      </w:r>
      <m:oMath>
        <m:sSub>
          <m:e>
            <m:r>
              <m:t>T</m:t>
            </m:r>
          </m:e>
          <m:sub>
            <m:r>
              <m:t>G</m:t>
            </m:r>
          </m:sub>
        </m:sSub>
      </m:oMath>
      <w:r>
        <w:rPr>
          <w:rFonts w:ascii="Times New Roman" w:hAnsi="Times New Roman" w:eastAsia="方正仿宋_GBK"/>
          <w:b w:val="0"/>
          <w:sz w:val="24"/>
        </w:rPr>
        <w:t xml:space="preserve">为光伏年利用小时，取1200 h；</w:t>
      </w:r>
      <m:oMath>
        <m:sSub>
          <m:e>
            <m:r>
              <m:t>f</m:t>
            </m:r>
          </m:e>
          <m:sub>
            <m:r>
              <m:rPr>
                <m:sty m:val="p"/>
              </m:rPr>
              <m:t>u</m:t>
            </m:r>
            <m:r>
              <m:rPr>
                <m:sty m:val="p"/>
              </m:rPr>
              <m:t>s</m:t>
            </m:r>
            <m:r>
              <m:rPr>
                <m:sty m:val="p"/>
              </m:rPr>
              <m:t>e</m:t>
            </m:r>
            <m:r>
              <m:rPr>
                <m:sty m:val="p"/>
              </m:rPr>
              <m:t>r</m:t>
            </m:r>
          </m:sub>
        </m:sSub>
      </m:oMath>
      <w:r>
        <w:rPr>
          <w:rFonts w:ascii="Times New Roman" w:hAnsi="Times New Roman" w:eastAsia="方正仿宋_GBK"/>
          <w:b w:val="0"/>
          <w:sz w:val="24"/>
        </w:rPr>
        <w:t xml:space="preserve">为用户年负荷率，取0.50；8760为一年小时数。电量参数在该外推中与装机参数保持同一发电及用电假定。</w:t>
      </w:r>
    </w:p>
    <w:p>
      <w:pPr>
        <w:pStyle w:val="2"/>
        <w:widowControl/>
        <w:spacing w:line="300" w:lineRule="auto" w:before="0" w:after="0"/>
        <w:ind w:firstLine="480"/>
        <w:jc w:val="both"/>
      </w:pPr>
      <w:r>
        <w:rPr>
          <w:rFonts w:ascii="Times New Roman" w:hAnsi="Times New Roman" w:eastAsia="方正仿宋_GBK"/>
          <w:b w:val="0"/>
          <w:sz w:val="24"/>
        </w:rPr>
        <w:t xml:space="preserve">两个成本比按相同有效MW投资计算。主变与储能成本比按3 h参考峰段列示，实际约束仍使用该场景的持续时间。线路参考价格倍数为0.75～1.25，储能为0.50～1.25，对应架空为主的主变与线路成本比约0.84～1.40、电缆为主约0.21～0.35、主变与储能成本比约0.04～0.12。</w:t>
      </w:r>
    </w:p>
    <w:p>
      <w:pPr>
        <w:pStyle w:val="5"/>
        <w:keepNext/>
        <w:numPr>
          <w:numId w:val="0"/>
        </w:numPr>
        <w:spacing w:line="360" w:lineRule="auto" w:before="160" w:after="120"/>
        <w:ind w:firstLine="0"/>
      </w:pPr>
      <w:bookmarkStart w:id="240" w:name="规划档位与计算范围"/>
      <w:r>
        <w:rPr>
          <w:rFonts w:ascii="Times New Roman" w:hAnsi="Times New Roman" w:eastAsia="方正仿宋_GBK"/>
          <w:b/>
          <w:sz w:val="26"/>
        </w:rPr>
        <w:t xml:space="preserve">5.6.3 规划档位与计算范围</w:t>
      </w:r>
      <w:bookmarkEnd w:id="240"/>
    </w:p>
    <w:p>
      <w:pPr>
        <w:pStyle w:val="FirstParagraph"/>
        <w:widowControl/>
        <w:spacing w:line="300" w:lineRule="auto" w:before="0" w:after="0"/>
        <w:ind w:firstLine="480"/>
        <w:jc w:val="both"/>
      </w:pPr>
      <w:r>
        <w:rPr>
          <w:rFonts w:ascii="Times New Roman" w:hAnsi="Times New Roman" w:eastAsia="方正仿宋_GBK"/>
          <w:b w:val="0"/>
          <w:sz w:val="24"/>
        </w:rPr>
        <w:t xml:space="preserve">每个外推组合在相同技术约束下选择设备和负荷分配。为研究适度突破一般上限的配置，当前外推范围仍为大于2.00至2.60。该下限是突破情景的研究条件，因此计算结果主要用于比较放宽上限后的设备选择。实际规划保留2.00上限的刚性方案进行费用对照。</w:t>
      </w:r>
    </w:p>
    <w:p>
      <w:pPr>
        <w:pStyle w:val="2"/>
        <w:widowControl/>
        <w:spacing w:line="300" w:lineRule="auto" w:before="0" w:after="0"/>
        <w:ind w:firstLine="480"/>
        <w:jc w:val="both"/>
      </w:pPr>
      <w:r>
        <w:rPr>
          <w:rFonts w:ascii="Times New Roman" w:hAnsi="Times New Roman" w:eastAsia="方正仿宋_GBK"/>
          <w:b w:val="0"/>
          <w:sz w:val="24"/>
        </w:rPr>
        <w:t xml:space="preserve">按0.20间隔设置2.00、2.20、2.40、2.60四个参考档位，将逐点容载比向上归入可容纳该配置的最小上限档。例如计算值2.21归入2.40上限档，实际设备无需增至2.40；2.00上限另作为刚性对照。每个参数单元列出出现次数最多的主选档位，次数相同时优先列较低档，并列出主选档占比及完整计算范围。占比表示等权参数组合中的出现频次，用于判断同档条件是否一致。它不代表实际片区的发生概率，也不保证单元内每个条件都适用同一档位。</w:t>
      </w:r>
    </w:p>
    <w:p>
      <w:pPr>
        <w:pStyle w:val="2"/>
        <w:widowControl/>
        <w:spacing w:line="300" w:lineRule="auto" w:before="0" w:after="0"/>
        <w:ind w:firstLine="480"/>
        <w:jc w:val="both"/>
      </w:pPr>
      <w:r>
        <w:rPr>
          <w:rFonts w:ascii="Times New Roman" w:hAnsi="Times New Roman" w:eastAsia="方正仿宋_GBK"/>
          <w:b w:val="0"/>
          <w:sz w:val="24"/>
        </w:rPr>
        <w:t xml:space="preserve">规划人员先按线路类型选择矩阵，再结合源荷水平、增长率、峰段持续时间及两个成本比定位参数单元。主选档作为容载比允许上限的比选起点，实际容量按设备允许规格确定；主选档占比不足60.00%的单元，应同时比较相邻档位。装机渗透率1.00、2.00及峰段3 h的计算点在相邻单元共享，实际参数位于这些分档节点时，应同时核对两侧单元。原始最小值至最大值保存在计算范围列中，便于核对设备结构和参数变化造成的差异。范围较宽表示该单元汇总了不同供电类别、负荷分布及具体参数下的配置，不能直接解释为费用对容载比不敏感或数据不确定性较大。</w:t>
      </w:r>
    </w:p>
    <w:p>
      <w:pPr>
        <w:pStyle w:val="2"/>
        <w:keepNext/>
        <w:spacing w:line="300" w:lineRule="auto" w:before="120" w:after="80"/>
        <w:ind w:firstLine="0"/>
        <w:jc w:val="center"/>
      </w:pPr>
      <w:r>
        <w:rPr>
          <w:rFonts w:ascii="Times New Roman" w:hAnsi="Times New Roman" w:eastAsia="宋体"/>
          <w:b w:val="0"/>
          <w:sz w:val="21"/>
        </w:rPr>
        <w:t xml:space="preserve">表5-63 架空为主线路条件下的容载比参考档位（主变与线路成本比0.84～1.40）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装机渗透率</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增长率</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峰段/h</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主变与储能成本比</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上限参考档</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同档占比</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计算范围</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2.03～2.41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2.03～2.41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2.03～2.31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47.22%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2.03～2.41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47.22%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2.03～2.41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2.03～2.41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95.83%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2.02～2.23</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2.02～2.14</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2.02～2.14</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87.50%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2.02～2.23</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91.67%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2.02～2.23</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2.02～2.14</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2.03～2.41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2.03～2.41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51.39%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2.03～2.41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47.22%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2.03～2.50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47.22%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2.03～2.41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2.03～2.41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95.83%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2.02～2.23</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2.02～2.14</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2.02～2.14</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87.50%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2.02～2.23</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91.67%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2.02～2.23</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2.02～2.14</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2.01～2.13</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2.01～2.13</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2.01～2.13</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2.01～2.13</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2.01～2.13</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2.01～2.13</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2.60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47.92%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2.03～2.60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2.60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46.53%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2.03～2.60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2.60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41.67%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2.03～2.55</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2.60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48.61%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2.03～2.60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2.60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47.92%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2.03～2.60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2.60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46.53%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2.03～2.60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67.71%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2.02～2.44</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68.75%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2.02～2.44</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77.08%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2.02～2.44</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65.62%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2.02～2.44</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66.67%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2.02～2.44</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70.83%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2.02～2.44</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93.75%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2.00～2.32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93.75%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2.00～2.28</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96.88%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2.00～2.28</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92.71%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2.00～2.32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93.75%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2.00～2.32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94.79%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2.00～2.28</w:t>
            </w:r>
          </w:p>
        </w:tc>
      </w:tr>
    </w:tbl>
    <w:p>
      <w:pPr>
        <w:pStyle w:val="2"/>
        <w:keepNext/>
        <w:spacing w:line="300" w:lineRule="auto" w:before="120" w:after="80"/>
        <w:ind w:firstLine="0"/>
        <w:jc w:val="center"/>
      </w:pPr>
      <w:r>
        <w:rPr>
          <w:rFonts w:ascii="Times New Roman" w:hAnsi="Times New Roman" w:eastAsia="宋体"/>
          <w:b w:val="0"/>
          <w:sz w:val="21"/>
        </w:rPr>
        <w:t xml:space="preserve">表5-64 电缆为主线路条件下的容载比参考档位（主变与线路成本比0.21～0.35）</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装机渗透率</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增长率</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峰段/h</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主变与储能成本比</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上限参考档</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同档占比</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计算范围</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2.03～2.41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2.03～2.41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2.03～2.31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47.22%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2.03～2.41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47.22%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2.03～2.41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2.03～2.41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95.83%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2.02～2.23</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2.02～2.14</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2.02～2.14</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87.50%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2.02～2.23</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91.67%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2.02～2.23</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2.02～2.14</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2.03～2.41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2.03～2.41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51.39%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2.03～2.41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47.22%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2.03～2.50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47.22%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2.03～2.41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2.03～2.41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95.83%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2.02～2.23</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2.02～2.14</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2.02～2.14</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87.50%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2.02～2.23</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91.67%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2.02～2.23</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2.02～2.14</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2.01～2.13</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2.01～2.13</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2.01～2.13</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2.01～2.13</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2.01～2.13</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2.01～2.13</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2.60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47.92%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2.03～2.60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2.60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46.53%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2.03～2.60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2.60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41.67%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2.03～2.55</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2.60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48.61%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2.03～2.60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2.60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47.92%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2.03～2.60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2.60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46.53%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2.03～2.60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67.71%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2.02～2.44</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68.75%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2.02～2.44</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77.08%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2.02～2.44</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65.62%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2.02～2.44</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66.67%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2.02～2.44</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70.83%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2.02～2.44</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93.75%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2.00～2.32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93.75%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2.00～2.28</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96.88%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2.00～2.28</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92.71%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2.00～2.32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93.75%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2.00～2.32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94.79%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2.00～2.28</w:t>
            </w:r>
          </w:p>
        </w:tc>
      </w:tr>
    </w:tbl>
    <w:p>
      <w:pPr>
        <w:pStyle w:val="2"/>
        <w:keepNext/>
        <w:spacing w:line="240" w:lineRule="auto" w:before="120" w:after="0"/>
        <w:ind w:firstLine="0"/>
        <w:jc w:val="center"/>
      </w:pPr>
      <w:r>
        <w:drawing>
          <wp:inline>
            <wp:extent cx="5120640" cy="3526396"/>
            <wp:effectExtent b="0" l="0" r="0" t="0"/>
            <wp:docPr descr="" title="" id="1" name="Picture"/>
            <a:graphic>
              <a:graphicData uri="http://schemas.openxmlformats.org/drawingml/2006/picture">
                <pic:pic>
                  <pic:nvPicPr>
                    <pic:cNvPr descr="研究报告/02图表/当前版/planning_tier_heatmap.png" id="0" name="Picture"/>
                    <pic:cNvPicPr>
                      <a:picLocks noChangeArrowheads="1" noChangeAspect="1"/>
                    </pic:cNvPicPr>
                  </pic:nvPicPr>
                  <pic:blipFill>
                    <a:blip r:embed="rId241"/>
                    <a:stretch>
                      <a:fillRect/>
                    </a:stretch>
                  </pic:blipFill>
                  <pic:spPr bwMode="auto">
                    <a:xfrm>
                      <a:off x="0" y="0"/>
                      <a:ext cx="5120640" cy="3526396"/>
                    </a:xfrm>
                    <a:prstGeom prst="rect">
                      <a:avLst/>
                    </a:prstGeom>
                    <a:noFill/>
                    <a:ln w="9525">
                      <a:noFill/>
                      <a:headEnd/>
                      <a:tailEnd/>
                    </a:ln>
                  </pic:spPr>
                </pic:pic>
              </a:graphicData>
            </a:graphic>
          </wp:inline>
        </w:drawing>
      </w:r>
    </w:p>
    <w:p>
      <w:pPr>
        <w:pStyle w:val="2"/>
        <w:spacing w:line="300" w:lineRule="auto" w:before="60" w:after="120"/>
        <w:ind w:firstLine="0"/>
        <w:jc w:val="center"/>
      </w:pPr>
      <w:r>
        <w:rPr>
          <w:rFonts w:ascii="Times New Roman" w:hAnsi="Times New Roman" w:eastAsia="宋体"/>
          <w:b w:val="0"/>
          <w:sz w:val="21"/>
        </w:rPr>
        <w:t xml:space="preserve">图5-4 不同线路类型下的容载比主选档位与同档占比</w:t>
      </w:r>
    </w:p>
    <w:p>
      <w:pPr>
        <w:pStyle w:val="2"/>
        <w:widowControl/>
        <w:spacing w:line="300" w:lineRule="auto" w:before="0" w:after="0"/>
        <w:ind w:firstLine="480"/>
        <w:jc w:val="both"/>
      </w:pPr>
      <w:r>
        <w:rPr>
          <w:rFonts w:ascii="Times New Roman" w:hAnsi="Times New Roman" w:eastAsia="方正仿宋_GBK"/>
          <w:b w:val="0"/>
          <w:sz w:val="24"/>
        </w:rPr>
        <w:t xml:space="preserve">图中按线路类型和峰段持续时间分别展示，横轴为装机渗透率分档、纵轴为负荷增长率分档。颜色表示主选档位，格内同时标明主选档占比。图采用线路及储能基准价条件，完整价格组合见矩阵；供电区域类别和两种负荷分布作为该单元的结构情景保留。</w:t>
      </w:r>
    </w:p>
    <w:p>
      <w:pPr>
        <w:pStyle w:val="2"/>
        <w:widowControl/>
        <w:spacing w:line="300" w:lineRule="auto" w:before="0" w:after="0"/>
        <w:ind w:firstLine="480"/>
        <w:jc w:val="both"/>
      </w:pPr>
      <w:r>
        <w:rPr>
          <w:rFonts w:ascii="Times New Roman" w:hAnsi="Times New Roman" w:eastAsia="方正仿宋_GBK"/>
          <w:b w:val="0"/>
          <w:sz w:val="24"/>
        </w:rPr>
        <w:t xml:space="preserve">线路价格及类型的配对比较未使本次模板的容量取值发生变化，因此矩阵按线路类型分别列示，并合并各类型的三个线路价格条件，共108个参数单元。原始费用及项目数量仍逐点保存。主选档用于前期比选，工程方案按实际设备和线路条件复核。</w:t>
      </w:r>
    </w:p>
    <w:p>
      <w:pPr>
        <w:pStyle w:val="2"/>
        <w:keepNext/>
        <w:spacing w:line="300" w:lineRule="auto" w:before="120" w:after="80"/>
        <w:ind w:firstLine="0"/>
        <w:jc w:val="center"/>
      </w:pPr>
      <w:r>
        <w:rPr>
          <w:rFonts w:ascii="Times New Roman" w:hAnsi="Times New Roman" w:eastAsia="宋体"/>
          <w:b w:val="0"/>
          <w:sz w:val="21"/>
        </w:rPr>
        <w:t xml:space="preserve">表5-65 三种容载比上限的条件比较（结果为容载比/费用万元）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线路类型</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源荷比/增长率/峰段h</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上限2.40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上限2.60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上限2.80</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架空为主</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0.30/2.00%/3.00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2.22/2759.81</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2.22/2759.81</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2.22/2759.81</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架空为主</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1.80/8.00%/4.00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2.06/5437.19</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2.06/5437.19</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2.06/5437.19</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架空为主</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3.00/0.00%/6.00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2.40/10000.09</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2.60/4992.27</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2.62/4300.38</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架空为主</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3.00/8.00%/6.00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2.10/49720.03</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2.10/49720.03</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2.10/49720.03</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电缆为主</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0.30/2.00%/3.00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2.22/2759.81</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2.22/2759.81</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2.22/2759.81</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电缆为主</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1.80/8.00%/4.00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2.06/6524.67</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2.06/6524.67</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2.06/6524.67</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电缆为主</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3.00/0.00%/6.00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2.40/11087.57</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2.60/6079.75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2.62/5387.86</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电缆为主</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3.00/8.00%/6.00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2.10/49720.03</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2.10/49720.03</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2.10/49720.03</w:t>
            </w:r>
          </w:p>
        </w:tc>
      </w:tr>
    </w:tbl>
    <w:p>
      <w:pPr>
        <w:pStyle w:val="2"/>
        <w:widowControl/>
        <w:spacing w:line="300" w:lineRule="auto" w:before="0" w:after="0"/>
        <w:ind w:firstLine="480"/>
        <w:jc w:val="both"/>
      </w:pPr>
      <w:r>
        <w:rPr>
          <w:rFonts w:ascii="Times New Roman" w:hAnsi="Times New Roman" w:eastAsia="方正仿宋_GBK"/>
          <w:b w:val="0"/>
          <w:sz w:val="24"/>
        </w:rPr>
        <w:t xml:space="preserve">上限比较保持同一参数组合及技术条件，只改变允许的最大容载比。源荷比3.00、零增长、峰段6.00 h的B/C类偏集中情景，将上限由2.60放宽到2.80，架空为主、电缆为主费用分别降低13.86%和11.38%；其余所列情景费用未进一步下降。高电源规模且峰段较长的片区，应增加较高容量方案比选，2.60仍作为本报告统一研究边界。</w:t>
      </w:r>
    </w:p>
    <w:p>
      <w:pPr>
        <w:pStyle w:val="5"/>
        <w:keepNext/>
        <w:numPr>
          <w:numId w:val="0"/>
        </w:numPr>
        <w:spacing w:line="360" w:lineRule="auto" w:before="160" w:after="120"/>
        <w:ind w:firstLine="0"/>
      </w:pPr>
      <w:bookmarkStart w:id="242" w:name="参数变化与容载比的关系"/>
      <w:r>
        <w:rPr>
          <w:rFonts w:ascii="Times New Roman" w:hAnsi="Times New Roman" w:eastAsia="方正仿宋_GBK"/>
          <w:b/>
          <w:sz w:val="26"/>
        </w:rPr>
        <w:t xml:space="preserve">5.6.4 参数变化与容载比的关系</w:t>
      </w:r>
      <w:bookmarkEnd w:id="242"/>
    </w:p>
    <w:p>
      <w:pPr>
        <w:pStyle w:val="FirstParagraph"/>
        <w:keepNext/>
        <w:spacing w:line="300" w:lineRule="auto" w:before="120" w:after="80"/>
        <w:ind w:firstLine="0"/>
        <w:jc w:val="center"/>
      </w:pPr>
      <w:r>
        <w:rPr>
          <w:rFonts w:ascii="Times New Roman" w:hAnsi="Times New Roman" w:eastAsia="宋体"/>
          <w:b w:val="0"/>
          <w:sz w:val="21"/>
        </w:rPr>
        <w:t xml:space="preserve">表5-66 固定其他条件时单参数变化对容载比的影响</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变化参数</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配对数</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平均变化</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最大绝对变化</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配置比值改变占比</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装机渗透率</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2520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0.43</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年负荷平均增长率</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-0.24</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0.46</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95%峰值持续时间h</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5040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19.17%</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线路价格倍数</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8400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储能价格倍数</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8400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17.93%</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线路类型</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12600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r>
    </w:tbl>
    <w:p>
      <w:pPr>
        <w:pStyle w:val="2"/>
        <w:widowControl/>
        <w:spacing w:line="300" w:lineRule="auto" w:before="0" w:after="0"/>
        <w:ind w:firstLine="480"/>
        <w:jc w:val="both"/>
      </w:pPr>
      <w:r>
        <w:rPr>
          <w:rFonts w:ascii="Times New Roman" w:hAnsi="Times New Roman" w:eastAsia="方正仿宋_GBK"/>
          <w:b w:val="0"/>
          <w:sz w:val="24"/>
        </w:rPr>
        <w:t xml:space="preserve">参数作用采用配对情景分析：固定其余条件，仅改变一个输入，比较对应容载比的变化。完整组合中的参数正交设置，用于减少输入之间的相关影响；源荷比与电量渗透率保留换算关系。配对结果用于识别规格切换及措施替代，不将全样本线性相关系数作为唯一筛选标准。</w:t>
      </w:r>
    </w:p>
    <w:p>
      <w:pPr>
        <w:pStyle w:val="2"/>
        <w:widowControl/>
        <w:spacing w:line="300" w:lineRule="auto" w:before="0" w:after="0"/>
        <w:ind w:firstLine="480"/>
        <w:jc w:val="both"/>
      </w:pPr>
      <w:r>
        <w:rPr>
          <w:rFonts w:ascii="Times New Roman" w:hAnsi="Times New Roman" w:eastAsia="方正仿宋_GBK"/>
          <w:b w:val="0"/>
          <w:sz w:val="24"/>
        </w:rPr>
        <w:t xml:space="preserve">装机渗透率增加后，反向净负荷可能成为主变或储能的约束条件。反向压力的变化还取决于本地用户负荷和电源分布，矩阵保留不同站群与空间分配的计算结果。</w:t>
      </w:r>
    </w:p>
    <w:p>
      <w:pPr>
        <w:pStyle w:val="2"/>
        <w:widowControl/>
        <w:spacing w:line="300" w:lineRule="auto" w:before="0" w:after="0"/>
        <w:ind w:firstLine="480"/>
        <w:jc w:val="both"/>
      </w:pPr>
      <w:r>
        <w:rPr>
          <w:rFonts w:ascii="Times New Roman" w:hAnsi="Times New Roman" w:eastAsia="方正仿宋_GBK"/>
          <w:b w:val="0"/>
          <w:sz w:val="24"/>
        </w:rPr>
        <w:t xml:space="preserve">配对结果中，源荷比从最小值增至最大值使容载比平均增加0.20，负荷增长率对应平均变化为－0.24；持续时间变化使19.17%的配对结果发生容量比值变化，储能价格变化对应17.93%。线路价格及类型在本次模板中均未使容载比改变，其差异主要体现在联络费用。上述结果说明，输入参数对容量选择的作用取决于约束是否发生切换。</w:t>
      </w:r>
    </w:p>
    <w:p>
      <w:pPr>
        <w:pStyle w:val="2"/>
        <w:widowControl/>
        <w:spacing w:line="300" w:lineRule="auto" w:before="0" w:after="0"/>
        <w:ind w:firstLine="480"/>
        <w:jc w:val="both"/>
      </w:pPr>
      <w:r>
        <w:rPr>
          <w:rFonts w:ascii="Times New Roman" w:hAnsi="Times New Roman" w:eastAsia="方正仿宋_GBK"/>
          <w:b w:val="0"/>
          <w:sz w:val="24"/>
        </w:rPr>
        <w:t xml:space="preserve">峰段延长会减少单位储能柜的有效支撑功率，使储能与主变的相对经济性改变。新建联络提升转供能力时，原站和受端容量共同约束可转负荷，已有能力得到充分使用后才产生新增投资需求。</w:t>
      </w:r>
    </w:p>
    <w:p>
      <w:pPr>
        <w:pStyle w:val="2"/>
        <w:widowControl/>
        <w:spacing w:line="300" w:lineRule="auto" w:before="0" w:after="0"/>
        <w:ind w:firstLine="480"/>
        <w:jc w:val="both"/>
      </w:pPr>
      <w:r>
        <w:rPr>
          <w:rFonts w:ascii="Times New Roman" w:hAnsi="Times New Roman" w:eastAsia="方正仿宋_GBK"/>
          <w:b w:val="0"/>
          <w:sz w:val="24"/>
        </w:rPr>
        <w:t xml:space="preserve">负荷增长一方面降低既有容量对应的容载比，另一方面触发新的容量配置。增长档位、主变离散规格及建设时序共同决定最终值。矩阵按增长参数分档，案例则以逐年结果解释这些变化。</w:t>
      </w:r>
    </w:p>
    <w:p>
      <w:bookmarkStart w:id="1779" w:name="h779"/>
      <w:pPr>
        <w:pStyle w:val="4"/>
        <w:keepNext/>
        <w:numPr>
          <w:numId w:val="0"/>
        </w:numPr>
        <w:spacing w:line="360" w:lineRule="auto" w:before="160" w:after="120"/>
        <w:ind w:firstLine="0"/>
      </w:pPr>
      <w:bookmarkStart w:id="243" w:name="规划建议"/>
      <w:r>
        <w:rPr>
          <w:rFonts w:ascii="Times New Roman" w:hAnsi="Times New Roman" w:eastAsia="方正仿宋_GBK"/>
          <w:b/>
          <w:sz w:val="32"/>
        </w:rPr>
        <w:t xml:space="preserve">5.7 规划建议</w:t>
      </w:r>
      <w:bookmarkEnd w:id="243"/>
      <w:bookmarkEnd w:id="1779"/>
    </w:p>
    <w:p>
      <w:pPr>
        <w:pStyle w:val="5"/>
        <w:keepNext/>
        <w:numPr>
          <w:numId w:val="0"/>
        </w:numPr>
        <w:spacing w:line="360" w:lineRule="auto" w:before="160" w:after="120"/>
        <w:ind w:firstLine="0"/>
      </w:pPr>
      <w:bookmarkStart w:id="244" w:name="优先采用弹性指标确定规划范围"/>
      <w:r>
        <w:rPr>
          <w:rFonts w:ascii="Times New Roman" w:hAnsi="Times New Roman" w:eastAsia="方正仿宋_GBK"/>
          <w:b/>
          <w:sz w:val="26"/>
        </w:rPr>
        <w:t xml:space="preserve">5.7.1 优先采用弹性指标确定规划范围</w:t>
      </w:r>
      <w:bookmarkEnd w:id="244"/>
    </w:p>
    <w:p>
      <w:pPr>
        <w:pStyle w:val="FirstParagraph"/>
        <w:widowControl/>
        <w:spacing w:line="300" w:lineRule="auto" w:before="0" w:after="0"/>
        <w:ind w:firstLine="480"/>
        <w:jc w:val="both"/>
      </w:pPr>
      <w:r>
        <w:rPr>
          <w:rFonts w:ascii="Times New Roman" w:hAnsi="Times New Roman" w:eastAsia="方正仿宋_GBK"/>
          <w:b w:val="0"/>
          <w:sz w:val="24"/>
        </w:rPr>
        <w:t xml:space="preserve">根据两地区技术经济对比，推荐采用弹性方案：仿真第4年邳州容载比2.20、市区2.20，对应配置通过所设技术约束，新增措施费用低于刚性。其他片区可按通用矩阵选择参考档位，以实际初态进行刚性、弹性方案比选，结合设备和线路条件确定建设规模。</w:t>
      </w:r>
    </w:p>
    <w:p>
      <w:pPr>
        <w:pStyle w:val="2"/>
        <w:widowControl/>
        <w:spacing w:line="300" w:lineRule="auto" w:before="0" w:after="0"/>
        <w:ind w:firstLine="480"/>
        <w:jc w:val="both"/>
      </w:pPr>
      <w:r>
        <w:rPr>
          <w:rFonts w:ascii="Times New Roman" w:hAnsi="Times New Roman" w:eastAsia="方正仿宋_GBK"/>
          <w:b w:val="0"/>
          <w:sz w:val="24"/>
        </w:rPr>
        <w:t xml:space="preserve">按完整精度结果判定，邳州案例对应2.40上限参考档，市区对应2.20上限参考档。两地实际配置的容载比均显示约2.20，档位判定仍使用未取整的容量与负荷；实际建设规模按逐年方案表落实。</w:t>
      </w:r>
    </w:p>
    <w:p>
      <w:pPr>
        <w:pStyle w:val="2"/>
        <w:widowControl/>
        <w:spacing w:line="300" w:lineRule="auto" w:before="0" w:after="0"/>
        <w:ind w:firstLine="480"/>
        <w:jc w:val="both"/>
      </w:pPr>
      <w:r>
        <w:rPr>
          <w:rFonts w:ascii="Times New Roman" w:hAnsi="Times New Roman" w:eastAsia="方正仿宋_GBK"/>
          <w:b w:val="0"/>
          <w:sz w:val="24"/>
        </w:rPr>
        <w:t xml:space="preserve">规划初期先统一区县与电压等级，计算年网供最大负荷、分布式电源装机渗透率和电量渗透率，结合年负荷平均增长率与95%峰值持续时间，选择通用矩阵中的上限参考档。再以实际初始资产、站间转供能力和价格进行方案比选。</w:t>
      </w:r>
    </w:p>
    <w:p>
      <w:pPr>
        <w:pStyle w:val="2"/>
        <w:widowControl/>
        <w:spacing w:line="300" w:lineRule="auto" w:before="0" w:after="0"/>
        <w:ind w:firstLine="480"/>
        <w:jc w:val="both"/>
      </w:pPr>
      <w:r>
        <w:rPr>
          <w:rFonts w:ascii="Times New Roman" w:hAnsi="Times New Roman" w:eastAsia="方正仿宋_GBK"/>
          <w:b w:val="0"/>
          <w:sz w:val="24"/>
        </w:rPr>
        <w:t xml:space="preserve">源荷条件相近而站级负荷分布不同的地区，可采用不同结构情景。矩阵档位用于确定规划比选上限，具体容载比由满足技术条件的容量配置得到。</w:t>
      </w:r>
    </w:p>
    <w:p>
      <w:pPr>
        <w:pStyle w:val="5"/>
        <w:keepNext/>
        <w:numPr>
          <w:numId w:val="0"/>
        </w:numPr>
        <w:spacing w:line="360" w:lineRule="auto" w:before="160" w:after="120"/>
        <w:ind w:firstLine="0"/>
      </w:pPr>
      <w:bookmarkStart w:id="245" w:name="统筹增容配储与10-kv联络"/>
      <w:r>
        <w:rPr>
          <w:rFonts w:ascii="Times New Roman" w:hAnsi="Times New Roman" w:eastAsia="方正仿宋_GBK"/>
          <w:b/>
          <w:sz w:val="26"/>
        </w:rPr>
        <w:t xml:space="preserve">5.7.2 统筹增容、配储与10 kV联络</w:t>
      </w:r>
      <w:bookmarkEnd w:id="245"/>
    </w:p>
    <w:p>
      <w:pPr>
        <w:pStyle w:val="FirstParagraph"/>
        <w:widowControl/>
        <w:spacing w:line="300" w:lineRule="auto" w:before="0" w:after="0"/>
        <w:ind w:firstLine="480"/>
        <w:jc w:val="both"/>
      </w:pPr>
      <w:r>
        <w:rPr>
          <w:rFonts w:ascii="Times New Roman" w:hAnsi="Times New Roman" w:eastAsia="方正仿宋_GBK"/>
          <w:b w:val="0"/>
          <w:sz w:val="24"/>
        </w:rPr>
        <w:t xml:space="preserve">优先核定并利用既有站间转供能力，计算送受端调整后的负荷与容量余量。能力不足时，按新增联络项目提升转供率；再与主变增容及储能配置共同比较全寿命费用。扩容选取受主变规格和预留位置约束，配储选取受峰段持续时间及可用能量约束。</w:t>
      </w:r>
    </w:p>
    <w:p>
      <w:pPr>
        <w:pStyle w:val="2"/>
        <w:widowControl/>
        <w:spacing w:line="300" w:lineRule="auto" w:before="0" w:after="0"/>
        <w:ind w:firstLine="480"/>
        <w:jc w:val="both"/>
      </w:pPr>
      <w:r>
        <w:rPr>
          <w:rFonts w:ascii="Times New Roman" w:hAnsi="Times New Roman" w:eastAsia="方正仿宋_GBK"/>
          <w:b w:val="0"/>
          <w:sz w:val="24"/>
        </w:rPr>
        <w:t xml:space="preserve">光伏较多的县域同时核对正向和反向容量。市区按供电安全任务分析重载站与承接站，依据本地光伏规模和线路资料核定初始转供率。区县内部转接保持总量，区域容载比按统一年网供最大负荷计算。</w:t>
      </w:r>
    </w:p>
    <w:p>
      <w:pPr>
        <w:pStyle w:val="5"/>
        <w:keepNext/>
        <w:numPr>
          <w:numId w:val="0"/>
        </w:numPr>
        <w:spacing w:line="360" w:lineRule="auto" w:before="160" w:after="120"/>
        <w:ind w:firstLine="0"/>
      </w:pPr>
      <w:bookmarkStart w:id="246" w:name="滚动更新参数与工程方案"/>
      <w:r>
        <w:rPr>
          <w:rFonts w:ascii="Times New Roman" w:hAnsi="Times New Roman" w:eastAsia="方正仿宋_GBK"/>
          <w:b/>
          <w:sz w:val="26"/>
        </w:rPr>
        <w:t xml:space="preserve">5.7.3 滚动更新参数与工程方案</w:t>
      </w:r>
      <w:bookmarkEnd w:id="246"/>
    </w:p>
    <w:p>
      <w:pPr>
        <w:pStyle w:val="FirstParagraph"/>
        <w:widowControl/>
        <w:spacing w:line="300" w:lineRule="auto" w:before="0" w:after="0"/>
        <w:ind w:firstLine="480"/>
        <w:jc w:val="both"/>
      </w:pPr>
      <w:r>
        <w:rPr>
          <w:rFonts w:ascii="Times New Roman" w:hAnsi="Times New Roman" w:eastAsia="方正仿宋_GBK"/>
          <w:b w:val="0"/>
          <w:sz w:val="24"/>
        </w:rPr>
        <w:t xml:space="preserve">取得新增设备台账、用户电量与实际线路资料后，更新相应参数与候选集合。主变、储能和线路价格按统一工程范围折算，使用相同现金流规则比较费用。负荷增长、光伏投产和峰段特征变化时，重新计算容量与负荷分配，滚动修订规划区间和建设时点。</w:t>
      </w:r>
    </w:p>
    <w:p>
      <w:bookmarkStart w:id="1790" w:name="h790"/>
      <w:pPr>
        <w:pStyle w:val="3"/>
        <w:keepNext/>
        <w:pageBreakBefore/>
        <w:numPr>
          <w:numId w:val="0"/>
        </w:numPr>
        <w:spacing w:line="360" w:lineRule="auto" w:before="0" w:after="120"/>
        <w:ind w:firstLine="0"/>
      </w:pPr>
      <w:bookmarkStart w:id="247" w:name="第六章-结论与建议"/>
      <w:r>
        <w:rPr>
          <w:rFonts w:ascii="Times New Roman" w:hAnsi="Times New Roman" w:eastAsia="方正仿宋_GBK"/>
          <w:b/>
          <w:sz w:val="36"/>
        </w:rPr>
        <w:t xml:space="preserve">第六章 结论与建议</w:t>
      </w:r>
      <w:bookmarkEnd w:id="247"/>
      <w:bookmarkEnd w:id="1790"/>
    </w:p>
    <w:p>
      <w:pPr>
        <w:pStyle w:val="FirstParagraph"/>
        <w:widowControl/>
        <w:spacing w:line="300" w:lineRule="auto" w:before="0" w:after="0"/>
        <w:ind w:firstLine="480"/>
        <w:jc w:val="both"/>
      </w:pPr>
      <w:r>
        <w:rPr>
          <w:rFonts w:ascii="Times New Roman" w:hAnsi="Times New Roman" w:eastAsia="方正仿宋_GBK"/>
          <w:b w:val="0"/>
          <w:sz w:val="24"/>
        </w:rPr>
        <w:t xml:space="preserve">本项目针对分布式新能源接入后110 kV变电容量配置与站级运行需求的变化，以邳州和市区为案例，分析源荷特征，建立工程费用模型，并开展主变增容、储能和10 kV联络的联合寻优。在两地区刚性与弹性方案对比基础上，进一步拓展源荷及经济参数，形成面向不同片区的弹性容载比参考档位及适用条件。</w:t>
      </w:r>
    </w:p>
    <w:p>
      <w:bookmarkStart w:id="1792" w:name="h792"/>
      <w:pPr>
        <w:pStyle w:val="4"/>
        <w:keepNext/>
        <w:numPr>
          <w:numId w:val="0"/>
        </w:numPr>
        <w:spacing w:line="360" w:lineRule="auto" w:before="160" w:after="120"/>
        <w:ind w:firstLine="0"/>
      </w:pPr>
      <w:bookmarkStart w:id="248" w:name="主要研究结论"/>
      <w:r>
        <w:rPr>
          <w:rFonts w:ascii="Times New Roman" w:hAnsi="Times New Roman" w:eastAsia="方正仿宋_GBK"/>
          <w:b/>
          <w:sz w:val="32"/>
        </w:rPr>
        <w:t xml:space="preserve">6.1 主要研究结论</w:t>
      </w:r>
      <w:bookmarkEnd w:id="248"/>
      <w:bookmarkEnd w:id="1792"/>
    </w:p>
    <w:p>
      <w:pPr>
        <w:pStyle w:val="5"/>
        <w:keepNext/>
        <w:numPr>
          <w:numId w:val="0"/>
        </w:numPr>
        <w:spacing w:line="360" w:lineRule="auto" w:before="160" w:after="120"/>
        <w:ind w:firstLine="0"/>
      </w:pPr>
      <w:bookmarkStart w:id="249" w:name="容载比选取需要同时考虑区域负荷与站级双向需求"/>
      <w:r>
        <w:rPr>
          <w:rFonts w:ascii="Times New Roman" w:hAnsi="Times New Roman" w:eastAsia="方正仿宋_GBK"/>
          <w:b/>
          <w:sz w:val="26"/>
        </w:rPr>
        <w:t xml:space="preserve">6.1.1 容载比选取需要同时考虑区域负荷与站级双向需求</w:t>
      </w:r>
      <w:bookmarkEnd w:id="249"/>
    </w:p>
    <w:p>
      <w:pPr>
        <w:pStyle w:val="FirstParagraph"/>
        <w:widowControl/>
        <w:spacing w:line="300" w:lineRule="auto" w:before="0" w:after="0"/>
        <w:ind w:firstLine="480"/>
        <w:jc w:val="both"/>
      </w:pPr>
      <w:r>
        <w:rPr>
          <w:rFonts w:ascii="Times New Roman" w:hAnsi="Times New Roman" w:eastAsia="方正仿宋_GBK"/>
          <w:b w:val="0"/>
          <w:sz w:val="24"/>
        </w:rPr>
        <w:t xml:space="preserve">分布式光伏改变了用户用电与上级电网供电之间的关系。年度购电量下降、日间净负荷降低及反向输送增加可能同时发生，主变容量需求还取决于正向峰值、反向峰值和主变N-1后的供电条件。区域容载比反映总体容量储备，逐站正反向净负荷反映局部设备需求，二者共同构成容量规划的分析基础。</w:t>
      </w:r>
    </w:p>
    <w:p>
      <w:pPr>
        <w:pStyle w:val="2"/>
        <w:widowControl/>
        <w:spacing w:line="300" w:lineRule="auto" w:before="0" w:after="0"/>
        <w:ind w:firstLine="480"/>
        <w:jc w:val="both"/>
      </w:pPr>
      <w:r>
        <w:rPr>
          <w:rFonts w:ascii="Times New Roman" w:hAnsi="Times New Roman" w:eastAsia="方正仿宋_GBK"/>
          <w:b w:val="0"/>
          <w:sz w:val="24"/>
        </w:rPr>
        <w:t xml:space="preserve">邳州2025年分布式电源装机渗透率约为1.63，电量渗透率约为40.28%；市区相应为0.32和8.69%。邳州的规划分析需要重视本地负荷与光伏出力的配合及反向容量需求，市区则主要结合正向负荷分布和A类供电安全条件配置容量。片区源荷及设备结构的差异，应落实为相应技术约束和建设方案。</w:t>
      </w:r>
    </w:p>
    <w:p>
      <w:pPr>
        <w:pStyle w:val="5"/>
        <w:keepNext/>
        <w:numPr>
          <w:numId w:val="0"/>
        </w:numPr>
        <w:spacing w:line="360" w:lineRule="auto" w:before="160" w:after="120"/>
        <w:ind w:firstLine="0"/>
      </w:pPr>
      <w:bookmarkStart w:id="250" w:name="弹性方案通过增加主变容量减少储能支出经济性优于刚性"/>
      <w:r>
        <w:rPr>
          <w:rFonts w:ascii="Times New Roman" w:hAnsi="Times New Roman" w:eastAsia="方正仿宋_GBK"/>
          <w:b/>
          <w:sz w:val="26"/>
        </w:rPr>
        <w:t xml:space="preserve">6.1.2 弹性方案通过增加主变容量减少储能支出，经济性优于刚性</w:t>
      </w:r>
      <w:bookmarkEnd w:id="250"/>
    </w:p>
    <w:p>
      <w:pPr>
        <w:pStyle w:val="FirstParagraph"/>
        <w:widowControl/>
        <w:spacing w:line="300" w:lineRule="auto" w:before="0" w:after="0"/>
        <w:ind w:firstLine="480"/>
        <w:jc w:val="both"/>
      </w:pPr>
      <w:r>
        <w:rPr>
          <w:rFonts w:ascii="Times New Roman" w:hAnsi="Times New Roman" w:eastAsia="方正仿宋_GBK"/>
          <w:b w:val="0"/>
          <w:sz w:val="24"/>
        </w:rPr>
        <w:t xml:space="preserve">刚性与弹性方案在同一区县共用容载比2.00的仿真起点，并采用相同负荷发展、候选措施和工程价格。后续各年均校核正常运行、主变N-1、设备持续在役和转供能力。刚性方案受2.00上限约束，部分站点需要配置较大规模储能以满足主变N-1工况；弹性方案适当增加主变容量，提高剩余主变供电能力，减少相应储能投资和维护费用。</w:t>
      </w:r>
    </w:p>
    <w:p>
      <w:pPr>
        <w:pStyle w:val="2"/>
        <w:widowControl/>
        <w:spacing w:line="300" w:lineRule="auto" w:before="0" w:after="0"/>
        <w:ind w:firstLine="480"/>
        <w:jc w:val="both"/>
      </w:pPr>
      <w:r>
        <w:rPr>
          <w:rFonts w:ascii="Times New Roman" w:hAnsi="Times New Roman" w:eastAsia="方正仿宋_GBK"/>
          <w:b w:val="0"/>
          <w:sz w:val="24"/>
        </w:rPr>
        <w:t xml:space="preserve">两地区刚性方案新增措施全寿命费用现值合计为159191.34万元，弹性方案为47659.61万元，降低70.06%。规划第4年，弹性方案邳州储能为3.30 MW/7.09 MWh，市区为2.90 MW/6.23 MWh。费用优势由所设技术条件及参考价格下的措施组合形成。案例比较支持采用弹性容载比开展容量规划，并保留刚性方案作为技术经济对照。</w:t>
      </w:r>
    </w:p>
    <w:p>
      <w:pPr>
        <w:pStyle w:val="5"/>
        <w:keepNext/>
        <w:numPr>
          <w:numId w:val="0"/>
        </w:numPr>
        <w:spacing w:line="360" w:lineRule="auto" w:before="160" w:after="120"/>
        <w:ind w:firstLine="0"/>
      </w:pPr>
      <w:bookmarkStart w:id="251" w:name="kv联络改善站间负荷配置其作用取决于两端容量与可转能力"/>
      <w:r>
        <w:rPr>
          <w:rFonts w:ascii="Times New Roman" w:hAnsi="Times New Roman" w:eastAsia="方正仿宋_GBK"/>
          <w:b/>
          <w:sz w:val="26"/>
        </w:rPr>
        <w:t xml:space="preserve">6.1.3 10 kV联络改善站间负荷配置，其作用取决于两端容量与可转能力</w:t>
      </w:r>
      <w:bookmarkEnd w:id="251"/>
    </w:p>
    <w:p>
      <w:pPr>
        <w:pStyle w:val="FirstParagraph"/>
        <w:widowControl/>
        <w:spacing w:line="300" w:lineRule="auto" w:before="0" w:after="0"/>
        <w:ind w:firstLine="480"/>
        <w:jc w:val="both"/>
      </w:pPr>
      <w:r>
        <w:rPr>
          <w:rFonts w:ascii="Times New Roman" w:hAnsi="Times New Roman" w:eastAsia="方正仿宋_GBK"/>
          <w:b w:val="0"/>
          <w:sz w:val="24"/>
        </w:rPr>
        <w:t xml:space="preserve">10 kV联络通过区县内部负荷转接改善容量与负荷的空间匹配。送端负荷转出后正向供电需求降低，承接站负荷增加，两端分别按调整后的负荷校核。原站电源保持归属，潜在反向需求同时计入容量分析，转接总量在区县内部保持一致。</w:t>
      </w:r>
    </w:p>
    <w:p>
      <w:pPr>
        <w:pStyle w:val="2"/>
        <w:widowControl/>
        <w:spacing w:line="300" w:lineRule="auto" w:before="0" w:after="0"/>
        <w:ind w:firstLine="480"/>
        <w:jc w:val="both"/>
      </w:pPr>
      <w:r>
        <w:rPr>
          <w:rFonts w:ascii="Times New Roman" w:hAnsi="Times New Roman" w:eastAsia="方正仿宋_GBK"/>
          <w:b w:val="0"/>
          <w:sz w:val="24"/>
        </w:rPr>
        <w:t xml:space="preserve">市区初始站间转供率按50.00%设定，邳州依据局部馈线资料测算为28.29%，并应用于县域站群。既有能力利用按零新增建设投资计取，能力不足时通过新建联络提高转供率。新增联络与主变、储能共同参与费用比较，实际转接量由送端可转负荷、受端容量和工程费用共同确定。</w:t>
      </w:r>
    </w:p>
    <w:p>
      <w:pPr>
        <w:pStyle w:val="5"/>
        <w:keepNext/>
        <w:numPr>
          <w:numId w:val="0"/>
        </w:numPr>
        <w:spacing w:line="360" w:lineRule="auto" w:before="160" w:after="120"/>
        <w:ind w:firstLine="0"/>
      </w:pPr>
      <w:bookmarkStart w:id="252" w:name="参考档位由源荷增长峰段及储能成本条件共同确定"/>
      <w:r>
        <w:rPr>
          <w:rFonts w:ascii="Times New Roman" w:hAnsi="Times New Roman" w:eastAsia="方正仿宋_GBK"/>
          <w:b/>
          <w:sz w:val="26"/>
        </w:rPr>
        <w:t xml:space="preserve">6.1.4 参考档位由源荷、增长、峰段及储能成本条件共同确定</w:t>
      </w:r>
      <w:bookmarkEnd w:id="252"/>
    </w:p>
    <w:p>
      <w:pPr>
        <w:pStyle w:val="FirstParagraph"/>
        <w:widowControl/>
        <w:spacing w:line="300" w:lineRule="auto" w:before="0" w:after="0"/>
        <w:ind w:firstLine="480"/>
        <w:jc w:val="both"/>
      </w:pPr>
      <w:r>
        <w:rPr>
          <w:rFonts w:ascii="Times New Roman" w:hAnsi="Times New Roman" w:eastAsia="方正仿宋_GBK"/>
          <w:b w:val="0"/>
          <w:sz w:val="24"/>
        </w:rPr>
        <w:t xml:space="preserve">五站仿真模板外推沿用案例的技术与费用关系，装机渗透率取0.00～3.00，年负荷平均增长率取0.00%～10.00%，95%峰值持续时间取1～6 h。线路类型分别取架空为主和电缆为主，各结合三档线路价格和三档储能价格，共完成25200个目标年情景比选。配对结果表明当前线路价格范围未改变容量档位，因此合并同类线路的价格条件，形成108行参考档位矩阵。</w:t>
      </w:r>
    </w:p>
    <w:p>
      <w:pPr>
        <w:pStyle w:val="2"/>
        <w:widowControl/>
        <w:spacing w:line="300" w:lineRule="auto" w:before="0" w:after="0"/>
        <w:ind w:firstLine="480"/>
        <w:jc w:val="both"/>
      </w:pPr>
      <w:r>
        <w:rPr>
          <w:rFonts w:ascii="Times New Roman" w:hAnsi="Times New Roman" w:eastAsia="方正仿宋_GBK"/>
          <w:b w:val="0"/>
          <w:sz w:val="24"/>
        </w:rPr>
        <w:t xml:space="preserve">光伏规模增加可能强化反向容量约束，峰段延长会提高储能单位有效支撑功率的费用，负荷增长则同时改变容量需求和容载比分母。储能价格变化使部分情景发生容量规格切换，线路价格和类型在本轮范围内主要改变工程费用。矩阵按0.20间隔列示主选参考档位、同档占比及计算范围。两地区四年案例与目标年模板分别保留，规划人员按实际供电类别和工程条件比选相邻档位。</w:t>
      </w:r>
    </w:p>
    <w:p>
      <w:bookmarkStart w:id="1805" w:name="h805"/>
      <w:pPr>
        <w:pStyle w:val="4"/>
        <w:keepNext/>
        <w:numPr>
          <w:numId w:val="0"/>
        </w:numPr>
        <w:spacing w:line="360" w:lineRule="auto" w:before="160" w:after="120"/>
        <w:ind w:firstLine="0"/>
      </w:pPr>
      <w:bookmarkStart w:id="253" w:name="规划应用建议"/>
      <w:r>
        <w:rPr>
          <w:rFonts w:ascii="Times New Roman" w:hAnsi="Times New Roman" w:eastAsia="方正仿宋_GBK"/>
          <w:b/>
          <w:sz w:val="32"/>
        </w:rPr>
        <w:t xml:space="preserve">6.2 规划应用建议</w:t>
      </w:r>
      <w:bookmarkEnd w:id="253"/>
      <w:bookmarkEnd w:id="1805"/>
    </w:p>
    <w:p>
      <w:pPr>
        <w:pStyle w:val="5"/>
        <w:keepNext/>
        <w:numPr>
          <w:numId w:val="0"/>
        </w:numPr>
        <w:spacing w:line="360" w:lineRule="auto" w:before="160" w:after="120"/>
        <w:ind w:firstLine="0"/>
      </w:pPr>
      <w:bookmarkStart w:id="254" w:name="按片区参数选择参考档位并以实际设备确定建设方案"/>
      <w:r>
        <w:rPr>
          <w:rFonts w:ascii="Times New Roman" w:hAnsi="Times New Roman" w:eastAsia="方正仿宋_GBK"/>
          <w:b/>
          <w:sz w:val="26"/>
        </w:rPr>
        <w:t xml:space="preserve">6.2.1 按片区参数选择参考档位，并以实际设备确定建设方案</w:t>
      </w:r>
      <w:bookmarkEnd w:id="254"/>
    </w:p>
    <w:p>
      <w:pPr>
        <w:pStyle w:val="FirstParagraph"/>
        <w:widowControl/>
        <w:spacing w:line="300" w:lineRule="auto" w:before="0" w:after="0"/>
        <w:ind w:firstLine="480"/>
        <w:jc w:val="both"/>
      </w:pPr>
      <w:r>
        <w:rPr>
          <w:rFonts w:ascii="Times New Roman" w:hAnsi="Times New Roman" w:eastAsia="方正仿宋_GBK"/>
          <w:b w:val="0"/>
          <w:sz w:val="24"/>
        </w:rPr>
        <w:t xml:space="preserve">根据案例比较，推荐邳州和市区规划第4年分别采用容载比约2.20、2.20的弹性方案。其他片区可先核定同电压等级公用主变容量与年网供最大负荷，结合分布式电源装机渗透率、电量渗透率及年负荷平均增长率识别源荷条件，再按峰值持续时间和两个成本比匹配第五章推荐矩阵。</w:t>
      </w:r>
    </w:p>
    <w:p>
      <w:pPr>
        <w:pStyle w:val="2"/>
        <w:widowControl/>
        <w:spacing w:line="300" w:lineRule="auto" w:before="0" w:after="0"/>
        <w:ind w:firstLine="480"/>
        <w:jc w:val="both"/>
      </w:pPr>
      <w:r>
        <w:rPr>
          <w:rFonts w:ascii="Times New Roman" w:hAnsi="Times New Roman" w:eastAsia="方正仿宋_GBK"/>
          <w:b w:val="0"/>
          <w:sz w:val="24"/>
        </w:rPr>
        <w:t xml:space="preserve">按0.20间隔分档，邳州案例采用2.40上限参考档，市区采用2.20上限参考档。档位按未取整的容量与负荷判定，近似显示的容载比用于说明实际设备配置。</w:t>
      </w:r>
    </w:p>
    <w:p>
      <w:pPr>
        <w:pStyle w:val="2"/>
        <w:widowControl/>
        <w:spacing w:line="300" w:lineRule="auto" w:before="0" w:after="0"/>
        <w:ind w:firstLine="480"/>
        <w:jc w:val="both"/>
      </w:pPr>
      <w:r>
        <w:rPr>
          <w:rFonts w:ascii="Times New Roman" w:hAnsi="Times New Roman" w:eastAsia="方正仿宋_GBK"/>
          <w:b w:val="0"/>
          <w:sz w:val="24"/>
        </w:rPr>
        <w:t xml:space="preserve">确定参考档位后，以片区实际在役设备为起点，将主变规格、扩建条件、储能和联络工程纳入比选。先满足逐站正常运行及供电安全要求，再比较全寿命费用，形成对应容量规模、投运时点和负荷转接安排。刚性基准用于评价弹性方案的费用变化，最终推荐值由具体设备配置形成。</w:t>
      </w:r>
    </w:p>
    <w:p>
      <w:pPr>
        <w:pStyle w:val="5"/>
        <w:keepNext/>
        <w:numPr>
          <w:numId w:val="0"/>
        </w:numPr>
        <w:spacing w:line="360" w:lineRule="auto" w:before="160" w:after="120"/>
        <w:ind w:firstLine="0"/>
      </w:pPr>
      <w:bookmarkStart w:id="255" w:name="统筹既有转供能力主变建设和储能配置"/>
      <w:r>
        <w:rPr>
          <w:rFonts w:ascii="Times New Roman" w:hAnsi="Times New Roman" w:eastAsia="方正仿宋_GBK"/>
          <w:b/>
          <w:sz w:val="26"/>
        </w:rPr>
        <w:t xml:space="preserve">6.2.2 统筹既有转供能力、主变建设和储能配置</w:t>
      </w:r>
      <w:bookmarkEnd w:id="255"/>
    </w:p>
    <w:p>
      <w:pPr>
        <w:pStyle w:val="FirstParagraph"/>
        <w:widowControl/>
        <w:spacing w:line="300" w:lineRule="auto" w:before="0" w:after="0"/>
        <w:ind w:firstLine="480"/>
        <w:jc w:val="both"/>
      </w:pPr>
      <w:r>
        <w:rPr>
          <w:rFonts w:ascii="Times New Roman" w:hAnsi="Times New Roman" w:eastAsia="方正仿宋_GBK"/>
          <w:b w:val="0"/>
          <w:sz w:val="24"/>
        </w:rPr>
        <w:t xml:space="preserve">规划应先核定既有联络通道、可切换负荷和承接站余量，充分利用具备条件的站间转供能力。新增联络能够进一步改善负荷分布时，将其与主变增容、主变扩建和储能配置共同比较，按实际可提供的容量支撑和工程费用确定组合。</w:t>
      </w:r>
    </w:p>
    <w:p>
      <w:pPr>
        <w:pStyle w:val="2"/>
        <w:widowControl/>
        <w:spacing w:line="300" w:lineRule="auto" w:before="0" w:after="0"/>
        <w:ind w:firstLine="480"/>
        <w:jc w:val="both"/>
      </w:pPr>
      <w:r>
        <w:rPr>
          <w:rFonts w:ascii="Times New Roman" w:hAnsi="Times New Roman" w:eastAsia="方正仿宋_GBK"/>
          <w:b w:val="0"/>
          <w:sz w:val="24"/>
        </w:rPr>
        <w:t xml:space="preserve">光伏规模较大的县域，在送端正向需求降低的同时核对反向输送；负荷密集城区，重点校核重载站和承接站的主变N-1供电能力。储能按对应连续峰段确定功率和能量，主变建设按允许规格及扩建条件确定容量，联络按两端能力落实可转负荷。</w:t>
      </w:r>
    </w:p>
    <w:p>
      <w:pPr>
        <w:pStyle w:val="5"/>
        <w:keepNext/>
        <w:numPr>
          <w:numId w:val="0"/>
        </w:numPr>
        <w:spacing w:line="360" w:lineRule="auto" w:before="160" w:after="120"/>
        <w:ind w:firstLine="0"/>
      </w:pPr>
      <w:bookmarkStart w:id="256" w:name="随源荷发展和工程条件滚动更新规划"/>
      <w:r>
        <w:rPr>
          <w:rFonts w:ascii="Times New Roman" w:hAnsi="Times New Roman" w:eastAsia="方正仿宋_GBK"/>
          <w:b/>
          <w:sz w:val="26"/>
        </w:rPr>
        <w:t xml:space="preserve">6.2.3 随源荷发展和工程条件滚动更新规划</w:t>
      </w:r>
      <w:bookmarkEnd w:id="256"/>
    </w:p>
    <w:p>
      <w:pPr>
        <w:pStyle w:val="FirstParagraph"/>
        <w:widowControl/>
        <w:spacing w:line="300" w:lineRule="auto" w:before="0" w:after="0"/>
        <w:ind w:firstLine="480"/>
        <w:jc w:val="both"/>
      </w:pPr>
      <w:r>
        <w:rPr>
          <w:rFonts w:ascii="Times New Roman" w:hAnsi="Times New Roman" w:eastAsia="方正仿宋_GBK"/>
          <w:b w:val="0"/>
          <w:sz w:val="24"/>
        </w:rPr>
        <w:t xml:space="preserve">负荷增长、光伏投产及设备变化会改变片区容量需求。年度规划结合新增用户、实际峰值和建设进度更新源荷参数，重新核对站间转供能力，并按统一工程范围更新主变、储能和线路费用。</w:t>
      </w:r>
    </w:p>
    <w:p>
      <w:pPr>
        <w:pStyle w:val="2"/>
        <w:widowControl/>
        <w:spacing w:line="300" w:lineRule="auto" w:before="0" w:after="0"/>
        <w:ind w:firstLine="480"/>
        <w:jc w:val="both"/>
      </w:pPr>
      <w:r>
        <w:rPr>
          <w:rFonts w:ascii="Times New Roman" w:hAnsi="Times New Roman" w:eastAsia="方正仿宋_GBK"/>
          <w:b w:val="0"/>
          <w:sz w:val="24"/>
        </w:rPr>
        <w:t xml:space="preserve">滚动修订时同步调整参考档位和逐站建设安排，使容量规模、采购投资与投运时点保持对应。实际馈线或设备条件发生较大变化的片区，按新的站级约束重新比选，逐步形成适用于本地区的</w:t>
      </w:r>
      <w:r>
        <w:rPr>
          <w:rFonts w:ascii="Times New Roman" w:hAnsi="Times New Roman" w:eastAsia="方正仿宋_GBK"/>
          <w:b w:val="0"/>
          <w:sz w:val="24"/>
        </w:rPr>
        <w:t xml:space="preserve">“</w:t>
      </w:r>
      <w:r>
        <w:rPr>
          <w:rFonts w:ascii="Times New Roman" w:hAnsi="Times New Roman" w:eastAsia="方正仿宋_GBK"/>
          <w:b w:val="0"/>
          <w:sz w:val="24"/>
        </w:rPr>
        <w:t xml:space="preserve">一片一策</w:t>
      </w:r>
      <w:r>
        <w:rPr>
          <w:rFonts w:ascii="Times New Roman" w:hAnsi="Times New Roman" w:eastAsia="方正仿宋_GBK"/>
          <w:b w:val="0"/>
          <w:sz w:val="24"/>
        </w:rPr>
        <w:t xml:space="preserve">”</w:t>
      </w:r>
      <w:r>
        <w:rPr>
          <w:rFonts w:ascii="Times New Roman" w:hAnsi="Times New Roman" w:eastAsia="方正仿宋_GBK"/>
          <w:b w:val="0"/>
          <w:sz w:val="24"/>
        </w:rPr>
        <w:t xml:space="preserve">容量规划方案。</w:t>
      </w:r>
    </w:p>
    <w:p>
      <w:bookmarkStart w:id="1816" w:name="h816"/>
      <w:pPr>
        <w:pStyle w:val="4"/>
        <w:keepNext/>
        <w:numPr>
          <w:numId w:val="0"/>
        </w:numPr>
        <w:spacing w:line="360" w:lineRule="auto" w:before="160" w:after="120"/>
        <w:ind w:firstLine="0"/>
      </w:pPr>
      <w:bookmarkStart w:id="257" w:name="后续研究方向"/>
      <w:r>
        <w:rPr>
          <w:rFonts w:ascii="Times New Roman" w:hAnsi="Times New Roman" w:eastAsia="方正仿宋_GBK"/>
          <w:b/>
          <w:sz w:val="32"/>
        </w:rPr>
        <w:t xml:space="preserve">6.3 后续研究方向</w:t>
      </w:r>
      <w:bookmarkEnd w:id="257"/>
      <w:bookmarkEnd w:id="1816"/>
    </w:p>
    <w:p>
      <w:pPr>
        <w:pStyle w:val="5"/>
        <w:keepNext/>
        <w:numPr>
          <w:numId w:val="0"/>
        </w:numPr>
        <w:spacing w:line="360" w:lineRule="auto" w:before="160" w:after="120"/>
        <w:ind w:firstLine="0"/>
      </w:pPr>
      <w:bookmarkStart w:id="258" w:name="深化储能运行与实际网络校核"/>
      <w:r>
        <w:rPr>
          <w:rFonts w:ascii="Times New Roman" w:hAnsi="Times New Roman" w:eastAsia="方正仿宋_GBK"/>
          <w:b/>
          <w:sz w:val="26"/>
        </w:rPr>
        <w:t xml:space="preserve">6.3.1 深化储能运行与实际网络校核</w:t>
      </w:r>
      <w:bookmarkEnd w:id="258"/>
    </w:p>
    <w:p>
      <w:pPr>
        <w:pStyle w:val="FirstParagraph"/>
        <w:widowControl/>
        <w:spacing w:line="300" w:lineRule="auto" w:before="0" w:after="0"/>
        <w:ind w:firstLine="480"/>
        <w:jc w:val="both"/>
      </w:pPr>
      <w:r>
        <w:rPr>
          <w:rFonts w:ascii="Times New Roman" w:hAnsi="Times New Roman" w:eastAsia="方正仿宋_GBK"/>
          <w:b w:val="0"/>
          <w:sz w:val="24"/>
        </w:rPr>
        <w:t xml:space="preserve">在峰段静态比选基础上，补充同范围用户负荷、光伏出力及转接负荷块的连续时序，结合储能可用能量、充放电效率和荷电状态，核定连续多日支撑及充电条件。将等效联络方案落实到实际馈线和开关位置，继续分析线路允许容量、电压、保护配合和故障恢复要求。</w:t>
      </w:r>
    </w:p>
    <w:p>
      <w:pPr>
        <w:pStyle w:val="5"/>
        <w:keepNext/>
        <w:numPr>
          <w:numId w:val="0"/>
        </w:numPr>
        <w:spacing w:line="360" w:lineRule="auto" w:before="160" w:after="120"/>
        <w:ind w:firstLine="0"/>
      </w:pPr>
      <w:bookmarkStart w:id="259" w:name="拓展片区结构和经济参数"/>
      <w:r>
        <w:rPr>
          <w:rFonts w:ascii="Times New Roman" w:hAnsi="Times New Roman" w:eastAsia="方正仿宋_GBK"/>
          <w:b/>
          <w:sz w:val="26"/>
        </w:rPr>
        <w:t xml:space="preserve">6.3.2 拓展片区结构和经济参数</w:t>
      </w:r>
      <w:bookmarkEnd w:id="259"/>
    </w:p>
    <w:p>
      <w:pPr>
        <w:pStyle w:val="FirstParagraph"/>
        <w:widowControl/>
        <w:spacing w:line="300" w:lineRule="auto" w:before="0" w:after="0"/>
        <w:ind w:firstLine="480"/>
        <w:jc w:val="both"/>
      </w:pPr>
      <w:r>
        <w:rPr>
          <w:rFonts w:ascii="Times New Roman" w:hAnsi="Times New Roman" w:eastAsia="方正仿宋_GBK"/>
          <w:b w:val="0"/>
          <w:sz w:val="24"/>
        </w:rPr>
        <w:t xml:space="preserve">进一步增加不同主变台数、负荷密度和电源分布的站群，补充更多区县核定数据，分析现有价格范围内的配置切换条件。结合工程概算及运行资料完善相应费用，逐步细化推荐区间及建设时序，为不同片区的容量规划提供依据。</w:t>
      </w:r>
    </w:p>
    <w:p>
      <w:bookmarkStart w:id="1821" w:name="h821"/>
      <w:pPr>
        <w:pStyle w:val="3"/>
        <w:keepNext/>
        <w:pageBreakBefore/>
        <w:numPr>
          <w:numId w:val="0"/>
        </w:numPr>
        <w:spacing w:line="360" w:lineRule="auto" w:before="0" w:after="120"/>
        <w:ind w:firstLine="0"/>
      </w:pPr>
      <w:bookmarkStart w:id="260" w:name="参考文献"/>
      <w:r>
        <w:rPr>
          <w:rFonts w:ascii="Times New Roman" w:hAnsi="Times New Roman" w:eastAsia="方正仿宋_GBK"/>
          <w:b/>
          <w:sz w:val="36"/>
        </w:rPr>
        <w:t xml:space="preserve">参考文献</w:t>
      </w:r>
      <w:bookmarkEnd w:id="260"/>
      <w:bookmarkEnd w:id="1821"/>
    </w:p>
    <w:p>
      <w:pPr>
        <w:pStyle w:val="FirstParagraph"/>
        <w:widowControl/>
        <w:spacing w:line="276" w:lineRule="auto" w:before="0" w:after="80"/>
        <w:ind w:firstLine="0"/>
        <w:jc w:val="left"/>
      </w:pPr>
      <w:r>
        <w:rPr>
          <w:rFonts w:ascii="Times New Roman" w:hAnsi="Times New Roman" w:eastAsia="方正仿宋_GBK"/>
          <w:b w:val="0"/>
          <w:sz w:val="21"/>
        </w:rPr>
        <w:t xml:space="preserve">[1] 国家能源局. 2026年一季度可再生能源并网运行情况[EB/OL]. (2026-04-27)[2026-10-02]. https://www.nea.gov.cn/20260427/4b751e59b0d7463a95f74096fed83e14/c.html.</w:t>
      </w:r>
    </w:p>
    <w:p>
      <w:pPr>
        <w:pStyle w:val="2"/>
        <w:widowControl/>
        <w:spacing w:line="276" w:lineRule="auto" w:before="0" w:after="80"/>
        <w:ind w:firstLine="0"/>
        <w:jc w:val="left"/>
      </w:pPr>
      <w:r>
        <w:rPr>
          <w:rFonts w:ascii="Times New Roman" w:hAnsi="Times New Roman" w:eastAsia="方正仿宋_GBK"/>
          <w:b w:val="0"/>
          <w:sz w:val="21"/>
        </w:rPr>
        <w:t xml:space="preserve">[2] 国家能源局. 2026年一季度光伏发电建设情况[EB/OL]. (2026-05-19)[2026-10-02]. https://www.nea.gov.cn/20260519/6008bb88dc0649e5b5530fd6ad0b117a/c.html.</w:t>
      </w:r>
    </w:p>
    <w:p>
      <w:pPr>
        <w:pStyle w:val="2"/>
        <w:widowControl/>
        <w:spacing w:line="276" w:lineRule="auto" w:before="0" w:after="80"/>
        <w:ind w:firstLine="0"/>
        <w:jc w:val="left"/>
      </w:pPr>
      <w:r>
        <w:rPr>
          <w:rFonts w:ascii="Times New Roman" w:hAnsi="Times New Roman" w:eastAsia="方正仿宋_GBK"/>
          <w:b w:val="0"/>
          <w:sz w:val="21"/>
        </w:rPr>
        <w:t xml:space="preserve">[3] HOU Q, ZHANG N, DU E, et al. Probabilistic duck curve in high PV penetration power system: concept, modeling, and empirical analysis in China[J]. Applied Energy, 2019, 242: 205-215.</w:t>
      </w:r>
    </w:p>
    <w:p>
      <w:pPr>
        <w:pStyle w:val="2"/>
        <w:widowControl/>
        <w:spacing w:line="276" w:lineRule="auto" w:before="0" w:after="80"/>
        <w:ind w:firstLine="0"/>
        <w:jc w:val="left"/>
      </w:pPr>
      <w:r>
        <w:rPr>
          <w:rFonts w:ascii="Times New Roman" w:hAnsi="Times New Roman" w:eastAsia="方正仿宋_GBK"/>
          <w:b w:val="0"/>
          <w:sz w:val="21"/>
        </w:rPr>
        <w:t xml:space="preserve">[4] MAJEED I B, NWULU N I. Impact of reverse power flow on distributed transformers in a solar-photovoltaic-integrated low-voltage network[J]. Energies, 2022, 15(23): 9238.</w:t>
      </w:r>
    </w:p>
    <w:p>
      <w:pPr>
        <w:pStyle w:val="2"/>
        <w:widowControl/>
        <w:spacing w:line="276" w:lineRule="auto" w:before="0" w:after="80"/>
        <w:ind w:firstLine="0"/>
        <w:jc w:val="left"/>
      </w:pPr>
      <w:r>
        <w:rPr>
          <w:rFonts w:ascii="Times New Roman" w:hAnsi="Times New Roman" w:eastAsia="方正仿宋_GBK"/>
          <w:b w:val="0"/>
          <w:sz w:val="21"/>
        </w:rPr>
        <w:t xml:space="preserve">[5] DL/T 5729—2023 配电网规划设计技术导则[S]. 2023.</w:t>
      </w:r>
    </w:p>
    <w:p>
      <w:pPr>
        <w:pStyle w:val="2"/>
        <w:widowControl/>
        <w:spacing w:line="276" w:lineRule="auto" w:before="0" w:after="80"/>
        <w:ind w:firstLine="0"/>
        <w:jc w:val="left"/>
      </w:pPr>
      <w:r>
        <w:rPr>
          <w:rFonts w:ascii="Times New Roman" w:hAnsi="Times New Roman" w:eastAsia="方正仿宋_GBK"/>
          <w:b w:val="0"/>
          <w:sz w:val="21"/>
        </w:rPr>
        <w:t xml:space="preserve">[6] 国家发展改革委, 国家能源局. 关于新形势下配电网高质量发展的指导意见: 发改能源〔2024〕187号[Z]. 2024.</w:t>
      </w:r>
    </w:p>
    <w:p>
      <w:pPr>
        <w:pStyle w:val="2"/>
        <w:widowControl/>
        <w:spacing w:line="276" w:lineRule="auto" w:before="0" w:after="80"/>
        <w:ind w:firstLine="0"/>
        <w:jc w:val="left"/>
      </w:pPr>
      <w:r>
        <w:rPr>
          <w:rFonts w:ascii="Times New Roman" w:hAnsi="Times New Roman" w:eastAsia="方正仿宋_GBK"/>
          <w:b w:val="0"/>
          <w:sz w:val="21"/>
        </w:rPr>
        <w:t xml:space="preserve">[7] 配电网规划设计技术导则（修订稿，2025年4月）[R]. 2025.</w:t>
      </w:r>
    </w:p>
    <w:p>
      <w:pPr>
        <w:pStyle w:val="2"/>
        <w:widowControl/>
        <w:spacing w:line="276" w:lineRule="auto" w:before="0" w:after="80"/>
        <w:ind w:firstLine="0"/>
        <w:jc w:val="left"/>
      </w:pPr>
      <w:r>
        <w:rPr>
          <w:rFonts w:ascii="Times New Roman" w:hAnsi="Times New Roman" w:eastAsia="方正仿宋_GBK"/>
          <w:b w:val="0"/>
          <w:sz w:val="21"/>
        </w:rPr>
        <w:t xml:space="preserve">[8] 肖峻, 刘柔嘉, 龙梦皓. 变电容载比与下一级中压配电网络关系的量化分析[J]. 电力建设, 2015, 36(11): 45-50.</w:t>
      </w:r>
    </w:p>
    <w:p>
      <w:pPr>
        <w:pStyle w:val="2"/>
        <w:widowControl/>
        <w:spacing w:line="276" w:lineRule="auto" w:before="0" w:after="80"/>
        <w:ind w:firstLine="0"/>
        <w:jc w:val="left"/>
      </w:pPr>
      <w:r>
        <w:rPr>
          <w:rFonts w:ascii="Times New Roman" w:hAnsi="Times New Roman" w:eastAsia="方正仿宋_GBK"/>
          <w:b w:val="0"/>
          <w:sz w:val="21"/>
        </w:rPr>
        <w:t xml:space="preserve">[9] DL/T 2041—2025 分布式电源接入电力系统承载力评估导则[S]. 2025.</w:t>
      </w:r>
    </w:p>
    <w:p>
      <w:pPr>
        <w:pStyle w:val="2"/>
        <w:widowControl/>
        <w:spacing w:line="276" w:lineRule="auto" w:before="0" w:after="80"/>
        <w:ind w:firstLine="0"/>
        <w:jc w:val="left"/>
      </w:pPr>
      <w:r>
        <w:rPr>
          <w:rFonts w:ascii="Times New Roman" w:hAnsi="Times New Roman" w:eastAsia="方正仿宋_GBK"/>
          <w:b w:val="0"/>
          <w:sz w:val="21"/>
        </w:rPr>
        <w:t xml:space="preserve">[10] XU T, MENG H, ZHU J, et al. Considering the life-cycle cost of distributed energy-storage planning in distribution grids[J]. Applied Sciences, 2018, 8(12): 2615.</w:t>
      </w:r>
    </w:p>
    <w:p>
      <w:pPr>
        <w:pStyle w:val="2"/>
        <w:widowControl/>
        <w:spacing w:line="276" w:lineRule="auto" w:before="0" w:after="80"/>
        <w:ind w:firstLine="0"/>
        <w:jc w:val="left"/>
      </w:pPr>
      <w:r>
        <w:rPr>
          <w:rFonts w:ascii="Times New Roman" w:hAnsi="Times New Roman" w:eastAsia="方正仿宋_GBK"/>
          <w:b w:val="0"/>
          <w:sz w:val="21"/>
        </w:rPr>
        <w:t xml:space="preserve">[11] ZENG W, FAN J, ZHANG W, et al. Whole life cycle cost analysis of transmission lines using the economic life interval method[J]. Energies, 2023, 16(23): 7804.</w:t>
      </w:r>
    </w:p>
    <w:p>
      <w:pPr>
        <w:pStyle w:val="2"/>
        <w:widowControl/>
        <w:spacing w:line="276" w:lineRule="auto" w:before="0" w:after="80"/>
        <w:ind w:firstLine="0"/>
        <w:jc w:val="left"/>
      </w:pPr>
      <w:r>
        <w:rPr>
          <w:rFonts w:ascii="Times New Roman" w:hAnsi="Times New Roman" w:eastAsia="方正仿宋_GBK"/>
          <w:b w:val="0"/>
          <w:sz w:val="21"/>
        </w:rPr>
        <w:t xml:space="preserve">[12] ZHU Z, LU S, GAO B, et al. Life cycle cost analysis of three types of power lines in 10 kV distribution network[J]. Inventions, 2016, 1(4): 20.</w:t>
      </w:r>
    </w:p>
    <w:p>
      <w:pPr>
        <w:pStyle w:val="2"/>
        <w:widowControl/>
        <w:spacing w:line="276" w:lineRule="auto" w:before="0" w:after="80"/>
        <w:ind w:firstLine="0"/>
        <w:jc w:val="left"/>
      </w:pPr>
      <w:r>
        <w:rPr>
          <w:rFonts w:ascii="Times New Roman" w:hAnsi="Times New Roman" w:eastAsia="方正仿宋_GBK"/>
          <w:b w:val="0"/>
          <w:sz w:val="21"/>
        </w:rPr>
        <w:t xml:space="preserve">[13] SAATY T L. The analytic hierarchy process[M]. New York: McGraw-Hill, 1980.</w:t>
      </w:r>
    </w:p>
    <w:p>
      <w:pPr>
        <w:pStyle w:val="2"/>
        <w:widowControl/>
        <w:spacing w:line="276" w:lineRule="auto" w:before="0" w:after="80"/>
        <w:ind w:firstLine="0"/>
        <w:jc w:val="left"/>
      </w:pPr>
      <w:r>
        <w:rPr>
          <w:rFonts w:ascii="Times New Roman" w:hAnsi="Times New Roman" w:eastAsia="方正仿宋_GBK"/>
          <w:b w:val="0"/>
          <w:sz w:val="21"/>
        </w:rPr>
        <w:t xml:space="preserve">[14] WU Q, PENG C. Comprehensive benefit evaluation of the power distribution network planning project based on improved IAHP and multi-level extension assessment method[J]. Sustainability, 2016, 8(8): 796.</w:t>
      </w:r>
    </w:p>
    <w:p>
      <w:pPr>
        <w:pStyle w:val="2"/>
        <w:widowControl/>
        <w:spacing w:line="276" w:lineRule="auto" w:before="0" w:after="80"/>
        <w:ind w:firstLine="0"/>
        <w:jc w:val="left"/>
      </w:pPr>
      <w:r>
        <w:rPr>
          <w:rFonts w:ascii="Times New Roman" w:hAnsi="Times New Roman" w:eastAsia="方正仿宋_GBK"/>
          <w:b w:val="0"/>
          <w:sz w:val="21"/>
        </w:rPr>
        <w:t xml:space="preserve">[15] 罗宁, 贺墨琳, 高华, 等. 基于改进的AHP-CRITIC组合赋权与可拓评估模型的配电网综合评价方法[J]. 电力系统保护与控制, 2021, 49(16): 86-96.</w:t>
      </w:r>
    </w:p>
    <w:p>
      <w:pPr>
        <w:pStyle w:val="2"/>
        <w:widowControl/>
        <w:spacing w:line="276" w:lineRule="auto" w:before="0" w:after="80"/>
        <w:ind w:firstLine="0"/>
        <w:jc w:val="left"/>
      </w:pPr>
      <w:r>
        <w:rPr>
          <w:rFonts w:ascii="Times New Roman" w:hAnsi="Times New Roman" w:eastAsia="方正仿宋_GBK"/>
          <w:b w:val="0"/>
          <w:sz w:val="21"/>
        </w:rPr>
        <w:t xml:space="preserve">[16] 程智余, 朱晓虎, 李建青. 基于改进ELECTRE法的电网规划投资多准则融合决策方法[J]. 中国电力, 2022, 55(11): 59-65.</w:t>
      </w:r>
    </w:p>
    <w:p>
      <w:pPr>
        <w:pStyle w:val="2"/>
        <w:widowControl/>
        <w:spacing w:line="276" w:lineRule="auto" w:before="0" w:after="80"/>
        <w:ind w:firstLine="0"/>
        <w:jc w:val="left"/>
      </w:pPr>
      <w:r>
        <w:rPr>
          <w:rFonts w:ascii="Times New Roman" w:hAnsi="Times New Roman" w:eastAsia="方正仿宋_GBK"/>
          <w:b w:val="0"/>
          <w:sz w:val="21"/>
        </w:rPr>
        <w:t xml:space="preserve">[17] GB/T 45418—2025 配电网通用技术导则[S]. 2025.</w:t>
      </w:r>
    </w:p>
    <w:p>
      <w:pPr>
        <w:pStyle w:val="2"/>
        <w:widowControl/>
        <w:spacing w:line="276" w:lineRule="auto" w:before="0" w:after="80"/>
        <w:ind w:firstLine="0"/>
        <w:jc w:val="left"/>
      </w:pPr>
      <w:r>
        <w:rPr>
          <w:rFonts w:ascii="Times New Roman" w:hAnsi="Times New Roman" w:eastAsia="方正仿宋_GBK"/>
          <w:b w:val="0"/>
          <w:sz w:val="21"/>
        </w:rPr>
        <w:t xml:space="preserve">[18] LIN T, WU G, LAI S, et al. Calculation of distribution network PV hosting capacity considering source–load uncertainty and active management[J]. Electronics, 2024, 13(20): 4048.</w:t>
      </w:r>
    </w:p>
    <w:p>
      <w:pPr>
        <w:pStyle w:val="2"/>
        <w:widowControl/>
        <w:spacing w:line="276" w:lineRule="auto" w:before="0" w:after="80"/>
        <w:ind w:firstLine="0"/>
        <w:jc w:val="left"/>
      </w:pPr>
      <w:r>
        <w:rPr>
          <w:rFonts w:ascii="Times New Roman" w:hAnsi="Times New Roman" w:eastAsia="方正仿宋_GBK"/>
          <w:b w:val="0"/>
          <w:sz w:val="21"/>
        </w:rPr>
        <w:t xml:space="preserve">[19] CHEN C, PENG W, XIE C, et al. Photovoltaic hosting capacity assessment of distribution networks considering source–load uncertainty[J]. Energies, 2025, 18(8): 2134.</w:t>
      </w:r>
    </w:p>
    <w:p>
      <w:pPr>
        <w:pStyle w:val="2"/>
        <w:widowControl/>
        <w:spacing w:line="276" w:lineRule="auto" w:before="0" w:after="80"/>
        <w:ind w:firstLine="0"/>
        <w:jc w:val="left"/>
      </w:pPr>
      <w:r>
        <w:rPr>
          <w:rFonts w:ascii="Times New Roman" w:hAnsi="Times New Roman" w:eastAsia="方正仿宋_GBK"/>
          <w:b w:val="0"/>
          <w:sz w:val="21"/>
        </w:rPr>
        <w:t xml:space="preserve">[20] LIU H, HE J, DENG L, et al. Assessment of distribution network hosting capacity incorporating multiple uncertainty factors[J]. Electronics, 2025, 14(22): 4495.</w:t>
      </w:r>
    </w:p>
    <w:p>
      <w:pPr>
        <w:pStyle w:val="2"/>
        <w:widowControl/>
        <w:spacing w:line="276" w:lineRule="auto" w:before="0" w:after="80"/>
        <w:ind w:firstLine="0"/>
        <w:jc w:val="left"/>
      </w:pPr>
      <w:r>
        <w:rPr>
          <w:rFonts w:ascii="Times New Roman" w:hAnsi="Times New Roman" w:eastAsia="方正仿宋_GBK"/>
          <w:b w:val="0"/>
          <w:sz w:val="21"/>
        </w:rPr>
        <w:t xml:space="preserve">[21] SHU J, ZHAO C, CHU B, et al. A closed-loop framework for PV dynamic hosting capacity: integrating physics-informed forecasting and stability constraints[J]. Frontiers in Energy Research, 2026. DOI: 10.3389/fenrg.2026.1823435.</w:t>
      </w:r>
    </w:p>
    <w:p>
      <w:pPr>
        <w:pStyle w:val="2"/>
        <w:widowControl/>
        <w:spacing w:line="276" w:lineRule="auto" w:before="0" w:after="80"/>
        <w:ind w:firstLine="0"/>
        <w:jc w:val="left"/>
      </w:pPr>
      <w:r>
        <w:rPr>
          <w:rFonts w:ascii="Times New Roman" w:hAnsi="Times New Roman" w:eastAsia="方正仿宋_GBK"/>
          <w:b w:val="0"/>
          <w:sz w:val="21"/>
        </w:rPr>
        <w:t xml:space="preserve">[22] HAIDER R, FERRO G, ROBBA M, et al. Flattening the duck curve: a case for distributed decision making[C]//2022 IEEE Power &amp; Energy Society General Meeting. 2022. DOI: 10.1109/PESGM48719.2022.9917019.</w:t>
      </w:r>
    </w:p>
    <w:p>
      <w:pPr>
        <w:pStyle w:val="2"/>
        <w:widowControl/>
        <w:spacing w:line="276" w:lineRule="auto" w:before="0" w:after="80"/>
        <w:ind w:firstLine="0"/>
        <w:jc w:val="left"/>
      </w:pPr>
      <w:r>
        <w:rPr>
          <w:rFonts w:ascii="Times New Roman" w:hAnsi="Times New Roman" w:eastAsia="方正仿宋_GBK"/>
          <w:b w:val="0"/>
          <w:sz w:val="21"/>
        </w:rPr>
        <w:t xml:space="preserve">[23] XIE Y, LI Q, YANG L, et al. The phenomenon and suppression strategy of overvoltage caused by PV power reverse flow[J]. Frontiers in Energy Research, 2024, 12: 1495742.</w:t>
      </w:r>
    </w:p>
    <w:p>
      <w:pPr>
        <w:pStyle w:val="2"/>
        <w:widowControl/>
        <w:spacing w:line="276" w:lineRule="auto" w:before="0" w:after="80"/>
        <w:ind w:firstLine="0"/>
        <w:jc w:val="left"/>
      </w:pPr>
      <w:r>
        <w:rPr>
          <w:rFonts w:ascii="Times New Roman" w:hAnsi="Times New Roman" w:eastAsia="方正仿宋_GBK"/>
          <w:b w:val="0"/>
          <w:sz w:val="21"/>
        </w:rPr>
        <w:t xml:space="preserve">[24] GHORBANSARVI A, HAMILTON D, ALMASSALKHI M R, et al. Transformer temperature management and voltage control in electric distribution systems with high solar PV penetration[EB/OL]. arXiv: 2410.09011, 2024.</w:t>
      </w:r>
    </w:p>
    <w:p>
      <w:pPr>
        <w:pStyle w:val="2"/>
        <w:widowControl/>
        <w:spacing w:line="276" w:lineRule="auto" w:before="0" w:after="80"/>
        <w:ind w:firstLine="0"/>
        <w:jc w:val="left"/>
      </w:pPr>
      <w:r>
        <w:rPr>
          <w:rFonts w:ascii="Times New Roman" w:hAnsi="Times New Roman" w:eastAsia="方正仿宋_GBK"/>
          <w:b w:val="0"/>
          <w:sz w:val="21"/>
        </w:rPr>
        <w:t xml:space="preserve">[25] GAO X, ZHANG J, SUN H, et al. A review of voltage control studies on low voltage distribution networks containing high penetration distributed photovoltaics[J]. Energies, 2024, 17(13): 3058.</w:t>
      </w:r>
    </w:p>
    <w:p>
      <w:pPr>
        <w:pStyle w:val="2"/>
        <w:widowControl/>
        <w:spacing w:line="276" w:lineRule="auto" w:before="0" w:after="80"/>
        <w:ind w:firstLine="0"/>
        <w:jc w:val="left"/>
      </w:pPr>
      <w:r>
        <w:rPr>
          <w:rFonts w:ascii="Times New Roman" w:hAnsi="Times New Roman" w:eastAsia="方正仿宋_GBK"/>
          <w:b w:val="0"/>
          <w:sz w:val="21"/>
        </w:rPr>
        <w:t xml:space="preserve">[26] NAIR V J, VAHID-GHAVIDEL M, ANNASWAMY A M. Dynamic resource coordination can increase grid hosting capacity to support more renewables, storage, and electrified load growth[EB/OL]. arXiv:2604.02170, 2026.</w:t>
      </w:r>
    </w:p>
    <w:p>
      <w:pPr>
        <w:pStyle w:val="2"/>
        <w:widowControl/>
        <w:spacing w:line="276" w:lineRule="auto" w:before="0" w:after="80"/>
        <w:ind w:firstLine="0"/>
        <w:jc w:val="left"/>
      </w:pPr>
      <w:r>
        <w:rPr>
          <w:rFonts w:ascii="Times New Roman" w:hAnsi="Times New Roman" w:eastAsia="方正仿宋_GBK"/>
          <w:b w:val="0"/>
          <w:sz w:val="21"/>
        </w:rPr>
        <w:t xml:space="preserve">[27] WANG R, JI H, LI P, et al. Multi-resource dynamic coordinated planning of flexible distribution network[J]. Nature Communications, 2024, 15: 4576.</w:t>
      </w:r>
    </w:p>
    <w:p>
      <w:pPr>
        <w:pStyle w:val="2"/>
        <w:widowControl/>
        <w:spacing w:line="276" w:lineRule="auto" w:before="0" w:after="80"/>
        <w:ind w:firstLine="0"/>
        <w:jc w:val="left"/>
      </w:pPr>
      <w:r>
        <w:rPr>
          <w:rFonts w:ascii="Times New Roman" w:hAnsi="Times New Roman" w:eastAsia="方正仿宋_GBK"/>
          <w:b w:val="0"/>
          <w:sz w:val="21"/>
        </w:rPr>
        <w:t xml:space="preserve">[28] MARTÍNEZ M, MATEO C, GÓMEZ T, et al. Distributed battery energy storage systems for deferring distribution network reinforcements under sustained load growth scenarios[J]. Journal of Energy Storage, 2024, 100: 113404.</w:t>
      </w:r>
    </w:p>
    <w:p>
      <w:pPr>
        <w:pStyle w:val="2"/>
        <w:widowControl/>
        <w:spacing w:line="276" w:lineRule="auto" w:before="0" w:after="80"/>
        <w:ind w:firstLine="0"/>
        <w:jc w:val="left"/>
      </w:pPr>
      <w:r>
        <w:rPr>
          <w:rFonts w:ascii="Times New Roman" w:hAnsi="Times New Roman" w:eastAsia="方正仿宋_GBK"/>
          <w:b w:val="0"/>
          <w:sz w:val="21"/>
        </w:rPr>
        <w:t xml:space="preserve">[29] HOLWEGER J, BALLIF C, WYRSCH N. Distributed flexibility as a cost-effective alternative to grid reinforcement[EB/OL]. arXiv:2109.07305, 2021.</w:t>
      </w:r>
    </w:p>
    <w:p>
      <w:pPr>
        <w:pStyle w:val="2"/>
        <w:widowControl/>
        <w:spacing w:line="276" w:lineRule="auto" w:before="0" w:after="80"/>
        <w:ind w:firstLine="0"/>
        <w:jc w:val="left"/>
      </w:pPr>
      <w:r>
        <w:rPr>
          <w:rFonts w:ascii="Times New Roman" w:hAnsi="Times New Roman" w:eastAsia="方正仿宋_GBK"/>
          <w:b w:val="0"/>
          <w:sz w:val="21"/>
        </w:rPr>
        <w:t xml:space="preserve">[30] MATTHISS B, MOMENIFARAHANI A, BINDER J. Storage placement and sizing in a distribution grid with high PV-generation[EB/OL]. arXiv: 2001.05814, 2020.</w:t>
      </w:r>
    </w:p>
    <w:p>
      <w:pPr>
        <w:pStyle w:val="2"/>
        <w:widowControl/>
        <w:spacing w:line="276" w:lineRule="auto" w:before="0" w:after="80"/>
        <w:ind w:firstLine="0"/>
        <w:jc w:val="left"/>
      </w:pPr>
      <w:r>
        <w:rPr>
          <w:rFonts w:ascii="Times New Roman" w:hAnsi="Times New Roman" w:eastAsia="方正仿宋_GBK"/>
          <w:b w:val="0"/>
          <w:sz w:val="21"/>
        </w:rPr>
        <w:t xml:space="preserve">[31] WU Y, CHEN Y, LI Z, et al. Robust co-planning of distributed photovoltaics and energy storage for enhancing the hosting capacity of active distribution networks[J]. Renewable Energy, 2025, 253: 123645.</w:t>
      </w:r>
    </w:p>
    <w:p>
      <w:pPr>
        <w:pStyle w:val="2"/>
        <w:widowControl/>
        <w:spacing w:line="276" w:lineRule="auto" w:before="0" w:after="80"/>
        <w:ind w:firstLine="0"/>
        <w:jc w:val="left"/>
      </w:pPr>
      <w:r>
        <w:rPr>
          <w:rFonts w:ascii="Times New Roman" w:hAnsi="Times New Roman" w:eastAsia="方正仿宋_GBK"/>
          <w:b w:val="0"/>
          <w:sz w:val="21"/>
        </w:rPr>
        <w:t xml:space="preserve">[32] ZHANG Q, WANG Z, MA S, et al. Stochastic pre-event preparation for enhancing resilience of distribution systems with high DER penetration[EB/OL]. (2020)[2026-10-02]. https://arxiv.org/abs/2012.13043.</w:t>
      </w:r>
    </w:p>
    <w:p>
      <w:pPr>
        <w:pStyle w:val="2"/>
        <w:widowControl/>
        <w:spacing w:line="276" w:lineRule="auto" w:before="0" w:after="80"/>
        <w:ind w:firstLine="0"/>
        <w:jc w:val="left"/>
      </w:pPr>
      <w:r>
        <w:rPr>
          <w:rFonts w:ascii="Times New Roman" w:hAnsi="Times New Roman" w:eastAsia="方正仿宋_GBK"/>
          <w:b w:val="0"/>
          <w:sz w:val="21"/>
        </w:rPr>
        <w:t xml:space="preserve">[33] HUANG J, SUN Z, XIE H, et al. Optimal substation capacity planning method in high-density load areas considering renewable energy[J]. Energy Reports, 2023, 9: 1520-1530.</w:t>
      </w:r>
    </w:p>
    <w:p>
      <w:pPr>
        <w:pStyle w:val="2"/>
        <w:widowControl/>
        <w:spacing w:line="276" w:lineRule="auto" w:before="0" w:after="80"/>
        <w:ind w:firstLine="0"/>
        <w:jc w:val="left"/>
      </w:pPr>
      <w:r>
        <w:rPr>
          <w:rFonts w:ascii="Times New Roman" w:hAnsi="Times New Roman" w:eastAsia="方正仿宋_GBK"/>
          <w:b w:val="0"/>
          <w:sz w:val="21"/>
        </w:rPr>
        <w:t xml:space="preserve">[34] XU D, FU Q, YE L, et al. The optimal sizing of substation capacity in a distribution network, considering a dynamic time-of-use pricing mechanism[J]. Sensors, 2022, 22(19): 7173.</w:t>
      </w:r>
    </w:p>
    <w:p>
      <w:pPr>
        <w:pStyle w:val="2"/>
        <w:widowControl/>
        <w:spacing w:line="276" w:lineRule="auto" w:before="0" w:after="80"/>
        <w:ind w:firstLine="0"/>
        <w:jc w:val="left"/>
      </w:pPr>
      <w:r>
        <w:rPr>
          <w:rFonts w:ascii="Times New Roman" w:hAnsi="Times New Roman" w:eastAsia="方正仿宋_GBK"/>
          <w:b w:val="0"/>
          <w:sz w:val="21"/>
        </w:rPr>
        <w:t xml:space="preserve">[35] NESPOLI L, MEDICI V. Global forecasting models for residential load flexibility and grid optimization[J]. Frontiers in Energy Research, 2025, 13: 1547617.</w:t>
      </w:r>
    </w:p>
    <w:p>
      <w:pPr>
        <w:pStyle w:val="2"/>
        <w:widowControl/>
        <w:spacing w:line="276" w:lineRule="auto" w:before="0" w:after="80"/>
        <w:ind w:firstLine="0"/>
        <w:jc w:val="left"/>
      </w:pPr>
      <w:r>
        <w:rPr>
          <w:rFonts w:ascii="Times New Roman" w:hAnsi="Times New Roman" w:eastAsia="方正仿宋_GBK"/>
          <w:b w:val="0"/>
          <w:sz w:val="21"/>
        </w:rPr>
        <w:t xml:space="preserve">[36] ZHU J, LIU Z, DAI F, et al. Coordinated planning of unbalanced flexible interconnected distribution networks based on distributed optimization[J]. Energies, 2026, 19(7): 1769.</w:t>
      </w:r>
    </w:p>
    <w:p>
      <w:pPr>
        <w:pStyle w:val="2"/>
        <w:widowControl/>
        <w:spacing w:line="276" w:lineRule="auto" w:before="0" w:after="80"/>
        <w:ind w:firstLine="0"/>
        <w:jc w:val="left"/>
      </w:pPr>
      <w:r>
        <w:rPr>
          <w:rFonts w:ascii="Times New Roman" w:hAnsi="Times New Roman" w:eastAsia="方正仿宋_GBK"/>
          <w:b w:val="0"/>
          <w:sz w:val="21"/>
        </w:rPr>
        <w:t xml:space="preserve">[37] LUO W, ZHANG C, HAN X, et al. Joint planning method for soft open points and energy storage in hybrid distribution networks based on improved DC power flow[J]. Processes, 2026, 14(6): 1013.</w:t>
      </w:r>
    </w:p>
    <w:p>
      <w:pPr>
        <w:pStyle w:val="2"/>
        <w:widowControl/>
        <w:spacing w:line="276" w:lineRule="auto" w:before="0" w:after="80"/>
        <w:ind w:firstLine="0"/>
        <w:jc w:val="left"/>
      </w:pPr>
      <w:r>
        <w:rPr>
          <w:rFonts w:ascii="Times New Roman" w:hAnsi="Times New Roman" w:eastAsia="方正仿宋_GBK"/>
          <w:b w:val="0"/>
          <w:sz w:val="21"/>
        </w:rPr>
        <w:t xml:space="preserve">[38] WANG J, CHANG C, LE J, et al. Sustainable distribution network planning for enhancing PV accommodation: a source–network–storage coordinated stochastic approach[J]. Sustainability, 2025, 17(12): 5324.</w:t>
      </w:r>
    </w:p>
    <w:p>
      <w:pPr>
        <w:pStyle w:val="2"/>
        <w:widowControl/>
        <w:spacing w:line="276" w:lineRule="auto" w:before="0" w:after="80"/>
        <w:ind w:firstLine="0"/>
        <w:jc w:val="left"/>
      </w:pPr>
      <w:r>
        <w:rPr>
          <w:rFonts w:ascii="Times New Roman" w:hAnsi="Times New Roman" w:eastAsia="方正仿宋_GBK"/>
          <w:b w:val="0"/>
          <w:sz w:val="21"/>
        </w:rPr>
        <w:t xml:space="preserve">[39] SHI Y, YAO Y, LI Y, et al. Research on source–grid–load–storage coordinated optimization and evolutionarily stable strategies for high renewable energy[J]. Energies, 2026, 19(2): 415.</w:t>
      </w:r>
    </w:p>
    <w:p>
      <w:pPr>
        <w:pStyle w:val="2"/>
        <w:widowControl/>
        <w:spacing w:line="276" w:lineRule="auto" w:before="0" w:after="80"/>
        <w:ind w:firstLine="0"/>
        <w:jc w:val="left"/>
      </w:pPr>
      <w:r>
        <w:rPr>
          <w:rFonts w:ascii="Times New Roman" w:hAnsi="Times New Roman" w:eastAsia="方正仿宋_GBK"/>
          <w:b w:val="0"/>
          <w:sz w:val="21"/>
        </w:rPr>
        <w:t xml:space="preserve">[40] WANG Y, YAN C, WANG Z, et al. Adaptability evaluation of power grid planning scheme for novel power system considering multiple decision psychology[J]. Energies, 2024, 17(15): 3672.</w:t>
      </w:r>
    </w:p>
    <w:p>
      <w:pPr>
        <w:pStyle w:val="2"/>
        <w:widowControl/>
        <w:spacing w:line="276" w:lineRule="auto" w:before="0" w:after="80"/>
        <w:ind w:firstLine="0"/>
        <w:jc w:val="left"/>
      </w:pPr>
      <w:r>
        <w:rPr>
          <w:rFonts w:ascii="Times New Roman" w:hAnsi="Times New Roman" w:eastAsia="方正仿宋_GBK"/>
          <w:b w:val="0"/>
          <w:sz w:val="21"/>
        </w:rPr>
        <w:t xml:space="preserve">[41] YE L, LI J, YANG S, et al. An improved TOPSIS method using Fermatean fuzzy sets for techno-economic evaluation of multi-type power sources[J]. Electronics, 2025, 14(23): 4770.</w:t>
      </w:r>
    </w:p>
    <w:p>
      <w:pPr>
        <w:pStyle w:val="2"/>
        <w:widowControl/>
        <w:spacing w:line="276" w:lineRule="auto" w:before="0" w:after="80"/>
        <w:ind w:firstLine="0"/>
        <w:jc w:val="left"/>
      </w:pPr>
      <w:r>
        <w:rPr>
          <w:rFonts w:ascii="Times New Roman" w:hAnsi="Times New Roman" w:eastAsia="方正仿宋_GBK"/>
          <w:b w:val="0"/>
          <w:sz w:val="21"/>
        </w:rPr>
        <w:t xml:space="preserve">[42] ZENG W, FAN J, REN Z, et al. Economic evaluation method of modern power transmission system based on improved technique for order of preference by similarity to ideal solution (TOPSIS) and best-worst method-anti-entropy weight[J]. Energies, 2023, 16(21): 7242.</w:t>
      </w:r>
    </w:p>
    <w:p>
      <w:pPr>
        <w:pStyle w:val="2"/>
        <w:widowControl/>
        <w:spacing w:line="276" w:lineRule="auto" w:before="0" w:after="80"/>
        <w:ind w:firstLine="0"/>
        <w:jc w:val="left"/>
      </w:pPr>
      <w:r>
        <w:rPr>
          <w:rFonts w:ascii="Times New Roman" w:hAnsi="Times New Roman" w:eastAsia="方正仿宋_GBK"/>
          <w:b w:val="0"/>
          <w:sz w:val="21"/>
        </w:rPr>
        <w:t xml:space="preserve">[43] 陈浩, 张焰, 俞国勤, 等. 多电压等级配电网最优容载比的计算方法[J]. 电气应用, 2011, 30(1): 25-29.</w:t>
      </w:r>
    </w:p>
    <w:p>
      <w:pPr>
        <w:pStyle w:val="2"/>
        <w:widowControl/>
        <w:spacing w:line="276" w:lineRule="auto" w:before="0" w:after="80"/>
        <w:ind w:firstLine="0"/>
        <w:jc w:val="left"/>
      </w:pPr>
      <w:r>
        <w:rPr>
          <w:rFonts w:ascii="Times New Roman" w:hAnsi="Times New Roman" w:eastAsia="方正仿宋_GBK"/>
          <w:b w:val="0"/>
          <w:sz w:val="21"/>
        </w:rPr>
        <w:t xml:space="preserve">[44] 王凯亮, 何卓怡, 叶健鹏, 等. 多电压等级电网协同规划的容载比优化配置方法[J]. 南方电网技术, 2025, 19(7): 131-139.</w:t>
      </w:r>
    </w:p>
    <w:p>
      <w:pPr>
        <w:pStyle w:val="2"/>
        <w:widowControl/>
        <w:spacing w:line="276" w:lineRule="auto" w:before="0" w:after="80"/>
        <w:ind w:firstLine="0"/>
        <w:jc w:val="left"/>
      </w:pPr>
      <w:r>
        <w:rPr>
          <w:rFonts w:ascii="Times New Roman" w:hAnsi="Times New Roman" w:eastAsia="方正仿宋_GBK"/>
          <w:b w:val="0"/>
          <w:sz w:val="21"/>
        </w:rPr>
        <w:t xml:space="preserve">[45] 刘文霞, 刘其达, 邓诗语, 等. 基于容载比色带的区域配电网充裕性分析[J]. 华北电力大学学报(自然科学版), 2022, 49(2): 1-12, 22.</w:t>
      </w:r>
    </w:p>
    <w:p>
      <w:pPr>
        <w:pStyle w:val="2"/>
        <w:widowControl/>
        <w:spacing w:line="276" w:lineRule="auto" w:before="0" w:after="80"/>
        <w:ind w:firstLine="0"/>
        <w:jc w:val="left"/>
      </w:pPr>
      <w:r>
        <w:rPr>
          <w:rFonts w:ascii="Times New Roman" w:hAnsi="Times New Roman" w:eastAsia="方正仿宋_GBK"/>
          <w:b w:val="0"/>
          <w:sz w:val="21"/>
        </w:rPr>
        <w:t xml:space="preserve">[46] 刘炜彬, 梁咏秋, 李锡刚, 等. 面向精细化规划的容载比参数优化方法研究[J]. 电气工程学报, 2025, 20(1): 208-216.</w:t>
      </w:r>
    </w:p>
    <w:p>
      <w:pPr>
        <w:pStyle w:val="2"/>
        <w:widowControl/>
        <w:spacing w:line="276" w:lineRule="auto" w:before="0" w:after="80"/>
        <w:ind w:firstLine="0"/>
        <w:jc w:val="left"/>
      </w:pPr>
      <w:r>
        <w:rPr>
          <w:rFonts w:ascii="Times New Roman" w:hAnsi="Times New Roman" w:eastAsia="方正仿宋_GBK"/>
          <w:b w:val="0"/>
          <w:sz w:val="21"/>
        </w:rPr>
        <w:t xml:space="preserve">[47] 张锐, 刘恒超, 张国驹, 等. 基于改进供电能力指标的低压台区柔性互联装置规划[J]. 电力建设, 2025, 46(8): 1-11.</w:t>
      </w:r>
    </w:p>
    <w:p>
      <w:pPr>
        <w:pStyle w:val="2"/>
        <w:widowControl/>
        <w:spacing w:line="276" w:lineRule="auto" w:before="0" w:after="80"/>
        <w:ind w:firstLine="0"/>
        <w:jc w:val="left"/>
      </w:pPr>
      <w:r>
        <w:rPr>
          <w:rFonts w:ascii="Times New Roman" w:hAnsi="Times New Roman" w:eastAsia="方正仿宋_GBK"/>
          <w:b w:val="0"/>
          <w:sz w:val="21"/>
        </w:rPr>
        <w:t xml:space="preserve">[48] 马雨欣, 林凌雪. 面向配电网精准规划的最大供电能力评估方法[J]. 现代电力, 2025, 42(6): 1120-1130.</w:t>
      </w:r>
    </w:p>
    <w:p>
      <w:pPr>
        <w:pStyle w:val="2"/>
        <w:widowControl/>
        <w:spacing w:line="276" w:lineRule="auto" w:before="0" w:after="80"/>
        <w:ind w:firstLine="0"/>
        <w:jc w:val="left"/>
      </w:pPr>
      <w:r>
        <w:rPr>
          <w:rFonts w:ascii="Times New Roman" w:hAnsi="Times New Roman" w:eastAsia="方正仿宋_GBK"/>
          <w:b w:val="0"/>
          <w:sz w:val="21"/>
        </w:rPr>
        <w:t xml:space="preserve">[49] 王守相, 尹孜阳, 赵倩宇. 考虑多供电层级耦合的中低压配电网分布式光伏承载力一体化精细评估方法[J]. 电工技术学报, 2025, 40(6): 1930-1944.</w:t>
      </w:r>
    </w:p>
    <w:p>
      <w:pPr>
        <w:pStyle w:val="2"/>
        <w:widowControl/>
        <w:spacing w:line="276" w:lineRule="auto" w:before="0" w:after="80"/>
        <w:ind w:firstLine="0"/>
        <w:jc w:val="left"/>
      </w:pPr>
      <w:r>
        <w:rPr>
          <w:rFonts w:ascii="Times New Roman" w:hAnsi="Times New Roman" w:eastAsia="方正仿宋_GBK"/>
          <w:b w:val="0"/>
          <w:sz w:val="21"/>
        </w:rPr>
        <w:t xml:space="preserve">[50] 王方敏, 顼佳宇, 苏宁, 等. 新型电力系统风险抑制下分布式光伏承载力概率评估方法[J]. 中国电力, 2025, 58(6): 33-44.</w:t>
      </w:r>
    </w:p>
    <w:p>
      <w:pPr>
        <w:pStyle w:val="2"/>
        <w:widowControl/>
        <w:spacing w:line="276" w:lineRule="auto" w:before="0" w:after="80"/>
        <w:ind w:firstLine="0"/>
        <w:jc w:val="left"/>
      </w:pPr>
      <w:r>
        <w:rPr>
          <w:rFonts w:ascii="Times New Roman" w:hAnsi="Times New Roman" w:eastAsia="方正仿宋_GBK"/>
          <w:b w:val="0"/>
          <w:sz w:val="21"/>
        </w:rPr>
        <w:t xml:space="preserve">[51] 徐非非, 冯华, 覃洪培, 等. 计及不确定性的配电网分布式光伏承载能力区间分析方法[J]. 浙江电力, 2023, 42(11): 86-95.</w:t>
      </w:r>
    </w:p>
    <w:p>
      <w:pPr>
        <w:pStyle w:val="2"/>
        <w:widowControl/>
        <w:spacing w:line="276" w:lineRule="auto" w:before="0" w:after="80"/>
        <w:ind w:firstLine="0"/>
        <w:jc w:val="left"/>
      </w:pPr>
      <w:r>
        <w:rPr>
          <w:rFonts w:ascii="Times New Roman" w:hAnsi="Times New Roman" w:eastAsia="方正仿宋_GBK"/>
          <w:b w:val="0"/>
          <w:sz w:val="21"/>
        </w:rPr>
        <w:t xml:space="preserve">[52] 张伟, 孔巧玉, 滕婕, 等. 面向柔性互联配电网的分布式光伏消纳能力区间评估方法[J/OL]. 现代电力, 2026-03-02. DOI: 10.19725/j.cnki.1007-2322.2024.0254.</w:t>
      </w:r>
    </w:p>
    <w:p>
      <w:pPr>
        <w:pStyle w:val="2"/>
        <w:widowControl/>
        <w:spacing w:line="276" w:lineRule="auto" w:before="0" w:after="80"/>
        <w:ind w:firstLine="0"/>
        <w:jc w:val="left"/>
      </w:pPr>
      <w:r>
        <w:rPr>
          <w:rFonts w:ascii="Times New Roman" w:hAnsi="Times New Roman" w:eastAsia="方正仿宋_GBK"/>
          <w:b w:val="0"/>
          <w:sz w:val="21"/>
        </w:rPr>
        <w:t xml:space="preserve">[53] 宋钰, 郭玥, 王旭阳, 等. 分布式光伏接入配电网安全经济承载力评估[J]. 浙江电力, 2025, 44(11): 93-102.</w:t>
      </w:r>
    </w:p>
    <w:p>
      <w:pPr>
        <w:pStyle w:val="2"/>
        <w:widowControl/>
        <w:spacing w:line="276" w:lineRule="auto" w:before="0" w:after="80"/>
        <w:ind w:firstLine="0"/>
        <w:jc w:val="left"/>
      </w:pPr>
      <w:r>
        <w:rPr>
          <w:rFonts w:ascii="Times New Roman" w:hAnsi="Times New Roman" w:eastAsia="方正仿宋_GBK"/>
          <w:b w:val="0"/>
          <w:sz w:val="21"/>
        </w:rPr>
        <w:t xml:space="preserve">[54] 李敬如, 白宇, 王旭阳, 等. 考虑主配协同的分布式光伏接入电网安全经济承载力计算方法[J]. 电力建设, 2025, 46(10): 113-121.</w:t>
      </w:r>
    </w:p>
    <w:p>
      <w:pPr>
        <w:pStyle w:val="2"/>
        <w:widowControl/>
        <w:spacing w:line="276" w:lineRule="auto" w:before="0" w:after="80"/>
        <w:ind w:firstLine="0"/>
        <w:jc w:val="left"/>
      </w:pPr>
      <w:r>
        <w:rPr>
          <w:rFonts w:ascii="Times New Roman" w:hAnsi="Times New Roman" w:eastAsia="方正仿宋_GBK"/>
          <w:b w:val="0"/>
          <w:sz w:val="21"/>
        </w:rPr>
        <w:t xml:space="preserve">[55] 龚锐, 李华强, 许立雄. 面向配电网综合承载力提升的储能优化配置方法[J]. 电网技术, 2025, 49(9): 3860-3869.</w:t>
      </w:r>
    </w:p>
    <w:p>
      <w:pPr>
        <w:pStyle w:val="2"/>
        <w:widowControl/>
        <w:spacing w:line="276" w:lineRule="auto" w:before="0" w:after="80"/>
        <w:ind w:firstLine="0"/>
        <w:jc w:val="left"/>
      </w:pPr>
      <w:r>
        <w:rPr>
          <w:rFonts w:ascii="Times New Roman" w:hAnsi="Times New Roman" w:eastAsia="方正仿宋_GBK"/>
          <w:b w:val="0"/>
          <w:sz w:val="21"/>
        </w:rPr>
        <w:t xml:space="preserve">[56] 曹炜, 董浩洋, 李芸, 等. 分布式光伏高比例接入的国外经验及实践启示[J]. 电气传动, 2022, 52(4): 3-11.</w:t>
      </w:r>
    </w:p>
    <w:p>
      <w:pPr>
        <w:pStyle w:val="2"/>
        <w:widowControl/>
        <w:spacing w:line="276" w:lineRule="auto" w:before="0" w:after="80"/>
        <w:ind w:firstLine="0"/>
        <w:jc w:val="left"/>
      </w:pPr>
      <w:r>
        <w:rPr>
          <w:rFonts w:ascii="Times New Roman" w:hAnsi="Times New Roman" w:eastAsia="方正仿宋_GBK"/>
          <w:b w:val="0"/>
          <w:sz w:val="21"/>
        </w:rPr>
        <w:t xml:space="preserve">[57] 龚玺, 徐金阁, 路玮. 江苏电网电力负荷变化特征研究[J]. 电气工程, 2023, 11(3): 137-143.</w:t>
      </w:r>
    </w:p>
    <w:p>
      <w:pPr>
        <w:pStyle w:val="2"/>
        <w:widowControl/>
        <w:spacing w:line="276" w:lineRule="auto" w:before="0" w:after="80"/>
        <w:ind w:firstLine="0"/>
        <w:jc w:val="left"/>
      </w:pPr>
      <w:r>
        <w:rPr>
          <w:rFonts w:ascii="Times New Roman" w:hAnsi="Times New Roman" w:eastAsia="方正仿宋_GBK"/>
          <w:b w:val="0"/>
          <w:sz w:val="21"/>
        </w:rPr>
        <w:t xml:space="preserve">[58] 梁志峰, 康重庆, 隋凌峰, 等. 含高比例分布式光伏的主配网运行风险评估与防控策略研究[J]. 清华大学学报(自然科学版), 2024, 64(11): 1964-1978.</w:t>
      </w:r>
    </w:p>
    <w:p>
      <w:pPr>
        <w:pStyle w:val="2"/>
        <w:widowControl/>
        <w:spacing w:line="276" w:lineRule="auto" w:before="0" w:after="80"/>
        <w:ind w:firstLine="0"/>
        <w:jc w:val="left"/>
      </w:pPr>
      <w:r>
        <w:rPr>
          <w:rFonts w:ascii="Times New Roman" w:hAnsi="Times New Roman" w:eastAsia="方正仿宋_GBK"/>
          <w:b w:val="0"/>
          <w:sz w:val="21"/>
        </w:rPr>
        <w:t xml:space="preserve">[59] 吕达夫. 考虑源荷不确定性的分布式光伏承载能力评估[J]. 上海电力大学学报, 2024, 40(6): 579-586.</w:t>
      </w:r>
    </w:p>
    <w:p>
      <w:pPr>
        <w:pStyle w:val="2"/>
        <w:widowControl/>
        <w:spacing w:line="276" w:lineRule="auto" w:before="0" w:after="80"/>
        <w:ind w:firstLine="0"/>
        <w:jc w:val="left"/>
      </w:pPr>
      <w:r>
        <w:rPr>
          <w:rFonts w:ascii="Times New Roman" w:hAnsi="Times New Roman" w:eastAsia="方正仿宋_GBK"/>
          <w:b w:val="0"/>
          <w:sz w:val="21"/>
        </w:rPr>
        <w:t xml:space="preserve">[60] 刘克权, 汤文, 陈钊, 等. 新能源高占比下主配协同调度的挑战与提升策略[J]. 智能电网, 2026, 16(1): 7-15.</w:t>
      </w:r>
    </w:p>
    <w:p>
      <w:pPr>
        <w:pStyle w:val="2"/>
        <w:widowControl/>
        <w:spacing w:line="276" w:lineRule="auto" w:before="0" w:after="80"/>
        <w:ind w:firstLine="0"/>
        <w:jc w:val="left"/>
      </w:pPr>
      <w:r>
        <w:rPr>
          <w:rFonts w:ascii="Times New Roman" w:hAnsi="Times New Roman" w:eastAsia="方正仿宋_GBK"/>
          <w:b w:val="0"/>
          <w:sz w:val="21"/>
        </w:rPr>
        <w:t xml:space="preserve">[61] 栗峰, 等. 新型电力系统下分布式光伏规模化并网运行关键技术探讨[J]. 电网技术, 2024, 48(1): 184-196.</w:t>
      </w:r>
    </w:p>
    <w:p>
      <w:pPr>
        <w:pStyle w:val="2"/>
        <w:widowControl/>
        <w:spacing w:line="276" w:lineRule="auto" w:before="0" w:after="80"/>
        <w:ind w:firstLine="0"/>
        <w:jc w:val="left"/>
      </w:pPr>
      <w:r>
        <w:rPr>
          <w:rFonts w:ascii="Times New Roman" w:hAnsi="Times New Roman" w:eastAsia="方正仿宋_GBK"/>
          <w:b w:val="0"/>
          <w:sz w:val="21"/>
        </w:rPr>
        <w:t xml:space="preserve">[62] 刘洪波, 刘珅诚, 盖雪扬, 等. 高比例新能源接入的主动配电网规划综述[J]. 发电技术, 2024, 45(1): 151-161.</w:t>
      </w:r>
    </w:p>
    <w:p>
      <w:pPr>
        <w:pStyle w:val="2"/>
        <w:widowControl/>
        <w:spacing w:line="276" w:lineRule="auto" w:before="0" w:after="80"/>
        <w:ind w:firstLine="0"/>
        <w:jc w:val="left"/>
      </w:pPr>
      <w:r>
        <w:rPr>
          <w:rFonts w:ascii="Times New Roman" w:hAnsi="Times New Roman" w:eastAsia="方正仿宋_GBK"/>
          <w:b w:val="0"/>
          <w:sz w:val="21"/>
        </w:rPr>
        <w:t xml:space="preserve">[63] 黄海泉, 等. 新型配电网分布式储能系统方案及配置研究综述[J]. 南方能源建设, 2024, 11(4): 42-53.</w:t>
      </w:r>
    </w:p>
    <w:p>
      <w:pPr>
        <w:pStyle w:val="2"/>
        <w:widowControl/>
        <w:spacing w:line="276" w:lineRule="auto" w:before="0" w:after="80"/>
        <w:ind w:firstLine="0"/>
        <w:jc w:val="left"/>
      </w:pPr>
      <w:r>
        <w:rPr>
          <w:rFonts w:ascii="Times New Roman" w:hAnsi="Times New Roman" w:eastAsia="方正仿宋_GBK"/>
          <w:b w:val="0"/>
          <w:sz w:val="21"/>
        </w:rPr>
        <w:t xml:space="preserve">[64] 贺春光, 王林峰, 曹媛, 等. 考虑综合收益的多电压等级配电网柔性互联装置协同规划方法[J]. 中国电力, 2025, 58(1): 78-84.</w:t>
      </w:r>
    </w:p>
    <w:p>
      <w:pPr>
        <w:pStyle w:val="2"/>
        <w:widowControl/>
        <w:spacing w:line="276" w:lineRule="auto" w:before="0" w:after="80"/>
        <w:ind w:firstLine="0"/>
        <w:jc w:val="left"/>
      </w:pPr>
      <w:r>
        <w:rPr>
          <w:rFonts w:ascii="Times New Roman" w:hAnsi="Times New Roman" w:eastAsia="方正仿宋_GBK"/>
          <w:b w:val="0"/>
          <w:sz w:val="21"/>
        </w:rPr>
        <w:t xml:space="preserve">[65] 徐峰亮, 王克谦, 等. 计及运行灵活性的中压配电系统源-网-储协同扩展规划[J]. 中国电力, 2024, 57(7): 98-108.</w:t>
      </w:r>
    </w:p>
    <w:p>
      <w:pPr>
        <w:pStyle w:val="2"/>
        <w:widowControl/>
        <w:spacing w:line="276" w:lineRule="auto" w:before="0" w:after="80"/>
        <w:ind w:firstLine="0"/>
        <w:jc w:val="left"/>
      </w:pPr>
      <w:r>
        <w:rPr>
          <w:rFonts w:ascii="Times New Roman" w:hAnsi="Times New Roman" w:eastAsia="方正仿宋_GBK"/>
          <w:b w:val="0"/>
          <w:sz w:val="21"/>
        </w:rPr>
        <w:t xml:space="preserve">[66] 乐健, 王靖, 廖小兵, 等. 基于随机场景的配电网源网储协同规划方法[J]. 电力系统保护与控制, 2025, 53(4): 132-147.</w:t>
      </w:r>
    </w:p>
    <w:p>
      <w:pPr>
        <w:pStyle w:val="2"/>
        <w:widowControl/>
        <w:spacing w:line="276" w:lineRule="auto" w:before="0" w:after="80"/>
        <w:ind w:firstLine="0"/>
        <w:jc w:val="left"/>
      </w:pPr>
      <w:r>
        <w:rPr>
          <w:rFonts w:ascii="Times New Roman" w:hAnsi="Times New Roman" w:eastAsia="方正仿宋_GBK"/>
          <w:b w:val="0"/>
          <w:sz w:val="21"/>
        </w:rPr>
        <w:t xml:space="preserve">[67] 张全, 代贤忠, 韩新阳, 等. 基于全生命周期投入产出效益的电网规划精准投资方法[J]. 中国电力, 2018, 51(10): 171-177.</w:t>
      </w:r>
    </w:p>
    <w:p>
      <w:pPr>
        <w:pStyle w:val="2"/>
        <w:widowControl/>
        <w:spacing w:line="276" w:lineRule="auto" w:before="0" w:after="80"/>
        <w:ind w:firstLine="0"/>
        <w:jc w:val="left"/>
      </w:pPr>
      <w:r>
        <w:rPr>
          <w:rFonts w:ascii="Times New Roman" w:hAnsi="Times New Roman" w:eastAsia="方正仿宋_GBK"/>
          <w:b w:val="0"/>
          <w:sz w:val="21"/>
        </w:rPr>
        <w:t xml:space="preserve">[68] 何凯, 王剑晓, 王佳伟, 等. 基于全成本电价的电网规划方案评估与优选[J]. 中国电力, 2020, 53(3): 66-75.</w:t>
      </w:r>
    </w:p>
    <w:p>
      <w:pPr>
        <w:pStyle w:val="2"/>
        <w:widowControl/>
        <w:spacing w:line="276" w:lineRule="auto" w:before="0" w:after="80"/>
        <w:ind w:firstLine="0"/>
        <w:jc w:val="left"/>
      </w:pPr>
      <w:r>
        <w:rPr>
          <w:rFonts w:ascii="Times New Roman" w:hAnsi="Times New Roman" w:eastAsia="方正仿宋_GBK"/>
          <w:b w:val="0"/>
          <w:sz w:val="21"/>
        </w:rPr>
        <w:t xml:space="preserve">[69] 武小琳, 栾凌, 潘连武, 等. 基于LM-CNN的输变电工程造价自动计算模型[J]. 中国电力, 2023, 56(2): 157-163.</w:t>
      </w:r>
    </w:p>
    <w:p>
      <w:pPr>
        <w:pStyle w:val="2"/>
        <w:widowControl/>
        <w:spacing w:line="276" w:lineRule="auto" w:before="0" w:after="80"/>
        <w:ind w:firstLine="0"/>
        <w:jc w:val="left"/>
      </w:pPr>
      <w:r>
        <w:rPr>
          <w:rFonts w:ascii="Times New Roman" w:hAnsi="Times New Roman" w:eastAsia="方正仿宋_GBK"/>
          <w:b w:val="0"/>
          <w:sz w:val="21"/>
        </w:rPr>
        <w:t xml:space="preserve">[70] 黄碧斌, 李琼慧, 高菲. 计及电网改造的高渗透率分布式光伏优化规划[J]. 电力建设, 2015, 36(10): 82-87.</w:t>
      </w:r>
    </w:p>
    <w:p>
      <w:pPr>
        <w:pStyle w:val="2"/>
        <w:widowControl/>
        <w:spacing w:line="276" w:lineRule="auto" w:before="0" w:after="80"/>
        <w:ind w:firstLine="0"/>
        <w:jc w:val="left"/>
      </w:pPr>
      <w:r>
        <w:rPr>
          <w:rFonts w:ascii="Times New Roman" w:hAnsi="Times New Roman" w:eastAsia="方正仿宋_GBK"/>
          <w:b w:val="0"/>
          <w:sz w:val="21"/>
        </w:rPr>
        <w:t xml:space="preserve">[71] 汪志才, 蔡晔, 谭玉东, 等. 考虑功能差异的输变电项目效益评价及投资优化方法[J]. 中国电力, 2019, 52(11): 175-184.</w:t>
      </w:r>
    </w:p>
    <w:p>
      <w:pPr>
        <w:pStyle w:val="2"/>
        <w:widowControl/>
        <w:spacing w:line="276" w:lineRule="auto" w:before="0" w:after="80"/>
        <w:ind w:firstLine="0"/>
        <w:jc w:val="left"/>
      </w:pPr>
      <w:r>
        <w:rPr>
          <w:rFonts w:ascii="Times New Roman" w:hAnsi="Times New Roman" w:eastAsia="方正仿宋_GBK"/>
          <w:b w:val="0"/>
          <w:sz w:val="21"/>
        </w:rPr>
        <w:t xml:space="preserve">[72] 严小玉. 考虑光伏电源接入影响的兴国县配电网规划[D]. 南昌: 南昌大学, 2016.</w:t>
      </w:r>
    </w:p>
    <w:p>
      <w:pPr>
        <w:pStyle w:val="2"/>
        <w:widowControl/>
        <w:spacing w:line="276" w:lineRule="auto" w:before="0" w:after="80"/>
        <w:ind w:firstLine="0"/>
        <w:jc w:val="left"/>
      </w:pPr>
      <w:r>
        <w:rPr>
          <w:rFonts w:ascii="Times New Roman" w:hAnsi="Times New Roman" w:eastAsia="方正仿宋_GBK"/>
          <w:b w:val="0"/>
          <w:sz w:val="21"/>
        </w:rPr>
        <w:t xml:space="preserve">[73] 谢天祥, 赏炜, 高捷. 基于数据驱动的配电网</w:t>
      </w:r>
      <w:r>
        <w:rPr>
          <w:rFonts w:ascii="Times New Roman" w:hAnsi="Times New Roman" w:eastAsia="方正仿宋_GBK"/>
          <w:b w:val="0"/>
          <w:sz w:val="21"/>
        </w:rPr>
        <w:t xml:space="preserve">“</w:t>
      </w:r>
      <w:r>
        <w:rPr>
          <w:rFonts w:ascii="Times New Roman" w:hAnsi="Times New Roman" w:eastAsia="方正仿宋_GBK"/>
          <w:b w:val="0"/>
          <w:sz w:val="21"/>
        </w:rPr>
        <w:t xml:space="preserve">三级弹性</w:t>
      </w:r>
      <w:r>
        <w:rPr>
          <w:rFonts w:ascii="Times New Roman" w:hAnsi="Times New Roman" w:eastAsia="方正仿宋_GBK"/>
          <w:b w:val="0"/>
          <w:sz w:val="21"/>
        </w:rPr>
        <w:t xml:space="preserve">”</w:t>
      </w:r>
      <w:r>
        <w:rPr>
          <w:rFonts w:ascii="Times New Roman" w:hAnsi="Times New Roman" w:eastAsia="方正仿宋_GBK"/>
          <w:b w:val="0"/>
          <w:sz w:val="21"/>
        </w:rPr>
        <w:t xml:space="preserve">精准规划方法研究[J]. 电气工程, 2022, 10(3): 139-153.</w:t>
      </w:r>
    </w:p>
    <w:p>
      <w:pPr>
        <w:pStyle w:val="2"/>
        <w:widowControl/>
        <w:spacing w:line="276" w:lineRule="auto" w:before="0" w:after="80"/>
        <w:ind w:firstLine="0"/>
        <w:jc w:val="left"/>
      </w:pPr>
      <w:r>
        <w:rPr>
          <w:rFonts w:ascii="Times New Roman" w:hAnsi="Times New Roman" w:eastAsia="方正仿宋_GBK"/>
          <w:b w:val="0"/>
          <w:sz w:val="21"/>
        </w:rPr>
        <w:t xml:space="preserve">[74] 陈璨, 白明辉, 张婉明, 等. 分布式光伏边界渗透率快速定位及消纳方案择优[J]. 中国电力, 2022, 55(8): 40-50.</w:t>
      </w:r>
    </w:p>
    <w:p>
      <w:pPr>
        <w:pStyle w:val="2"/>
        <w:widowControl/>
        <w:spacing w:line="276" w:lineRule="auto" w:before="0" w:after="80"/>
        <w:ind w:firstLine="0"/>
        <w:jc w:val="left"/>
      </w:pPr>
      <w:r>
        <w:rPr>
          <w:rFonts w:ascii="Times New Roman" w:hAnsi="Times New Roman" w:eastAsia="方正仿宋_GBK"/>
          <w:b w:val="0"/>
          <w:sz w:val="21"/>
        </w:rPr>
        <w:t xml:space="preserve">[75] 孙东磊, 孙毅, 刘蕊, 等. 计及多层级配电网的分布式新能源最大消纳空间分解测算[J]. 中国电力, 2024, 57(8): 108-116.</w:t>
      </w:r>
    </w:p>
    <w:p>
      <w:pPr>
        <w:pStyle w:val="2"/>
        <w:widowControl/>
        <w:spacing w:line="276" w:lineRule="auto" w:before="0" w:after="80"/>
        <w:ind w:firstLine="0"/>
        <w:jc w:val="left"/>
      </w:pPr>
      <w:r>
        <w:rPr>
          <w:rFonts w:ascii="Times New Roman" w:hAnsi="Times New Roman" w:eastAsia="方正仿宋_GBK"/>
          <w:b w:val="0"/>
          <w:sz w:val="21"/>
        </w:rPr>
        <w:t xml:space="preserve">[76] 金勇, 刘俊勇, 张曦, 等. 基于功能单元的高压配电网负荷转供分层优化模型[J]. 工程科学与技术, 2017, 49(3): 179-190.</w:t>
      </w:r>
    </w:p>
    <w:p>
      <w:pPr>
        <w:pStyle w:val="2"/>
        <w:widowControl/>
        <w:spacing w:line="276" w:lineRule="auto" w:before="0" w:after="80"/>
        <w:ind w:firstLine="0"/>
        <w:jc w:val="left"/>
      </w:pPr>
      <w:r>
        <w:rPr>
          <w:rFonts w:ascii="Times New Roman" w:hAnsi="Times New Roman" w:eastAsia="方正仿宋_GBK"/>
          <w:b w:val="0"/>
          <w:sz w:val="21"/>
        </w:rPr>
        <w:t xml:space="preserve">[77] ZHAO F, XUE L, ZHU J, et al. A novel investment strategy for renewable-dominated power distribution networks[J]. Frontiers in Energy Research, 2023, 10: 968944.</w:t>
      </w:r>
    </w:p>
    <w:p>
      <w:pPr>
        <w:pStyle w:val="2"/>
        <w:widowControl/>
        <w:spacing w:line="276" w:lineRule="auto" w:before="0" w:after="80"/>
        <w:ind w:firstLine="0"/>
        <w:jc w:val="left"/>
      </w:pPr>
      <w:r>
        <w:rPr>
          <w:rFonts w:ascii="Times New Roman" w:hAnsi="Times New Roman" w:eastAsia="方正仿宋_GBK"/>
          <w:b w:val="0"/>
          <w:sz w:val="21"/>
        </w:rPr>
        <w:t xml:space="preserve">[78] 娄奇鹤, 李彦斌, 赵宇尘, 等. 适应极端事件的配电网弹性规划和投资策略研究综述[J]. 电力建设, 2024, 45(5): 37-47.</w:t>
      </w:r>
    </w:p>
    <w:p>
      <w:pPr>
        <w:pStyle w:val="2"/>
        <w:widowControl/>
        <w:spacing w:line="276" w:lineRule="auto" w:before="0" w:after="80"/>
        <w:ind w:firstLine="0"/>
        <w:jc w:val="left"/>
      </w:pPr>
      <w:r>
        <w:rPr>
          <w:rFonts w:ascii="Times New Roman" w:hAnsi="Times New Roman" w:eastAsia="方正仿宋_GBK"/>
          <w:b w:val="0"/>
          <w:sz w:val="21"/>
        </w:rPr>
        <w:t xml:space="preserve">[79] 国家发展改革委, 国家能源局. 关于促进新能源消纳和调控的指导意见: 发改能源〔2025〕1360号[Z]. 2025.</w:t>
      </w:r>
    </w:p>
    <w:p>
      <w:pPr>
        <w:pStyle w:val="2"/>
        <w:widowControl/>
        <w:spacing w:line="276" w:lineRule="auto" w:before="0" w:after="80"/>
        <w:ind w:firstLine="0"/>
        <w:jc w:val="left"/>
      </w:pPr>
      <w:r>
        <w:rPr>
          <w:rFonts w:ascii="Times New Roman" w:hAnsi="Times New Roman" w:eastAsia="方正仿宋_GBK"/>
          <w:b w:val="0"/>
          <w:sz w:val="21"/>
        </w:rPr>
        <w:t xml:space="preserve">[80] 国家发展改革委, 国家能源局. 关于深化提升</w:t>
      </w:r>
      <w:r>
        <w:rPr>
          <w:rFonts w:ascii="Times New Roman" w:hAnsi="Times New Roman" w:eastAsia="方正仿宋_GBK"/>
          <w:b w:val="0"/>
          <w:sz w:val="21"/>
        </w:rPr>
        <w:t xml:space="preserve">“</w:t>
      </w:r>
      <w:r>
        <w:rPr>
          <w:rFonts w:ascii="Times New Roman" w:hAnsi="Times New Roman" w:eastAsia="方正仿宋_GBK"/>
          <w:b w:val="0"/>
          <w:sz w:val="21"/>
        </w:rPr>
        <w:t xml:space="preserve">获得电力</w:t>
      </w:r>
      <w:r>
        <w:rPr>
          <w:rFonts w:ascii="Times New Roman" w:hAnsi="Times New Roman" w:eastAsia="方正仿宋_GBK"/>
          <w:b w:val="0"/>
          <w:sz w:val="21"/>
        </w:rPr>
        <w:t xml:space="preserve">”</w:t>
      </w:r>
      <w:r>
        <w:rPr>
          <w:rFonts w:ascii="Times New Roman" w:hAnsi="Times New Roman" w:eastAsia="方正仿宋_GBK"/>
          <w:b w:val="0"/>
          <w:sz w:val="21"/>
        </w:rPr>
        <w:t xml:space="preserve">服务水平 全面打造现代化用电营商环境的意见: 发改能源规〔2025〕624号[Z]. 2025.</w:t>
      </w:r>
    </w:p>
    <w:p>
      <w:pPr>
        <w:pStyle w:val="2"/>
        <w:widowControl/>
        <w:spacing w:line="276" w:lineRule="auto" w:before="0" w:after="80"/>
        <w:ind w:firstLine="0"/>
        <w:jc w:val="left"/>
      </w:pPr>
      <w:r>
        <w:rPr>
          <w:rFonts w:ascii="Times New Roman" w:hAnsi="Times New Roman" w:eastAsia="方正仿宋_GBK"/>
          <w:b w:val="0"/>
          <w:sz w:val="21"/>
        </w:rPr>
        <w:t xml:space="preserve">[81] 国家发展改革委, 国家能源局, 国家数据局. 加快构建新型电力系统行动方案（2024—2027年）[Z]. 2024.</w:t>
      </w:r>
    </w:p>
    <w:p>
      <w:pPr>
        <w:pStyle w:val="2"/>
        <w:widowControl/>
        <w:spacing w:line="276" w:lineRule="auto" w:before="0" w:after="80"/>
        <w:ind w:firstLine="0"/>
        <w:jc w:val="left"/>
      </w:pPr>
      <w:r>
        <w:rPr>
          <w:rFonts w:ascii="Times New Roman" w:hAnsi="Times New Roman" w:eastAsia="方正仿宋_GBK"/>
          <w:b w:val="0"/>
          <w:sz w:val="21"/>
        </w:rPr>
        <w:t xml:space="preserve">[82] 国家能源局. 配电网高质量发展行动实施方案（2024—2027年）[Z]. 2024.</w:t>
      </w:r>
    </w:p>
    <w:p>
      <w:pPr>
        <w:pStyle w:val="2"/>
        <w:widowControl/>
        <w:spacing w:line="276" w:lineRule="auto" w:before="0" w:after="80"/>
        <w:ind w:firstLine="0"/>
        <w:jc w:val="left"/>
      </w:pPr>
      <w:r>
        <w:rPr>
          <w:rFonts w:ascii="Times New Roman" w:hAnsi="Times New Roman" w:eastAsia="方正仿宋_GBK"/>
          <w:b w:val="0"/>
          <w:sz w:val="21"/>
        </w:rPr>
        <w:t xml:space="preserve">[83] 国家能源局. 分布式光伏接入电网承载力及提升措施评估试点实施方案[Z]. 2023.</w:t>
      </w:r>
    </w:p>
    <w:p>
      <w:pPr>
        <w:pStyle w:val="2"/>
        <w:widowControl/>
        <w:spacing w:line="276" w:lineRule="auto" w:before="0" w:after="80"/>
        <w:ind w:firstLine="0"/>
        <w:jc w:val="left"/>
      </w:pPr>
      <w:r>
        <w:rPr>
          <w:rFonts w:ascii="Times New Roman" w:hAnsi="Times New Roman" w:eastAsia="方正仿宋_GBK"/>
          <w:b w:val="0"/>
          <w:sz w:val="21"/>
        </w:rPr>
        <w:t xml:space="preserve">[84] 国家能源局. 省级分布式光伏接入电网承载力及提升措施研究分析报告大纲[Z]. 2023.</w:t>
      </w:r>
    </w:p>
    <w:p>
      <w:pPr>
        <w:pStyle w:val="2"/>
        <w:widowControl/>
        <w:spacing w:line="276" w:lineRule="auto" w:before="0" w:after="80"/>
        <w:ind w:firstLine="0"/>
        <w:jc w:val="left"/>
      </w:pPr>
      <w:r>
        <w:rPr>
          <w:rFonts w:ascii="Times New Roman" w:hAnsi="Times New Roman" w:eastAsia="方正仿宋_GBK"/>
          <w:b w:val="0"/>
          <w:sz w:val="21"/>
        </w:rPr>
        <w:t xml:space="preserve">[85] 国网江苏省电力有限公司徐州供电分公司. 江苏徐州邢楼110千伏变电站主变扩建等工程建设规模及投资汇总表[Z]. 项目收资工作簿, 年份未注明.</w:t>
      </w:r>
    </w:p>
    <w:p>
      <w:pPr>
        <w:pStyle w:val="2"/>
        <w:widowControl/>
        <w:spacing w:line="276" w:lineRule="auto" w:before="0" w:after="80"/>
        <w:ind w:firstLine="0"/>
        <w:jc w:val="left"/>
      </w:pPr>
      <w:r>
        <w:rPr>
          <w:rFonts w:ascii="Times New Roman" w:hAnsi="Times New Roman" w:eastAsia="方正仿宋_GBK"/>
          <w:b w:val="0"/>
          <w:sz w:val="21"/>
        </w:rPr>
        <w:t xml:space="preserve">[86] 浏阳经济技术开发区管理委员会. 浏阳经开区南园污水处理厂1MW/2.2MWh用户侧储能项目中标结果公告[EB/OL]. (2024-08-15)[2026-10-02].</w:t>
      </w:r>
    </w:p>
    <w:p>
      <w:pPr>
        <w:pStyle w:val="2"/>
        <w:widowControl/>
        <w:spacing w:line="276" w:lineRule="auto" w:before="0" w:after="80"/>
        <w:ind w:firstLine="0"/>
        <w:jc w:val="left"/>
      </w:pPr>
      <w:r>
        <w:rPr>
          <w:rFonts w:ascii="Times New Roman" w:hAnsi="Times New Roman" w:eastAsia="方正仿宋_GBK"/>
          <w:b w:val="0"/>
          <w:sz w:val="21"/>
        </w:rPr>
        <w:t xml:space="preserve">[87] 华容县人民政府. 华容县配电网规划报告[EB/OL]. 2020. 表7-1. https://www.huarong.gov.cn/33157/64140/64170/content_1874487.html.</w:t>
      </w:r>
    </w:p>
    <w:p>
      <w:pPr>
        <w:pStyle w:val="2"/>
        <w:widowControl/>
        <w:spacing w:line="276" w:lineRule="auto" w:before="0" w:after="80"/>
        <w:ind w:firstLine="0"/>
        <w:jc w:val="left"/>
      </w:pPr>
      <w:r>
        <w:rPr>
          <w:rFonts w:ascii="Times New Roman" w:hAnsi="Times New Roman" w:eastAsia="方正仿宋_GBK"/>
          <w:b w:val="0"/>
          <w:sz w:val="21"/>
        </w:rPr>
        <w:t xml:space="preserve">[88] 徐州10 kV线路迁改项目招标公告[EB/OL]. 2025. https://ggzy.zwb.xz.gov.cn/jyxx/003009/003009001/20250903/8c7d2dd2-dcab-4abf-827f-d0f5774799d3.html.</w:t>
      </w:r>
    </w:p>
    <w:p>
      <w:pPr>
        <w:pStyle w:val="2"/>
        <w:widowControl/>
        <w:spacing w:line="276" w:lineRule="auto" w:before="0" w:after="80"/>
        <w:ind w:firstLine="0"/>
        <w:jc w:val="left"/>
      </w:pPr>
      <w:r>
        <w:rPr>
          <w:rFonts w:ascii="Times New Roman" w:hAnsi="Times New Roman" w:eastAsia="方正仿宋_GBK"/>
          <w:b w:val="0"/>
          <w:sz w:val="21"/>
        </w:rPr>
        <w:t xml:space="preserve">[89] 苏州禾瑞新能源发展有限公司. 苏州欣科导轨（二期）399.555KW屋顶分布式光伏及储能电站项目招标公告[EB/OL]. (2025-03-25)[2026-10-02]. 苏州市公共资源交易平台.</w:t>
      </w:r>
    </w:p>
    <w:sectPr>
      <w:headerReference w:type="default" r:id="rId12"/>
      <w:footerReference w:type="default" r:id="rId17"/>
      <w:headerReference w:type="first" r:id="rId13"/>
      <w:footerReference w:type="first" r:id="rId18"/>
      <w:pgSz w:w="11906" w:h="16838"/>
      <w:pgMar w:top="1440" w:right="1797" w:bottom="1440" w:left="1797" w:header="720" w:footer="720" w:gutter="0"/>
      <w:cols w:space="425" w:num="1"/>
      <w:titlePg/>
      <w:docGrid w:type="lines" w:linePitch="312" w:charSpace="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仿宋_GB2312">
    <w:panose1 w:val="02010609030101010101"/>
    <w:charset w:val="86"/>
    <w:family w:val="modern"/>
    <w:pitch w:val="default"/>
    <w:sig w:usb0="00000001" w:usb1="080E0000" w:usb2="00000000" w:usb3="00000000" w:csb0="00040000" w:csb1="00000000"/>
  </w:font>
  <w:font w:name="仿宋">
    <w:panose1 w:val="02010609060101010101"/>
    <w:charset w:val="86"/>
    <w:family w:val="modern"/>
    <w:pitch w:val="default"/>
    <w:sig w:usb0="800002BF" w:usb1="38CF7CFA" w:usb2="00000016" w:usb3="00000000" w:csb0="00040001" w:csb1="00000000"/>
  </w:font>
  <w:font w:name="等线 Light">
    <w:panose1 w:val="02010600030101010101"/>
    <w:charset w:val="86"/>
    <w:family w:val="auto"/>
    <w:pitch w:val="default"/>
    <w:sig w:usb0="A00002BF" w:usb1="38CF7CFA" w:usb2="00000016" w:usb3="00000000" w:csb0="0004000F" w:csb1="00000000"/>
  </w:font>
  <w:font w:name="Times">
    <w:altName w:val="Sylfaen"/>
    <w:panose1 w:val="02020603050405020304"/>
    <w:charset w:val="00"/>
    <w:family w:val="roman"/>
    <w:pitch w:val="default"/>
    <w:sig w:usb0="00000000" w:usb1="00000000" w:usb2="00000009" w:usb3="00000000" w:csb0="000001FF" w:csb1="00000000"/>
  </w:font>
  <w:font w:name="Sylfaen">
    <w:panose1 w:val="010A0502050306030303"/>
    <w:charset w:val="00"/>
    <w:family w:val="auto"/>
    <w:pitch w:val="default"/>
    <w:sig w:usb0="04000687" w:usb1="00000000" w:usb2="00000000" w:usb3="00000000" w:csb0="2000009F" w:csb1="00000000"/>
  </w:font>
  <w:font w:name="Cambria">
    <w:panose1 w:val="02040503050406030204"/>
    <w:charset w:val="00"/>
    <w:family w:val="roman"/>
    <w:pitch w:val="default"/>
    <w:sig w:usb0="E00006FF" w:usb1="420024FF" w:usb2="02000000" w:usb3="00000000" w:csb0="2000019F" w:csb1="00000000"/>
  </w:font>
  <w:font w:name="方正仿宋_GBK">
    <w:panose1 w:val="03000509000000000000"/>
    <w:charset w:val="86"/>
    <w:family w:val="script"/>
    <w:pitch w:val="default"/>
    <w:sig w:usb0="00000001" w:usb1="080E0000" w:usb2="00000000" w:usb3="00000000" w:csb0="00040000" w:csb1="0000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Microsoft YaHei U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EC4CFC">
    <w:pPr>
      <w:pStyle w:val="19"/>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9B1ADE">
    <w:pPr>
      <w:pStyle w:val="19"/>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18332B">
    <w:pPr>
      <w:pStyle w:val="19"/>
      <w:ind w:firstLine="360"/>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fldSimple w:instr="PAG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FCF3D6">
    <w:pPr>
      <w:pStyle w:val="20"/>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C71610">
    <w:pPr>
      <w:pStyle w:val="20"/>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582D3F">
    <w:pPr>
      <w:pStyle w:val="20"/>
      <w:ind w:firstLine="360"/>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eastAsia="宋体"/>
        <w:b w:val="0"/>
        <w:sz w:val="18"/>
      </w:rPr>
      <w:t>徐州地区110 kV电网容载比弹性指标优化研究</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C5D4B73"/>
    <w:multiLevelType w:val="multilevel"/>
    <w:tmpl w:val="4C5D4B73"/>
    <w:lvl w:ilvl="0" w:tentative="0">
      <w:start w:val="1"/>
      <w:numFmt w:val="decimal"/>
      <w:pStyle w:val="3"/>
      <w:lvlText w:val="%1"/>
      <w:lvlJc w:val="left"/>
      <w:pPr>
        <w:ind w:left="420" w:hanging="420"/>
      </w:pPr>
      <w:rPr>
        <w:rFonts w:hint="default" w:ascii="Times New Roman" w:hAnsi="Times New Roman" w:cs="Times New Roman"/>
      </w:rPr>
    </w:lvl>
    <w:lvl w:ilvl="1" w:tentative="0">
      <w:start w:val="1"/>
      <w:numFmt w:val="decimal"/>
      <w:isLgl/>
      <w:lvlText w:val="%1.%2"/>
      <w:lvlJc w:val="left"/>
      <w:pPr>
        <w:ind w:left="720" w:hanging="720"/>
      </w:pPr>
    </w:lvl>
    <w:lvl w:ilvl="2" w:tentative="0">
      <w:start w:val="1"/>
      <w:numFmt w:val="decimal"/>
      <w:isLgl/>
      <w:lvlText w:val="%1.%2.%3"/>
      <w:lvlJc w:val="left"/>
      <w:pPr>
        <w:ind w:left="720" w:hanging="720"/>
      </w:pPr>
    </w:lvl>
    <w:lvl w:ilvl="3" w:tentative="0">
      <w:start w:val="1"/>
      <w:numFmt w:val="decimal"/>
      <w:isLgl/>
      <w:lvlText w:val="%1.%2.%3.%4"/>
      <w:lvlJc w:val="left"/>
      <w:pPr>
        <w:ind w:left="1080" w:hanging="1080"/>
      </w:pPr>
    </w:lvl>
    <w:lvl w:ilvl="4" w:tentative="0">
      <w:start w:val="1"/>
      <w:numFmt w:val="decimal"/>
      <w:isLgl/>
      <w:lvlText w:val="%1.%2.%3.%4.%5"/>
      <w:lvlJc w:val="left"/>
      <w:pPr>
        <w:ind w:left="1440" w:hanging="1440"/>
      </w:pPr>
    </w:lvl>
    <w:lvl w:ilvl="5" w:tentative="0">
      <w:start w:val="1"/>
      <w:numFmt w:val="decimal"/>
      <w:isLgl/>
      <w:lvlText w:val="%1.%2.%3.%4.%5.%6"/>
      <w:lvlJc w:val="left"/>
      <w:pPr>
        <w:ind w:left="1440" w:hanging="1440"/>
      </w:pPr>
    </w:lvl>
    <w:lvl w:ilvl="6" w:tentative="0">
      <w:start w:val="1"/>
      <w:numFmt w:val="decimal"/>
      <w:isLgl/>
      <w:lvlText w:val="%1.%2.%3.%4.%5.%6.%7"/>
      <w:lvlJc w:val="left"/>
      <w:pPr>
        <w:ind w:left="1800" w:hanging="1800"/>
      </w:pPr>
    </w:lvl>
    <w:lvl w:ilvl="7" w:tentative="0">
      <w:start w:val="1"/>
      <w:numFmt w:val="decimal"/>
      <w:isLgl/>
      <w:lvlText w:val="%1.%2.%3.%4.%5.%6.%7.%8"/>
      <w:lvlJc w:val="left"/>
      <w:pPr>
        <w:ind w:left="2160" w:hanging="2160"/>
      </w:pPr>
    </w:lvl>
    <w:lvl w:ilvl="8" w:tentative="0">
      <w:start w:val="1"/>
      <w:numFmt w:val="decimal"/>
      <w:isLgl/>
      <w:lvlText w:val="%1.%2.%3.%4.%5.%6.%7.%8.%9"/>
      <w:lvlJc w:val="left"/>
      <w:pPr>
        <w:ind w:left="2160" w:hanging="2160"/>
      </w:pPr>
    </w:lvl>
  </w:abstractNum>
  <w:abstractNum w:abstractNumId="1">
    <w:nsid w:val="59C64203"/>
    <w:multiLevelType w:val="multilevel"/>
    <w:tmpl w:val="59C64203"/>
    <w:lvl w:ilvl="0" w:tentative="0">
      <w:start w:val="1"/>
      <w:numFmt w:val="decimal"/>
      <w:pStyle w:val="33"/>
      <w:lvlText w:val="%1."/>
      <w:lvlJc w:val="left"/>
      <w:pPr>
        <w:tabs>
          <w:tab w:val="left" w:pos="720"/>
        </w:tabs>
        <w:ind w:left="720" w:hanging="720"/>
      </w:pPr>
    </w:lvl>
    <w:lvl w:ilvl="1" w:tentative="0">
      <w:start w:val="1"/>
      <w:numFmt w:val="decimal"/>
      <w:lvlText w:val="%2."/>
      <w:lvlJc w:val="left"/>
      <w:pPr>
        <w:tabs>
          <w:tab w:val="left" w:pos="1440"/>
        </w:tabs>
        <w:ind w:left="1440" w:hanging="720"/>
      </w:pPr>
    </w:lvl>
    <w:lvl w:ilvl="2" w:tentative="0">
      <w:start w:val="1"/>
      <w:numFmt w:val="decimal"/>
      <w:lvlText w:val="%3."/>
      <w:lvlJc w:val="left"/>
      <w:pPr>
        <w:tabs>
          <w:tab w:val="left" w:pos="2160"/>
        </w:tabs>
        <w:ind w:left="2160" w:hanging="720"/>
      </w:pPr>
    </w:lvl>
    <w:lvl w:ilvl="3" w:tentative="0">
      <w:start w:val="1"/>
      <w:numFmt w:val="decimal"/>
      <w:lvlText w:val="%4."/>
      <w:lvlJc w:val="left"/>
      <w:pPr>
        <w:tabs>
          <w:tab w:val="left" w:pos="2880"/>
        </w:tabs>
        <w:ind w:left="2880" w:hanging="720"/>
      </w:pPr>
    </w:lvl>
    <w:lvl w:ilvl="4" w:tentative="0">
      <w:start w:val="1"/>
      <w:numFmt w:val="decimal"/>
      <w:lvlText w:val="%5."/>
      <w:lvlJc w:val="left"/>
      <w:pPr>
        <w:tabs>
          <w:tab w:val="left" w:pos="3600"/>
        </w:tabs>
        <w:ind w:left="3600" w:hanging="720"/>
      </w:pPr>
    </w:lvl>
    <w:lvl w:ilvl="5" w:tentative="0">
      <w:start w:val="1"/>
      <w:numFmt w:val="decimal"/>
      <w:lvlText w:val="%6."/>
      <w:lvlJc w:val="left"/>
      <w:pPr>
        <w:tabs>
          <w:tab w:val="left" w:pos="4320"/>
        </w:tabs>
        <w:ind w:left="4320" w:hanging="720"/>
      </w:pPr>
    </w:lvl>
    <w:lvl w:ilvl="6" w:tentative="0">
      <w:start w:val="1"/>
      <w:numFmt w:val="decimal"/>
      <w:lvlText w:val="%7."/>
      <w:lvlJc w:val="left"/>
      <w:pPr>
        <w:tabs>
          <w:tab w:val="left" w:pos="5040"/>
        </w:tabs>
        <w:ind w:left="5040" w:hanging="720"/>
      </w:pPr>
    </w:lvl>
    <w:lvl w:ilvl="7" w:tentative="0">
      <w:start w:val="1"/>
      <w:numFmt w:val="decimal"/>
      <w:lvlText w:val="%8."/>
      <w:lvlJc w:val="left"/>
      <w:pPr>
        <w:tabs>
          <w:tab w:val="left" w:pos="5760"/>
        </w:tabs>
        <w:ind w:left="5760" w:hanging="720"/>
      </w:pPr>
    </w:lvl>
    <w:lvl w:ilvl="8" w:tentative="0">
      <w:start w:val="1"/>
      <w:numFmt w:val="decimal"/>
      <w:lvlText w:val="%9."/>
      <w:lvlJc w:val="left"/>
      <w:pPr>
        <w:tabs>
          <w:tab w:val="left" w:pos="6480"/>
        </w:tabs>
        <w:ind w:left="6480" w:hanging="72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abstractNumId w:val="0"/>
  </w:num>
  <w:num w:numId="2">
    <w:abstractNumId w:val="1"/>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updateFields w:val="fals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qFormat="1"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99"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qFormat="1" w:uiPriority="62"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adjustRightInd w:val="0"/>
      <w:snapToGrid w:val="0"/>
      <w:spacing w:line="300" w:lineRule="auto" w:before="0" w:after="0"/>
      <w:ind w:firstLineChars="200" w:firstLine="480"/>
      <w:jc w:val="both"/>
    </w:pPr>
    <w:rPr>
      <w:rFonts w:ascii="Times New Roman" w:hAnsi="Times New Roman" w:eastAsia="方正仿宋_GBK" w:cstheme="minorBidi"/>
      <w:b w:val="0"/>
      <w:kern w:val="2"/>
      <w:sz w:val="24"/>
      <w:szCs w:val="22"/>
      <w:lang w:val="en-US" w:eastAsia="zh-CN" w:bidi="ar-SA"/>
    </w:rPr>
  </w:style>
  <w:style w:type="paragraph" w:styleId="3">
    <w:name w:val="heading 1"/>
    <w:next w:val="1"/>
    <w:link w:val="36"/>
    <w:qFormat/>
    <w:uiPriority w:val="9"/>
    <w:pPr>
      <w:keepNext/>
      <w:keepLines/>
      <w:spacing w:beforeLines="50" w:afterLines="50" w:line="360" w:lineRule="auto" w:before="0" w:after="120"/>
      <w:ind w:firstLine="0"/>
      <w:outlineLvl w:val="0"/>
    </w:pPr>
    <w:rPr>
      <w:rFonts w:ascii="Times New Roman" w:hAnsi="Times New Roman" w:eastAsia="方正仿宋_GBK" w:cstheme="minorBidi"/>
      <w:b/>
      <w:bCs/>
      <w:kern w:val="44"/>
      <w:sz w:val="36"/>
      <w:szCs w:val="44"/>
      <w:lang w:val="en-US" w:eastAsia="zh-CN" w:bidi="ar-SA"/>
    </w:rPr>
  </w:style>
  <w:style w:type="paragraph" w:styleId="4">
    <w:name w:val="heading 2"/>
    <w:next w:val="3"/>
    <w:link w:val="37"/>
    <w:semiHidden/>
    <w:unhideWhenUsed/>
    <w:qFormat/>
    <w:uiPriority w:val="9"/>
    <w:pPr>
      <w:keepNext/>
      <w:keepLines/>
      <w:spacing w:before="160" w:after="120" w:line="360" w:lineRule="auto"/>
      <w:ind w:firstLine="0"/>
      <w:outlineLvl w:val="1"/>
    </w:pPr>
    <w:rPr>
      <w:rFonts w:ascii="Times New Roman" w:hAnsi="Times New Roman" w:eastAsia="方正仿宋_GBK" w:cstheme="majorBidi"/>
      <w:b/>
      <w:bCs/>
      <w:kern w:val="2"/>
      <w:sz w:val="32"/>
      <w:szCs w:val="32"/>
      <w:lang w:val="en-US" w:eastAsia="zh-CN" w:bidi="ar-SA"/>
    </w:rPr>
  </w:style>
  <w:style w:type="paragraph" w:styleId="5">
    <w:name w:val="heading 3"/>
    <w:basedOn w:val="1"/>
    <w:next w:val="6"/>
    <w:link w:val="38"/>
    <w:semiHidden/>
    <w:unhideWhenUsed/>
    <w:qFormat/>
    <w:uiPriority w:val="9"/>
    <w:pPr>
      <w:keepNext/>
      <w:keepLines/>
      <w:spacing w:beforeLines="50" w:afterLines="50" w:line="360" w:lineRule="auto" w:before="160" w:after="120"/>
      <w:ind w:firstLine="0"/>
      <w:jc w:val="left"/>
      <w:outlineLvl w:val="2"/>
    </w:pPr>
    <w:rPr>
      <w:rFonts w:ascii="Times New Roman" w:hAnsi="Times New Roman" w:eastAsia="方正仿宋_GBK"/>
      <w:b/>
      <w:bCs/>
      <w:sz w:val="26"/>
      <w:szCs w:val="32"/>
    </w:rPr>
  </w:style>
  <w:style w:type="paragraph" w:styleId="7">
    <w:name w:val="heading 4"/>
    <w:basedOn w:val="1"/>
    <w:next w:val="1"/>
    <w:link w:val="39"/>
    <w:semiHidden/>
    <w:unhideWhenUsed/>
    <w:qFormat/>
    <w:uiPriority w:val="9"/>
    <w:pPr>
      <w:keepNext/>
      <w:keepLines/>
      <w:spacing w:before="160" w:after="120" w:line="360" w:lineRule="auto"/>
      <w:ind w:firstLineChars="0" w:firstLine="0"/>
      <w:outlineLvl w:val="3"/>
    </w:pPr>
    <w:rPr>
      <w:rFonts w:cstheme="majorBidi" w:ascii="Times New Roman" w:hAnsi="Times New Roman" w:eastAsia="方正仿宋_GBK"/>
      <w:b/>
      <w:bCs/>
      <w:sz w:val="24"/>
      <w:szCs w:val="28"/>
    </w:rPr>
  </w:style>
  <w:style w:type="paragraph" w:styleId="8">
    <w:name w:val="heading 5"/>
    <w:basedOn w:val="1"/>
    <w:next w:val="1"/>
    <w:link w:val="40"/>
    <w:semiHidden/>
    <w:unhideWhenUsed/>
    <w:qFormat/>
    <w:uiPriority w:val="9"/>
    <w:pPr>
      <w:keepNext/>
      <w:keepLines/>
      <w:spacing w:before="280" w:after="290" w:line="374" w:lineRule="auto"/>
      <w:outlineLvl w:val="4"/>
    </w:pPr>
    <w:rPr>
      <w:b/>
      <w:bCs/>
      <w:szCs w:val="28"/>
    </w:rPr>
  </w:style>
  <w:style w:type="paragraph" w:styleId="9">
    <w:name w:val="heading 6"/>
    <w:basedOn w:val="1"/>
    <w:next w:val="1"/>
    <w:link w:val="41"/>
    <w:semiHidden/>
    <w:unhideWhenUsed/>
    <w:qFormat/>
    <w:uiPriority w:val="9"/>
    <w:pPr>
      <w:keepNext/>
      <w:keepLines/>
      <w:adjustRightInd/>
      <w:snapToGrid/>
      <w:spacing w:before="240" w:after="64" w:line="319" w:lineRule="auto"/>
      <w:outlineLvl w:val="5"/>
    </w:pPr>
    <w:rPr>
      <w:rFonts w:asciiTheme="majorHAnsi" w:hAnsiTheme="majorHAnsi" w:eastAsiaTheme="majorEastAsia" w:cstheme="majorBidi"/>
      <w:b/>
      <w:bCs/>
      <w:szCs w:val="24"/>
    </w:rPr>
  </w:style>
  <w:style w:type="paragraph" w:styleId="10">
    <w:name w:val="heading 7"/>
    <w:basedOn w:val="1"/>
    <w:next w:val="1"/>
    <w:link w:val="42"/>
    <w:semiHidden/>
    <w:unhideWhenUsed/>
    <w:qFormat/>
    <w:uiPriority w:val="9"/>
    <w:pPr>
      <w:keepNext/>
      <w:keepLines/>
      <w:spacing w:before="240" w:after="64" w:line="319" w:lineRule="auto"/>
      <w:outlineLvl w:val="6"/>
    </w:pPr>
    <w:rPr>
      <w:b/>
      <w:bCs/>
      <w:szCs w:val="24"/>
    </w:rPr>
  </w:style>
  <w:style w:type="paragraph" w:styleId="11">
    <w:name w:val="heading 8"/>
    <w:basedOn w:val="1"/>
    <w:next w:val="1"/>
    <w:link w:val="43"/>
    <w:semiHidden/>
    <w:unhideWhenUsed/>
    <w:qFormat/>
    <w:uiPriority w:val="9"/>
    <w:pPr>
      <w:keepNext/>
      <w:keepLines/>
      <w:spacing w:before="240" w:after="64" w:line="319" w:lineRule="auto"/>
      <w:outlineLvl w:val="7"/>
    </w:pPr>
    <w:rPr>
      <w:rFonts w:asciiTheme="majorHAnsi" w:hAnsiTheme="majorHAnsi" w:eastAsiaTheme="majorEastAsia" w:cstheme="majorBidi"/>
      <w:szCs w:val="24"/>
    </w:rPr>
  </w:style>
  <w:style w:type="paragraph" w:styleId="12">
    <w:name w:val="heading 9"/>
    <w:basedOn w:val="1"/>
    <w:next w:val="1"/>
    <w:link w:val="44"/>
    <w:semiHidden/>
    <w:unhideWhenUsed/>
    <w:qFormat/>
    <w:uiPriority w:val="9"/>
    <w:pPr>
      <w:keepNext/>
      <w:keepLines/>
      <w:spacing w:before="240" w:after="64" w:line="319" w:lineRule="auto"/>
      <w:outlineLvl w:val="8"/>
    </w:pPr>
    <w:rPr>
      <w:rFonts w:asciiTheme="majorHAnsi" w:hAnsiTheme="majorHAnsi" w:eastAsiaTheme="majorEastAsia" w:cstheme="majorBidi"/>
      <w:sz w:val="21"/>
      <w:szCs w:val="21"/>
    </w:rPr>
  </w:style>
  <w:style w:type="character" w:default="1" w:styleId="28">
    <w:name w:val="Default Paragraph Font"/>
    <w:semiHidden/>
    <w:unhideWhenUsed/>
    <w:uiPriority w:val="1"/>
  </w:style>
  <w:style w:type="table" w:default="1" w:styleId="25">
    <w:name w:val="Normal Table"/>
    <w:semiHidden/>
    <w:unhideWhenUsed/>
    <w:uiPriority w:val="99"/>
    <w:tblPr>
      <w:tblCellMar>
        <w:top w:w="0" w:type="dxa"/>
        <w:left w:w="108" w:type="dxa"/>
        <w:bottom w:w="0" w:type="dxa"/>
        <w:right w:w="108" w:type="dxa"/>
      </w:tblCellMar>
    </w:tblPr>
  </w:style>
  <w:style w:type="paragraph" w:styleId="2">
    <w:name w:val="Body Text"/>
    <w:basedOn w:val="1"/>
    <w:link w:val="35"/>
    <w:semiHidden/>
    <w:unhideWhenUsed/>
    <w:qFormat/>
    <w:uiPriority w:val="99"/>
    <w:pPr>
      <w:spacing w:after="0" w:line="300" w:lineRule="auto" w:before="0"/>
      <w:ind w:firstLine="480"/>
    </w:pPr>
    <w:rPr>
      <w:rFonts w:ascii="Times New Roman" w:hAnsi="Times New Roman" w:eastAsia="方正仿宋_GBK"/>
      <w:b w:val="0"/>
      <w:sz w:val="24"/>
    </w:rPr>
  </w:style>
  <w:style w:type="paragraph" w:customStyle="1" w:styleId="6">
    <w:name w:val="正文 缩进"/>
    <w:basedOn w:val="1"/>
    <w:qFormat/>
    <w:uiPriority w:val="99"/>
  </w:style>
  <w:style w:type="paragraph" w:styleId="13">
    <w:name w:val="caption"/>
    <w:next w:val="1"/>
    <w:semiHidden/>
    <w:unhideWhenUsed/>
    <w:qFormat/>
    <w:uiPriority w:val="35"/>
    <w:pPr>
      <w:jc w:val="center"/>
    </w:pPr>
    <w:rPr>
      <w:rFonts w:ascii="Times" w:hAnsi="Times" w:eastAsia="仿宋_GB2312" w:cs="Times New Roman"/>
      <w:kern w:val="2"/>
      <w:sz w:val="24"/>
      <w:szCs w:val="32"/>
      <w:lang w:val="en" w:eastAsia="zh-CN" w:bidi="ar-SA"/>
    </w:rPr>
  </w:style>
  <w:style w:type="paragraph" w:styleId="14">
    <w:name w:val="Document Map"/>
    <w:basedOn w:val="1"/>
    <w:link w:val="49"/>
    <w:semiHidden/>
    <w:unhideWhenUsed/>
    <w:qFormat/>
    <w:uiPriority w:val="99"/>
    <w:pPr>
      <w:adjustRightInd/>
      <w:snapToGrid/>
    </w:pPr>
    <w:rPr>
      <w:rFonts w:ascii="宋体" w:eastAsia="宋体" w:hAnsiTheme="minorHAnsi"/>
      <w:sz w:val="18"/>
      <w:szCs w:val="18"/>
    </w:rPr>
  </w:style>
  <w:style w:type="paragraph" w:styleId="15">
    <w:name w:val="annotation text"/>
    <w:basedOn w:val="1"/>
    <w:link w:val="113"/>
    <w:semiHidden/>
    <w:unhideWhenUsed/>
    <w:uiPriority w:val="99"/>
    <w:pPr>
      <w:jc w:val="left"/>
    </w:pPr>
  </w:style>
  <w:style w:type="paragraph" w:styleId="16">
    <w:name w:val="toc 3"/>
    <w:basedOn w:val="1"/>
    <w:next w:val="1"/>
    <w:autoRedefine/>
    <w:semiHidden/>
    <w:unhideWhenUsed/>
    <w:qFormat/>
    <w:uiPriority w:val="39"/>
    <w:pPr>
      <w:ind w:left="840" w:leftChars="400"/>
    </w:pPr>
  </w:style>
  <w:style w:type="paragraph" w:styleId="17">
    <w:name w:val="Date"/>
    <w:basedOn w:val="1"/>
    <w:next w:val="1"/>
    <w:link w:val="48"/>
    <w:semiHidden/>
    <w:unhideWhenUsed/>
    <w:qFormat/>
    <w:uiPriority w:val="99"/>
    <w:pPr>
      <w:ind w:left="100" w:leftChars="2500"/>
    </w:pPr>
  </w:style>
  <w:style w:type="paragraph" w:styleId="18">
    <w:name w:val="Balloon Text"/>
    <w:basedOn w:val="1"/>
    <w:link w:val="50"/>
    <w:semiHidden/>
    <w:unhideWhenUsed/>
    <w:qFormat/>
    <w:uiPriority w:val="99"/>
    <w:rPr>
      <w:sz w:val="18"/>
      <w:szCs w:val="18"/>
    </w:rPr>
  </w:style>
  <w:style w:type="paragraph" w:styleId="19">
    <w:name w:val="footer"/>
    <w:basedOn w:val="1"/>
    <w:link w:val="47"/>
    <w:unhideWhenUsed/>
    <w:qFormat/>
    <w:uiPriority w:val="99"/>
    <w:pPr>
      <w:tabs>
        <w:tab w:val="center" w:pos="4153"/>
        <w:tab w:val="right" w:pos="8306"/>
      </w:tabs>
      <w:spacing w:line="240" w:lineRule="atLeast"/>
      <w:jc w:val="left"/>
    </w:pPr>
    <w:rPr>
      <w:sz w:val="18"/>
      <w:szCs w:val="18"/>
    </w:rPr>
  </w:style>
  <w:style w:type="paragraph" w:styleId="20">
    <w:name w:val="header"/>
    <w:basedOn w:val="1"/>
    <w:link w:val="46"/>
    <w:unhideWhenUsed/>
    <w:qFormat/>
    <w:uiPriority w:val="99"/>
    <w:pPr>
      <w:pBdr>
        <w:bottom w:val="single" w:color="auto" w:sz="6" w:space="1"/>
      </w:pBdr>
      <w:tabs>
        <w:tab w:val="center" w:pos="4153"/>
        <w:tab w:val="right" w:pos="8306"/>
      </w:tabs>
      <w:spacing w:line="240" w:lineRule="atLeast"/>
      <w:jc w:val="center"/>
    </w:pPr>
    <w:rPr>
      <w:sz w:val="18"/>
      <w:szCs w:val="18"/>
    </w:rPr>
  </w:style>
  <w:style w:type="paragraph" w:styleId="21">
    <w:name w:val="toc 1"/>
    <w:basedOn w:val="1"/>
    <w:next w:val="1"/>
    <w:autoRedefine/>
    <w:unhideWhenUsed/>
    <w:qFormat/>
    <w:uiPriority w:val="39"/>
    <w:pPr>
      <w:tabs>
        <w:tab w:val="left" w:pos="0"/>
        <w:tab w:val="right" w:leader="dot" w:pos="8302"/>
      </w:tabs>
      <w:spacing w:line="360" w:lineRule="auto"/>
      <w:ind w:firstLine="0" w:firstLineChars="0"/>
    </w:pPr>
    <w:rPr>
      <w:rFonts w:eastAsia="黑体" w:cs="Times New Roman"/>
      <w:sz w:val="28"/>
    </w:rPr>
  </w:style>
  <w:style w:type="paragraph" w:styleId="22">
    <w:name w:val="toc 2"/>
    <w:basedOn w:val="1"/>
    <w:next w:val="1"/>
    <w:autoRedefine/>
    <w:unhideWhenUsed/>
    <w:qFormat/>
    <w:uiPriority w:val="39"/>
    <w:pPr>
      <w:tabs>
        <w:tab w:val="left" w:pos="1120"/>
        <w:tab w:val="right" w:leader="dot" w:pos="8296"/>
      </w:tabs>
      <w:spacing w:line="360" w:lineRule="auto"/>
      <w:ind w:left="640" w:leftChars="200" w:firstLine="0" w:firstLineChars="0"/>
    </w:pPr>
  </w:style>
  <w:style w:type="paragraph" w:styleId="23">
    <w:name w:val="Normal (Web)"/>
    <w:basedOn w:val="1"/>
    <w:semiHidden/>
    <w:unhideWhenUsed/>
    <w:qFormat/>
    <w:uiPriority w:val="99"/>
    <w:pPr>
      <w:widowControl/>
      <w:adjustRightInd/>
      <w:snapToGrid/>
      <w:spacing w:before="100" w:beforeAutospacing="1" w:after="100" w:afterAutospacing="1"/>
      <w:jc w:val="left"/>
    </w:pPr>
    <w:rPr>
      <w:rFonts w:ascii="宋体" w:hAnsi="宋体" w:eastAsia="宋体" w:cs="宋体"/>
      <w:kern w:val="0"/>
      <w:szCs w:val="24"/>
    </w:rPr>
  </w:style>
  <w:style w:type="paragraph" w:styleId="24">
    <w:name w:val="annotation subject"/>
    <w:basedOn w:val="15"/>
    <w:next w:val="15"/>
    <w:link w:val="114"/>
    <w:semiHidden/>
    <w:unhideWhenUsed/>
    <w:uiPriority w:val="99"/>
    <w:rPr>
      <w:b/>
      <w:bCs/>
    </w:rPr>
  </w:style>
  <w:style w:type="table" w:styleId="26">
    <w:name w:val="Table Grid"/>
    <w:basedOn w:val="25"/>
    <w:qFormat/>
    <w:uiPriority w:val="99"/>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27">
    <w:name w:val="Light Grid Accent 1"/>
    <w:basedOn w:val="25"/>
    <w:semiHidden/>
    <w:unhideWhenUsed/>
    <w:qFormat/>
    <w:uiPriority w:val="62"/>
    <w:rPr>
      <w:rFonts w:ascii="Times New Roman" w:hAnsi="Times New Roman" w:eastAsia="宋体" w:cs="Times New Roman"/>
      <w:kern w:val="0"/>
      <w:sz w:val="20"/>
      <w:szCs w:val="2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beforeLines="0" w:beforeAutospacing="0" w:after="0" w:afterLines="0" w:afterAutospacing="0" w:line="240" w:lineRule="auto"/>
      </w:pPr>
      <w:rPr>
        <w:rFonts w:hint="default" w:ascii="Cambria" w:hAnsi="Cambria" w:eastAsia="宋体" w:cs="Times New Roman"/>
        <w:b/>
        <w:bCs/>
      </w:rPr>
      <w:tblPr/>
      <w:tcPr>
        <w:tcBorders>
          <w:top w:val="single" w:color="4F81BD" w:sz="8" w:space="0"/>
          <w:left w:val="single" w:color="4F81BD" w:sz="8" w:space="0"/>
          <w:bottom w:val="single" w:color="4F81BD" w:sz="18" w:space="0"/>
          <w:right w:val="single" w:color="4F81BD" w:sz="8" w:space="0"/>
          <w:insideH w:val="nil"/>
          <w:insideV w:val="single" w:sz="8" w:space="0"/>
          <w:tl2br w:val="nil"/>
          <w:tr2bl w:val="nil"/>
        </w:tcBorders>
      </w:tcPr>
    </w:tblStylePr>
    <w:tblStylePr w:type="lastRow">
      <w:pPr>
        <w:spacing w:before="0" w:beforeLines="0" w:beforeAutospacing="0" w:after="0" w:afterLines="0" w:afterAutospacing="0" w:line="240" w:lineRule="auto"/>
      </w:pPr>
      <w:rPr>
        <w:rFonts w:hint="default" w:ascii="Cambria" w:hAnsi="Cambria" w:eastAsia="宋体"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l2br w:val="nil"/>
          <w:tr2bl w:val="nil"/>
        </w:tcBorders>
      </w:tcPr>
    </w:tblStylePr>
    <w:tblStylePr w:type="firstCol">
      <w:rPr>
        <w:rFonts w:hint="default" w:ascii="Cambria" w:hAnsi="Cambria" w:eastAsia="宋体" w:cs="Times New Roman"/>
        <w:b/>
        <w:bCs/>
      </w:rPr>
    </w:tblStylePr>
    <w:tblStylePr w:type="lastCol">
      <w:rPr>
        <w:rFonts w:hint="default" w:ascii="Cambria" w:hAnsi="Cambria" w:eastAsia="宋体" w:cs="Times New Roman"/>
        <w:b/>
        <w:bCs/>
      </w:rPr>
      <w:tblPr/>
      <w:tcPr>
        <w:tcBorders>
          <w:top w:val="single" w:color="4F81BD" w:sz="8" w:space="0"/>
          <w:left w:val="single" w:color="4F81BD" w:sz="8" w:space="0"/>
          <w:bottom w:val="single" w:color="4F81BD" w:sz="8" w:space="0"/>
          <w:right w:val="single" w:color="4F81BD" w:sz="8" w:space="0"/>
          <w:insideH w:val="nil"/>
          <w:insideV w:val="nil"/>
          <w:tl2br w:val="nil"/>
          <w:tr2bl w:val="nil"/>
        </w:tcBorders>
      </w:tcPr>
    </w:tblStylePr>
    <w:tblStylePr w:type="band1Vert">
      <w:tblPr/>
      <w:tcPr>
        <w:tcBorders>
          <w:top w:val="single" w:color="4F81BD" w:sz="8" w:space="0"/>
          <w:left w:val="single" w:color="4F81BD" w:sz="8" w:space="0"/>
          <w:bottom w:val="single" w:color="4F81BD" w:sz="8" w:space="0"/>
          <w:right w:val="single" w:color="4F81BD" w:sz="8" w:space="0"/>
          <w:insideH w:val="nil"/>
          <w:insideV w:val="nil"/>
          <w:tl2br w:val="nil"/>
          <w:tr2bl w:val="nil"/>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tcPr>
    </w:tblStylePr>
  </w:style>
  <w:style w:type="character" w:styleId="29">
    <w:name w:val="Strong"/>
    <w:basedOn w:val="28"/>
    <w:qFormat/>
    <w:uiPriority w:val="22"/>
    <w:rPr>
      <w:b/>
      <w:bCs/>
    </w:rPr>
  </w:style>
  <w:style w:type="character" w:styleId="30">
    <w:name w:val="FollowedHyperlink"/>
    <w:basedOn w:val="28"/>
    <w:semiHidden/>
    <w:unhideWhenUsed/>
    <w:qFormat/>
    <w:uiPriority w:val="99"/>
    <w:rPr>
      <w:color w:val="800080"/>
      <w:u w:val="single"/>
    </w:rPr>
  </w:style>
  <w:style w:type="character" w:styleId="31">
    <w:name w:val="Hyperlink"/>
    <w:basedOn w:val="28"/>
    <w:unhideWhenUsed/>
    <w:qFormat/>
    <w:uiPriority w:val="99"/>
    <w:rPr>
      <w:color w:val="000000"/>
      <w:u w:val="single"/>
    </w:rPr>
  </w:style>
  <w:style w:type="character" w:styleId="32">
    <w:name w:val="annotation reference"/>
    <w:basedOn w:val="28"/>
    <w:semiHidden/>
    <w:unhideWhenUsed/>
    <w:uiPriority w:val="99"/>
    <w:rPr>
      <w:sz w:val="21"/>
      <w:szCs w:val="21"/>
    </w:rPr>
  </w:style>
  <w:style w:type="paragraph" w:customStyle="1" w:styleId="33">
    <w:name w:val="参考文献"/>
    <w:basedOn w:val="2"/>
    <w:link w:val="34"/>
    <w:autoRedefine/>
    <w:qFormat/>
    <w:uiPriority w:val="0"/>
    <w:pPr>
      <w:widowControl/>
      <w:numPr>
        <w:ilvl w:val="0"/>
        <w:numId w:val="2"/>
      </w:numPr>
      <w:wordWrap w:val="0"/>
      <w:topLinePunct/>
      <w:autoSpaceDE w:val="0"/>
      <w:spacing w:before="180" w:after="180"/>
      <w:ind w:left="420" w:hanging="420"/>
    </w:pPr>
    <w:rPr>
      <w:rFonts w:eastAsia="宋体"/>
    </w:rPr>
  </w:style>
  <w:style w:type="character" w:customStyle="1" w:styleId="34">
    <w:name w:val="参考文献 字符"/>
    <w:basedOn w:val="35"/>
    <w:link w:val="33"/>
    <w:uiPriority w:val="0"/>
    <w:rPr>
      <w:rFonts w:ascii="Times New Roman" w:hAnsi="Times New Roman" w:eastAsia="宋体"/>
    </w:rPr>
  </w:style>
  <w:style w:type="character" w:customStyle="1" w:styleId="35">
    <w:name w:val="正文文本 字符"/>
    <w:basedOn w:val="28"/>
    <w:link w:val="2"/>
    <w:semiHidden/>
    <w:uiPriority w:val="99"/>
  </w:style>
  <w:style w:type="character" w:customStyle="1" w:styleId="36">
    <w:name w:val="标题 1 字符"/>
    <w:basedOn w:val="28"/>
    <w:link w:val="3"/>
    <w:qFormat/>
    <w:uiPriority w:val="9"/>
    <w:rPr>
      <w:rFonts w:ascii="仿宋_GB2312" w:hAnsi="仿宋" w:eastAsia="仿宋_GB2312"/>
      <w:b/>
      <w:bCs/>
      <w:kern w:val="44"/>
      <w:sz w:val="36"/>
      <w:szCs w:val="44"/>
    </w:rPr>
  </w:style>
  <w:style w:type="character" w:customStyle="1" w:styleId="37">
    <w:name w:val="标题 2 字符"/>
    <w:basedOn w:val="28"/>
    <w:link w:val="4"/>
    <w:semiHidden/>
    <w:qFormat/>
    <w:uiPriority w:val="9"/>
    <w:rPr>
      <w:rFonts w:ascii="Times New Roman" w:hAnsi="Times New Roman" w:eastAsia="仿宋_GB2312" w:cstheme="majorBidi"/>
      <w:b/>
      <w:bCs/>
      <w:sz w:val="32"/>
      <w:szCs w:val="32"/>
    </w:rPr>
  </w:style>
  <w:style w:type="character" w:customStyle="1" w:styleId="38">
    <w:name w:val="标题 3 字符"/>
    <w:basedOn w:val="28"/>
    <w:link w:val="5"/>
    <w:semiHidden/>
    <w:qFormat/>
    <w:uiPriority w:val="9"/>
    <w:rPr>
      <w:rFonts w:ascii="Times New Roman" w:hAnsi="Times New Roman" w:eastAsia="仿宋_GB2312"/>
      <w:b/>
      <w:bCs/>
      <w:sz w:val="32"/>
      <w:szCs w:val="32"/>
    </w:rPr>
  </w:style>
  <w:style w:type="character" w:customStyle="1" w:styleId="39">
    <w:name w:val="标题 4 字符"/>
    <w:basedOn w:val="28"/>
    <w:link w:val="7"/>
    <w:semiHidden/>
    <w:qFormat/>
    <w:uiPriority w:val="9"/>
    <w:rPr>
      <w:rFonts w:ascii="Times New Roman" w:hAnsi="Times New Roman" w:eastAsia="仿宋_GB2312" w:cstheme="majorBidi"/>
      <w:b/>
      <w:bCs/>
      <w:sz w:val="32"/>
      <w:szCs w:val="28"/>
    </w:rPr>
  </w:style>
  <w:style w:type="character" w:customStyle="1" w:styleId="40">
    <w:name w:val="标题 5 字符"/>
    <w:basedOn w:val="28"/>
    <w:link w:val="8"/>
    <w:semiHidden/>
    <w:qFormat/>
    <w:uiPriority w:val="9"/>
    <w:rPr>
      <w:rFonts w:ascii="Times New Roman" w:hAnsi="Times New Roman" w:eastAsia="仿宋_GB2312"/>
      <w:b/>
      <w:bCs/>
      <w:sz w:val="32"/>
      <w:szCs w:val="28"/>
    </w:rPr>
  </w:style>
  <w:style w:type="character" w:customStyle="1" w:styleId="41">
    <w:name w:val="标题 6 字符"/>
    <w:basedOn w:val="28"/>
    <w:link w:val="9"/>
    <w:semiHidden/>
    <w:qFormat/>
    <w:uiPriority w:val="9"/>
    <w:rPr>
      <w:rFonts w:asciiTheme="majorHAnsi" w:hAnsiTheme="majorHAnsi" w:eastAsiaTheme="majorEastAsia" w:cstheme="majorBidi"/>
      <w:b/>
      <w:bCs/>
      <w:sz w:val="24"/>
      <w:szCs w:val="24"/>
    </w:rPr>
  </w:style>
  <w:style w:type="character" w:customStyle="1" w:styleId="42">
    <w:name w:val="标题 7 字符"/>
    <w:basedOn w:val="28"/>
    <w:link w:val="10"/>
    <w:semiHidden/>
    <w:qFormat/>
    <w:uiPriority w:val="9"/>
    <w:rPr>
      <w:rFonts w:ascii="Times New Roman" w:hAnsi="Times New Roman" w:eastAsia="仿宋_GB2312"/>
      <w:b/>
      <w:bCs/>
      <w:sz w:val="24"/>
      <w:szCs w:val="24"/>
    </w:rPr>
  </w:style>
  <w:style w:type="character" w:customStyle="1" w:styleId="43">
    <w:name w:val="标题 8 字符"/>
    <w:basedOn w:val="28"/>
    <w:link w:val="11"/>
    <w:semiHidden/>
    <w:qFormat/>
    <w:uiPriority w:val="9"/>
    <w:rPr>
      <w:rFonts w:asciiTheme="majorHAnsi" w:hAnsiTheme="majorHAnsi" w:eastAsiaTheme="majorEastAsia" w:cstheme="majorBidi"/>
      <w:sz w:val="24"/>
      <w:szCs w:val="24"/>
    </w:rPr>
  </w:style>
  <w:style w:type="character" w:customStyle="1" w:styleId="44">
    <w:name w:val="标题 9 字符"/>
    <w:basedOn w:val="28"/>
    <w:link w:val="12"/>
    <w:semiHidden/>
    <w:qFormat/>
    <w:uiPriority w:val="9"/>
    <w:rPr>
      <w:rFonts w:asciiTheme="majorHAnsi" w:hAnsiTheme="majorHAnsi" w:eastAsiaTheme="majorEastAsia" w:cstheme="majorBidi"/>
      <w:szCs w:val="21"/>
    </w:rPr>
  </w:style>
  <w:style w:type="paragraph" w:customStyle="1" w:styleId="45">
    <w:name w:val="msonormal"/>
    <w:basedOn w:val="1"/>
    <w:qFormat/>
    <w:uiPriority w:val="99"/>
    <w:pPr>
      <w:widowControl/>
      <w:adjustRightInd/>
      <w:snapToGrid/>
      <w:spacing w:before="100" w:beforeAutospacing="1" w:after="100" w:afterAutospacing="1"/>
      <w:jc w:val="left"/>
    </w:pPr>
    <w:rPr>
      <w:rFonts w:ascii="宋体" w:hAnsi="宋体" w:eastAsia="宋体" w:cs="宋体"/>
      <w:kern w:val="0"/>
      <w:szCs w:val="24"/>
    </w:rPr>
  </w:style>
  <w:style w:type="character" w:customStyle="1" w:styleId="46">
    <w:name w:val="页眉 字符"/>
    <w:basedOn w:val="28"/>
    <w:link w:val="20"/>
    <w:qFormat/>
    <w:uiPriority w:val="99"/>
    <w:rPr>
      <w:rFonts w:ascii="Times New Roman" w:hAnsi="Times New Roman" w:eastAsia="仿宋_GB2312"/>
      <w:sz w:val="18"/>
      <w:szCs w:val="18"/>
    </w:rPr>
  </w:style>
  <w:style w:type="character" w:customStyle="1" w:styleId="47">
    <w:name w:val="页脚 字符"/>
    <w:basedOn w:val="28"/>
    <w:link w:val="19"/>
    <w:qFormat/>
    <w:uiPriority w:val="99"/>
    <w:rPr>
      <w:rFonts w:ascii="Times New Roman" w:hAnsi="Times New Roman" w:eastAsia="仿宋_GB2312"/>
      <w:sz w:val="18"/>
      <w:szCs w:val="18"/>
    </w:rPr>
  </w:style>
  <w:style w:type="character" w:customStyle="1" w:styleId="48">
    <w:name w:val="日期 字符"/>
    <w:basedOn w:val="28"/>
    <w:link w:val="17"/>
    <w:semiHidden/>
    <w:qFormat/>
    <w:uiPriority w:val="99"/>
    <w:rPr>
      <w:rFonts w:ascii="Times New Roman" w:hAnsi="Times New Roman" w:eastAsia="仿宋_GB2312"/>
      <w:sz w:val="32"/>
    </w:rPr>
  </w:style>
  <w:style w:type="character" w:customStyle="1" w:styleId="49">
    <w:name w:val="文档结构图 字符"/>
    <w:basedOn w:val="28"/>
    <w:link w:val="14"/>
    <w:semiHidden/>
    <w:qFormat/>
    <w:uiPriority w:val="99"/>
    <w:rPr>
      <w:rFonts w:ascii="宋体" w:eastAsia="宋体"/>
      <w:sz w:val="18"/>
      <w:szCs w:val="18"/>
    </w:rPr>
  </w:style>
  <w:style w:type="character" w:customStyle="1" w:styleId="50">
    <w:name w:val="批注框文本 字符"/>
    <w:basedOn w:val="28"/>
    <w:link w:val="18"/>
    <w:semiHidden/>
    <w:qFormat/>
    <w:uiPriority w:val="99"/>
    <w:rPr>
      <w:rFonts w:ascii="Times New Roman" w:hAnsi="Times New Roman" w:eastAsia="仿宋_GB2312"/>
      <w:sz w:val="18"/>
      <w:szCs w:val="18"/>
    </w:rPr>
  </w:style>
  <w:style w:type="paragraph" w:styleId="51">
    <w:name w:val="No Spacing"/>
    <w:qFormat/>
    <w:uiPriority w:val="1"/>
    <w:pPr>
      <w:widowControl w:val="0"/>
      <w:jc w:val="both"/>
    </w:pPr>
    <w:rPr>
      <w:rFonts w:eastAsia="仿宋" w:asciiTheme="minorHAnsi" w:hAnsiTheme="minorHAnsi" w:cstheme="minorBidi"/>
      <w:kern w:val="2"/>
      <w:sz w:val="21"/>
      <w:szCs w:val="22"/>
      <w:lang w:val="en-US" w:eastAsia="zh-CN" w:bidi="ar-SA"/>
    </w:rPr>
  </w:style>
  <w:style w:type="character" w:customStyle="1" w:styleId="52">
    <w:name w:val="列表段落 字符"/>
    <w:link w:val="53"/>
    <w:qFormat/>
    <w:locked/>
    <w:uiPriority w:val="34"/>
    <w:rPr>
      <w:rFonts w:ascii="仿宋_GB2312" w:eastAsia="仿宋_GB2312"/>
      <w:sz w:val="32"/>
      <w:szCs w:val="32"/>
    </w:rPr>
  </w:style>
  <w:style w:type="paragraph" w:styleId="53">
    <w:name w:val="List Paragraph"/>
    <w:link w:val="52"/>
    <w:qFormat/>
    <w:uiPriority w:val="34"/>
    <w:pPr>
      <w:spacing w:line="580" w:lineRule="exact"/>
      <w:ind w:firstLine="643" w:firstLineChars="200"/>
    </w:pPr>
    <w:rPr>
      <w:rFonts w:ascii="仿宋_GB2312" w:eastAsia="仿宋_GB2312" w:hAnsiTheme="minorHAnsi" w:cstheme="minorBidi"/>
      <w:kern w:val="2"/>
      <w:sz w:val="32"/>
      <w:szCs w:val="32"/>
      <w:lang w:val="en-US" w:eastAsia="zh-CN" w:bidi="ar-SA"/>
    </w:rPr>
  </w:style>
  <w:style w:type="character" w:customStyle="1" w:styleId="54">
    <w:name w:val="图片 Char"/>
    <w:link w:val="55"/>
    <w:qFormat/>
    <w:locked/>
    <w:uiPriority w:val="0"/>
    <w:rPr>
      <w:rFonts w:ascii="仿宋_GB2312" w:eastAsia="仿宋_GB2312"/>
      <w:sz w:val="32"/>
    </w:rPr>
  </w:style>
  <w:style w:type="paragraph" w:customStyle="1" w:styleId="55">
    <w:name w:val="图片"/>
    <w:link w:val="54"/>
    <w:qFormat/>
    <w:uiPriority w:val="0"/>
    <w:pPr>
      <w:jc w:val="center"/>
    </w:pPr>
    <w:rPr>
      <w:rFonts w:ascii="仿宋_GB2312" w:eastAsia="仿宋_GB2312" w:hAnsiTheme="minorHAnsi" w:cstheme="minorBidi"/>
      <w:kern w:val="2"/>
      <w:sz w:val="32"/>
      <w:szCs w:val="22"/>
      <w:lang w:val="en-US" w:eastAsia="zh-CN" w:bidi="ar-SA"/>
    </w:rPr>
  </w:style>
  <w:style w:type="paragraph" w:customStyle="1" w:styleId="56">
    <w:name w:val="TOC 标题1"/>
    <w:basedOn w:val="3"/>
    <w:next w:val="1"/>
    <w:qFormat/>
    <w:uiPriority w:val="39"/>
    <w:pPr>
      <w:spacing w:before="240" w:beforeLines="0" w:afterLines="0" w:line="256" w:lineRule="auto"/>
      <w:outlineLvl w:val="9"/>
    </w:pPr>
    <w:rPr>
      <w:rFonts w:asciiTheme="majorHAnsi" w:hAnsiTheme="majorHAnsi" w:eastAsiaTheme="majorEastAsia" w:cstheme="majorBidi"/>
      <w:b w:val="0"/>
      <w:bCs w:val="0"/>
      <w:color w:val="2F5597" w:themeColor="accent1" w:themeShade="BF"/>
      <w:kern w:val="0"/>
      <w:sz w:val="32"/>
      <w:szCs w:val="32"/>
    </w:rPr>
  </w:style>
  <w:style w:type="paragraph" w:customStyle="1" w:styleId="57">
    <w:name w:val="_Style 40"/>
    <w:basedOn w:val="1"/>
    <w:next w:val="53"/>
    <w:qFormat/>
    <w:uiPriority w:val="99"/>
    <w:pPr>
      <w:adjustRightInd/>
      <w:snapToGrid/>
      <w:ind w:firstLine="420"/>
    </w:pPr>
    <w:rPr>
      <w:rFonts w:ascii="Calibri" w:hAnsi="Calibri" w:eastAsia="宋体" w:cs="Times New Roman"/>
      <w:sz w:val="21"/>
      <w:szCs w:val="24"/>
    </w:rPr>
  </w:style>
  <w:style w:type="paragraph" w:customStyle="1" w:styleId="58">
    <w:name w:val="正文段落"/>
    <w:basedOn w:val="1"/>
    <w:qFormat/>
    <w:uiPriority w:val="99"/>
    <w:pPr>
      <w:adjustRightInd/>
      <w:snapToGrid/>
    </w:pPr>
    <w:rPr>
      <w:rFonts w:cs="Times New Roman"/>
      <w:szCs w:val="20"/>
    </w:rPr>
  </w:style>
  <w:style w:type="paragraph" w:customStyle="1" w:styleId="59">
    <w:name w:val="普通(网站)1"/>
    <w:basedOn w:val="1"/>
    <w:qFormat/>
    <w:uiPriority w:val="99"/>
    <w:pPr>
      <w:widowControl/>
      <w:adjustRightInd/>
      <w:snapToGrid/>
      <w:spacing w:before="100" w:beforeAutospacing="1" w:after="100" w:afterAutospacing="1"/>
      <w:jc w:val="left"/>
    </w:pPr>
    <w:rPr>
      <w:rFonts w:ascii="宋体" w:hAnsi="宋体" w:eastAsia="宋体" w:cs="宋体"/>
      <w:kern w:val="0"/>
      <w:szCs w:val="24"/>
    </w:rPr>
  </w:style>
  <w:style w:type="paragraph" w:customStyle="1" w:styleId="60">
    <w:name w:val="p0"/>
    <w:basedOn w:val="1"/>
    <w:qFormat/>
    <w:uiPriority w:val="99"/>
    <w:pPr>
      <w:widowControl/>
      <w:adjustRightInd/>
      <w:snapToGrid/>
    </w:pPr>
    <w:rPr>
      <w:rFonts w:eastAsia="宋体" w:cs="Times New Roman"/>
      <w:kern w:val="0"/>
      <w:sz w:val="21"/>
      <w:szCs w:val="20"/>
    </w:rPr>
  </w:style>
  <w:style w:type="paragraph" w:customStyle="1" w:styleId="61">
    <w:name w:val="xl102"/>
    <w:basedOn w:val="1"/>
    <w:qFormat/>
    <w:uiPriority w:val="99"/>
    <w:pPr>
      <w:widowControl/>
      <w:adjustRightInd/>
      <w:snapToGrid/>
      <w:spacing w:before="100" w:beforeAutospacing="1" w:after="100" w:afterAutospacing="1"/>
      <w:jc w:val="left"/>
    </w:pPr>
    <w:rPr>
      <w:rFonts w:ascii="黑体" w:hAnsi="黑体" w:eastAsia="黑体" w:cs="宋体"/>
      <w:color w:val="000000"/>
      <w:kern w:val="0"/>
      <w:szCs w:val="24"/>
    </w:rPr>
  </w:style>
  <w:style w:type="paragraph" w:customStyle="1" w:styleId="62">
    <w:name w:val="xl103"/>
    <w:basedOn w:val="1"/>
    <w:qFormat/>
    <w:uiPriority w:val="99"/>
    <w:pPr>
      <w:widowControl/>
      <w:adjustRightInd/>
      <w:snapToGrid/>
      <w:spacing w:before="100" w:beforeAutospacing="1" w:after="100" w:afterAutospacing="1"/>
      <w:jc w:val="center"/>
    </w:pPr>
    <w:rPr>
      <w:rFonts w:ascii="黑体" w:hAnsi="黑体" w:eastAsia="黑体" w:cs="宋体"/>
      <w:color w:val="000000"/>
      <w:kern w:val="0"/>
      <w:szCs w:val="24"/>
    </w:rPr>
  </w:style>
  <w:style w:type="paragraph" w:customStyle="1" w:styleId="63">
    <w:name w:val="xl104"/>
    <w:basedOn w:val="1"/>
    <w:qFormat/>
    <w:uiPriority w:val="99"/>
    <w:pPr>
      <w:widowControl/>
      <w:adjustRightInd/>
      <w:snapToGrid/>
      <w:spacing w:before="100" w:beforeAutospacing="1" w:after="100" w:afterAutospacing="1"/>
      <w:jc w:val="left"/>
    </w:pPr>
    <w:rPr>
      <w:rFonts w:ascii="黑体" w:hAnsi="黑体" w:eastAsia="黑体" w:cs="宋体"/>
      <w:color w:val="000000"/>
      <w:kern w:val="0"/>
      <w:szCs w:val="24"/>
    </w:rPr>
  </w:style>
  <w:style w:type="paragraph" w:customStyle="1" w:styleId="64">
    <w:name w:val="xl105"/>
    <w:basedOn w:val="1"/>
    <w:qFormat/>
    <w:uiPriority w:val="99"/>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pPr>
    <w:rPr>
      <w:rFonts w:ascii="黑体" w:hAnsi="黑体" w:eastAsia="黑体" w:cs="宋体"/>
      <w:b/>
      <w:bCs/>
      <w:kern w:val="0"/>
      <w:szCs w:val="24"/>
    </w:rPr>
  </w:style>
  <w:style w:type="paragraph" w:customStyle="1" w:styleId="65">
    <w:name w:val="xl106"/>
    <w:basedOn w:val="1"/>
    <w:qFormat/>
    <w:uiPriority w:val="99"/>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center"/>
    </w:pPr>
    <w:rPr>
      <w:rFonts w:ascii="黑体" w:hAnsi="黑体" w:eastAsia="黑体" w:cs="宋体"/>
      <w:b/>
      <w:bCs/>
      <w:kern w:val="0"/>
      <w:szCs w:val="24"/>
    </w:rPr>
  </w:style>
  <w:style w:type="paragraph" w:customStyle="1" w:styleId="66">
    <w:name w:val="xl107"/>
    <w:basedOn w:val="1"/>
    <w:qFormat/>
    <w:uiPriority w:val="99"/>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pPr>
    <w:rPr>
      <w:rFonts w:ascii="黑体" w:hAnsi="黑体" w:eastAsia="黑体" w:cs="宋体"/>
      <w:b/>
      <w:bCs/>
      <w:kern w:val="0"/>
      <w:szCs w:val="24"/>
    </w:rPr>
  </w:style>
  <w:style w:type="paragraph" w:customStyle="1" w:styleId="67">
    <w:name w:val="xl108"/>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BDD7EE"/>
      <w:adjustRightInd/>
      <w:snapToGrid/>
      <w:spacing w:before="100" w:beforeAutospacing="1" w:after="100" w:afterAutospacing="1"/>
      <w:jc w:val="center"/>
    </w:pPr>
    <w:rPr>
      <w:rFonts w:ascii="黑体" w:hAnsi="黑体" w:eastAsia="黑体" w:cs="宋体"/>
      <w:b/>
      <w:bCs/>
      <w:kern w:val="0"/>
      <w:szCs w:val="24"/>
    </w:rPr>
  </w:style>
  <w:style w:type="paragraph" w:customStyle="1" w:styleId="68">
    <w:name w:val="xl109"/>
    <w:basedOn w:val="1"/>
    <w:qFormat/>
    <w:uiPriority w:val="99"/>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pPr>
    <w:rPr>
      <w:rFonts w:ascii="黑体" w:hAnsi="黑体" w:eastAsia="黑体" w:cs="宋体"/>
      <w:b/>
      <w:bCs/>
      <w:kern w:val="0"/>
      <w:szCs w:val="24"/>
    </w:rPr>
  </w:style>
  <w:style w:type="paragraph" w:customStyle="1" w:styleId="69">
    <w:name w:val="xl110"/>
    <w:basedOn w:val="1"/>
    <w:qFormat/>
    <w:uiPriority w:val="99"/>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pPr>
    <w:rPr>
      <w:rFonts w:ascii="黑体" w:hAnsi="黑体" w:eastAsia="黑体" w:cs="宋体"/>
      <w:kern w:val="0"/>
      <w:szCs w:val="24"/>
    </w:rPr>
  </w:style>
  <w:style w:type="paragraph" w:customStyle="1" w:styleId="70">
    <w:name w:val="xl111"/>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napToGrid/>
      <w:spacing w:before="100" w:beforeAutospacing="1" w:after="100" w:afterAutospacing="1"/>
      <w:jc w:val="left"/>
    </w:pPr>
    <w:rPr>
      <w:rFonts w:ascii="黑体" w:hAnsi="黑体" w:eastAsia="黑体" w:cs="宋体"/>
      <w:kern w:val="0"/>
      <w:szCs w:val="24"/>
    </w:rPr>
  </w:style>
  <w:style w:type="paragraph" w:customStyle="1" w:styleId="71">
    <w:name w:val="xl112"/>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napToGrid/>
      <w:spacing w:before="100" w:beforeAutospacing="1" w:after="100" w:afterAutospacing="1"/>
      <w:jc w:val="center"/>
    </w:pPr>
    <w:rPr>
      <w:rFonts w:ascii="黑体" w:hAnsi="黑体" w:eastAsia="黑体" w:cs="宋体"/>
      <w:kern w:val="0"/>
      <w:szCs w:val="24"/>
    </w:rPr>
  </w:style>
  <w:style w:type="paragraph" w:customStyle="1" w:styleId="72">
    <w:name w:val="xl113"/>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napToGrid/>
      <w:spacing w:before="100" w:beforeAutospacing="1" w:after="100" w:afterAutospacing="1"/>
      <w:jc w:val="left"/>
    </w:pPr>
    <w:rPr>
      <w:rFonts w:ascii="黑体" w:hAnsi="黑体" w:eastAsia="黑体" w:cs="宋体"/>
      <w:kern w:val="0"/>
      <w:szCs w:val="24"/>
    </w:rPr>
  </w:style>
  <w:style w:type="paragraph" w:customStyle="1" w:styleId="73">
    <w:name w:val="xl114"/>
    <w:basedOn w:val="1"/>
    <w:qFormat/>
    <w:uiPriority w:val="99"/>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center"/>
    </w:pPr>
    <w:rPr>
      <w:rFonts w:ascii="黑体" w:hAnsi="黑体" w:eastAsia="黑体" w:cs="宋体"/>
      <w:kern w:val="0"/>
      <w:szCs w:val="24"/>
    </w:rPr>
  </w:style>
  <w:style w:type="paragraph" w:customStyle="1" w:styleId="74">
    <w:name w:val="xl115"/>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napToGrid/>
      <w:spacing w:before="100" w:beforeAutospacing="1" w:after="100" w:afterAutospacing="1"/>
      <w:jc w:val="center"/>
    </w:pPr>
    <w:rPr>
      <w:rFonts w:ascii="黑体" w:hAnsi="黑体" w:eastAsia="黑体" w:cs="宋体"/>
      <w:kern w:val="0"/>
      <w:szCs w:val="24"/>
    </w:rPr>
  </w:style>
  <w:style w:type="paragraph" w:customStyle="1" w:styleId="75">
    <w:name w:val="xl116"/>
    <w:basedOn w:val="1"/>
    <w:qFormat/>
    <w:uiPriority w:val="99"/>
    <w:pPr>
      <w:widowControl/>
      <w:pBdr>
        <w:left w:val="single" w:color="000000" w:sz="4" w:space="0"/>
        <w:bottom w:val="single" w:color="000000" w:sz="4" w:space="0"/>
        <w:right w:val="single" w:color="000000" w:sz="4" w:space="0"/>
      </w:pBdr>
      <w:shd w:val="clear" w:color="auto" w:fill="FFFFFF"/>
      <w:adjustRightInd/>
      <w:snapToGrid/>
      <w:spacing w:before="100" w:beforeAutospacing="1" w:after="100" w:afterAutospacing="1"/>
      <w:jc w:val="left"/>
    </w:pPr>
    <w:rPr>
      <w:rFonts w:ascii="黑体" w:hAnsi="黑体" w:eastAsia="黑体" w:cs="宋体"/>
      <w:kern w:val="0"/>
      <w:szCs w:val="24"/>
    </w:rPr>
  </w:style>
  <w:style w:type="paragraph" w:customStyle="1" w:styleId="76">
    <w:name w:val="xl117"/>
    <w:basedOn w:val="1"/>
    <w:qFormat/>
    <w:uiPriority w:val="99"/>
    <w:pPr>
      <w:widowControl/>
      <w:pBdr>
        <w:left w:val="single" w:color="000000" w:sz="4" w:space="0"/>
        <w:bottom w:val="single" w:color="000000" w:sz="4" w:space="0"/>
        <w:right w:val="single" w:color="000000" w:sz="4" w:space="0"/>
      </w:pBdr>
      <w:shd w:val="clear" w:color="auto" w:fill="FFFFFF"/>
      <w:adjustRightInd/>
      <w:snapToGrid/>
      <w:spacing w:before="100" w:beforeAutospacing="1" w:after="100" w:afterAutospacing="1"/>
      <w:jc w:val="center"/>
    </w:pPr>
    <w:rPr>
      <w:rFonts w:ascii="黑体" w:hAnsi="黑体" w:eastAsia="黑体" w:cs="宋体"/>
      <w:kern w:val="0"/>
      <w:szCs w:val="24"/>
    </w:rPr>
  </w:style>
  <w:style w:type="paragraph" w:customStyle="1" w:styleId="77">
    <w:name w:val="xl118"/>
    <w:basedOn w:val="1"/>
    <w:qFormat/>
    <w:uiPriority w:val="99"/>
    <w:pPr>
      <w:widowControl/>
      <w:pBdr>
        <w:left w:val="single" w:color="000000" w:sz="4" w:space="0"/>
        <w:bottom w:val="single" w:color="000000" w:sz="4" w:space="0"/>
        <w:right w:val="single" w:color="000000" w:sz="4" w:space="0"/>
      </w:pBdr>
      <w:shd w:val="clear" w:color="auto" w:fill="FFFFFF"/>
      <w:adjustRightInd/>
      <w:snapToGrid/>
      <w:spacing w:before="100" w:beforeAutospacing="1" w:after="100" w:afterAutospacing="1"/>
      <w:jc w:val="center"/>
    </w:pPr>
    <w:rPr>
      <w:rFonts w:ascii="黑体" w:hAnsi="黑体" w:eastAsia="黑体" w:cs="宋体"/>
      <w:kern w:val="0"/>
      <w:szCs w:val="24"/>
    </w:rPr>
  </w:style>
  <w:style w:type="paragraph" w:customStyle="1" w:styleId="78">
    <w:name w:val="xl119"/>
    <w:basedOn w:val="1"/>
    <w:qFormat/>
    <w:uiPriority w:val="99"/>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pPr>
    <w:rPr>
      <w:rFonts w:ascii="黑体" w:hAnsi="黑体" w:eastAsia="黑体" w:cs="宋体"/>
      <w:color w:val="000000"/>
      <w:kern w:val="0"/>
      <w:szCs w:val="24"/>
    </w:rPr>
  </w:style>
  <w:style w:type="paragraph" w:customStyle="1" w:styleId="79">
    <w:name w:val="xl120"/>
    <w:basedOn w:val="1"/>
    <w:qFormat/>
    <w:uiPriority w:val="99"/>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pPr>
    <w:rPr>
      <w:rFonts w:ascii="黑体" w:hAnsi="黑体" w:eastAsia="黑体" w:cs="宋体"/>
      <w:kern w:val="0"/>
      <w:szCs w:val="24"/>
    </w:rPr>
  </w:style>
  <w:style w:type="paragraph" w:customStyle="1" w:styleId="80">
    <w:name w:val="xl121"/>
    <w:basedOn w:val="1"/>
    <w:qFormat/>
    <w:uiPriority w:val="99"/>
    <w:pPr>
      <w:widowControl/>
      <w:pBdr>
        <w:top w:val="single" w:color="auto" w:sz="4" w:space="0"/>
        <w:left w:val="single" w:color="auto" w:sz="4" w:space="0"/>
        <w:right w:val="single" w:color="auto" w:sz="4" w:space="0"/>
      </w:pBdr>
      <w:adjustRightInd/>
      <w:snapToGrid/>
      <w:spacing w:before="100" w:beforeAutospacing="1" w:after="100" w:afterAutospacing="1"/>
      <w:jc w:val="center"/>
    </w:pPr>
    <w:rPr>
      <w:rFonts w:ascii="黑体" w:hAnsi="黑体" w:eastAsia="黑体" w:cs="宋体"/>
      <w:kern w:val="0"/>
      <w:szCs w:val="24"/>
    </w:rPr>
  </w:style>
  <w:style w:type="paragraph" w:customStyle="1" w:styleId="81">
    <w:name w:val="xl122"/>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napToGrid/>
      <w:spacing w:before="100" w:beforeAutospacing="1" w:after="100" w:afterAutospacing="1"/>
      <w:jc w:val="center"/>
    </w:pPr>
    <w:rPr>
      <w:rFonts w:ascii="黑体" w:hAnsi="黑体" w:eastAsia="黑体" w:cs="宋体"/>
      <w:kern w:val="0"/>
      <w:szCs w:val="24"/>
    </w:rPr>
  </w:style>
  <w:style w:type="paragraph" w:customStyle="1" w:styleId="82">
    <w:name w:val="xl123"/>
    <w:basedOn w:val="1"/>
    <w:qFormat/>
    <w:uiPriority w:val="99"/>
    <w:pPr>
      <w:widowControl/>
      <w:pBdr>
        <w:top w:val="single" w:color="auto" w:sz="4" w:space="0"/>
        <w:left w:val="single" w:color="auto" w:sz="4" w:space="0"/>
        <w:right w:val="single" w:color="auto" w:sz="4" w:space="0"/>
      </w:pBdr>
      <w:adjustRightInd/>
      <w:snapToGrid/>
      <w:spacing w:before="100" w:beforeAutospacing="1" w:after="100" w:afterAutospacing="1"/>
      <w:jc w:val="left"/>
    </w:pPr>
    <w:rPr>
      <w:rFonts w:ascii="黑体" w:hAnsi="黑体" w:eastAsia="黑体" w:cs="宋体"/>
      <w:kern w:val="0"/>
      <w:szCs w:val="24"/>
    </w:rPr>
  </w:style>
  <w:style w:type="paragraph" w:customStyle="1" w:styleId="83">
    <w:name w:val="xl124"/>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napToGrid/>
      <w:spacing w:before="100" w:beforeAutospacing="1" w:after="100" w:afterAutospacing="1"/>
      <w:jc w:val="left"/>
    </w:pPr>
    <w:rPr>
      <w:rFonts w:ascii="黑体" w:hAnsi="黑体" w:eastAsia="黑体" w:cs="宋体"/>
      <w:kern w:val="0"/>
      <w:szCs w:val="24"/>
    </w:rPr>
  </w:style>
  <w:style w:type="paragraph" w:customStyle="1" w:styleId="84">
    <w:name w:val="xl125"/>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napToGrid/>
      <w:spacing w:before="100" w:beforeAutospacing="1" w:after="100" w:afterAutospacing="1"/>
      <w:jc w:val="center"/>
    </w:pPr>
    <w:rPr>
      <w:rFonts w:ascii="黑体" w:hAnsi="黑体" w:eastAsia="黑体" w:cs="宋体"/>
      <w:kern w:val="0"/>
      <w:szCs w:val="24"/>
    </w:rPr>
  </w:style>
  <w:style w:type="paragraph" w:customStyle="1" w:styleId="85">
    <w:name w:val="xl126"/>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napToGrid/>
      <w:spacing w:before="100" w:beforeAutospacing="1" w:after="100" w:afterAutospacing="1"/>
      <w:jc w:val="center"/>
    </w:pPr>
    <w:rPr>
      <w:rFonts w:ascii="黑体" w:hAnsi="黑体" w:eastAsia="黑体" w:cs="宋体"/>
      <w:kern w:val="0"/>
      <w:szCs w:val="24"/>
    </w:rPr>
  </w:style>
  <w:style w:type="paragraph" w:customStyle="1" w:styleId="86">
    <w:name w:val="xl64"/>
    <w:basedOn w:val="1"/>
    <w:qFormat/>
    <w:uiPriority w:val="99"/>
    <w:pPr>
      <w:widowControl/>
      <w:shd w:val="clear" w:color="auto" w:fill="E7E6E6"/>
      <w:adjustRightInd/>
      <w:snapToGrid/>
      <w:spacing w:before="100" w:beforeAutospacing="1" w:after="100" w:afterAutospacing="1"/>
      <w:jc w:val="left"/>
    </w:pPr>
    <w:rPr>
      <w:rFonts w:ascii="黑体" w:hAnsi="黑体" w:eastAsia="黑体" w:cs="宋体"/>
      <w:b/>
      <w:bCs/>
      <w:kern w:val="0"/>
      <w:szCs w:val="24"/>
    </w:rPr>
  </w:style>
  <w:style w:type="paragraph" w:customStyle="1" w:styleId="87">
    <w:name w:val="xl65"/>
    <w:basedOn w:val="1"/>
    <w:qFormat/>
    <w:uiPriority w:val="99"/>
    <w:pPr>
      <w:widowControl/>
      <w:shd w:val="clear" w:color="auto" w:fill="E7E6E6"/>
      <w:adjustRightInd/>
      <w:snapToGrid/>
      <w:spacing w:before="100" w:beforeAutospacing="1" w:after="100" w:afterAutospacing="1"/>
      <w:jc w:val="left"/>
    </w:pPr>
    <w:rPr>
      <w:rFonts w:ascii="黑体" w:hAnsi="黑体" w:eastAsia="黑体" w:cs="宋体"/>
      <w:b/>
      <w:bCs/>
      <w:kern w:val="0"/>
      <w:szCs w:val="24"/>
    </w:rPr>
  </w:style>
  <w:style w:type="paragraph" w:customStyle="1" w:styleId="88">
    <w:name w:val="xl66"/>
    <w:basedOn w:val="1"/>
    <w:qFormat/>
    <w:uiPriority w:val="99"/>
    <w:pPr>
      <w:widowControl/>
      <w:shd w:val="clear" w:color="auto" w:fill="E7E6E6"/>
      <w:adjustRightInd/>
      <w:snapToGrid/>
      <w:spacing w:before="100" w:beforeAutospacing="1" w:after="100" w:afterAutospacing="1"/>
      <w:jc w:val="left"/>
    </w:pPr>
    <w:rPr>
      <w:rFonts w:ascii="黑体" w:hAnsi="黑体" w:eastAsia="黑体" w:cs="宋体"/>
      <w:b/>
      <w:bCs/>
      <w:kern w:val="0"/>
      <w:szCs w:val="24"/>
    </w:rPr>
  </w:style>
  <w:style w:type="paragraph" w:customStyle="1" w:styleId="89">
    <w:name w:val="xl67"/>
    <w:basedOn w:val="1"/>
    <w:qFormat/>
    <w:uiPriority w:val="99"/>
    <w:pPr>
      <w:widowControl/>
      <w:pBdr>
        <w:top w:val="single" w:color="auto" w:sz="4" w:space="0"/>
        <w:left w:val="single" w:color="auto" w:sz="4" w:space="0"/>
        <w:bottom w:val="single" w:color="auto" w:sz="4" w:space="0"/>
        <w:right w:val="single" w:color="auto" w:sz="4" w:space="0"/>
      </w:pBdr>
      <w:shd w:val="clear" w:color="auto" w:fill="3366FF"/>
      <w:adjustRightInd/>
      <w:snapToGrid/>
      <w:spacing w:before="100" w:beforeAutospacing="1" w:after="100" w:afterAutospacing="1"/>
      <w:jc w:val="center"/>
    </w:pPr>
    <w:rPr>
      <w:rFonts w:ascii="黑体" w:hAnsi="黑体" w:eastAsia="黑体" w:cs="宋体"/>
      <w:b/>
      <w:bCs/>
      <w:color w:val="FFFFFF"/>
      <w:kern w:val="0"/>
      <w:szCs w:val="24"/>
    </w:rPr>
  </w:style>
  <w:style w:type="paragraph" w:customStyle="1" w:styleId="90">
    <w:name w:val="xl68"/>
    <w:basedOn w:val="1"/>
    <w:qFormat/>
    <w:uiPriority w:val="99"/>
    <w:pPr>
      <w:widowControl/>
      <w:shd w:val="clear" w:color="auto" w:fill="E7E6E6"/>
      <w:adjustRightInd/>
      <w:snapToGrid/>
      <w:spacing w:before="100" w:beforeAutospacing="1" w:after="100" w:afterAutospacing="1"/>
      <w:jc w:val="left"/>
    </w:pPr>
    <w:rPr>
      <w:rFonts w:ascii="黑体" w:hAnsi="黑体" w:eastAsia="黑体" w:cs="宋体"/>
      <w:kern w:val="0"/>
      <w:szCs w:val="24"/>
    </w:rPr>
  </w:style>
  <w:style w:type="paragraph" w:customStyle="1" w:styleId="91">
    <w:name w:val="xl69"/>
    <w:basedOn w:val="1"/>
    <w:qFormat/>
    <w:uiPriority w:val="99"/>
    <w:pPr>
      <w:widowControl/>
      <w:shd w:val="clear" w:color="auto" w:fill="E7E6E6"/>
      <w:adjustRightInd/>
      <w:snapToGrid/>
      <w:spacing w:before="100" w:beforeAutospacing="1" w:after="100" w:afterAutospacing="1"/>
      <w:jc w:val="left"/>
    </w:pPr>
    <w:rPr>
      <w:rFonts w:ascii="黑体" w:hAnsi="黑体" w:eastAsia="黑体" w:cs="宋体"/>
      <w:kern w:val="0"/>
      <w:szCs w:val="24"/>
    </w:rPr>
  </w:style>
  <w:style w:type="paragraph" w:customStyle="1" w:styleId="92">
    <w:name w:val="xl70"/>
    <w:basedOn w:val="1"/>
    <w:qFormat/>
    <w:uiPriority w:val="99"/>
    <w:pPr>
      <w:widowControl/>
      <w:shd w:val="clear" w:color="auto" w:fill="E7E6E6"/>
      <w:adjustRightInd/>
      <w:snapToGrid/>
      <w:spacing w:before="100" w:beforeAutospacing="1" w:after="100" w:afterAutospacing="1"/>
      <w:jc w:val="left"/>
    </w:pPr>
    <w:rPr>
      <w:rFonts w:ascii="黑体" w:hAnsi="黑体" w:eastAsia="黑体" w:cs="宋体"/>
      <w:b/>
      <w:bCs/>
      <w:kern w:val="0"/>
      <w:szCs w:val="24"/>
    </w:rPr>
  </w:style>
  <w:style w:type="paragraph" w:customStyle="1" w:styleId="93">
    <w:name w:val="xl71"/>
    <w:basedOn w:val="1"/>
    <w:qFormat/>
    <w:uiPriority w:val="99"/>
    <w:pPr>
      <w:widowControl/>
      <w:shd w:val="clear" w:color="auto" w:fill="E7E6E6"/>
      <w:adjustRightInd/>
      <w:snapToGrid/>
      <w:spacing w:before="100" w:beforeAutospacing="1" w:after="100" w:afterAutospacing="1"/>
      <w:jc w:val="left"/>
    </w:pPr>
    <w:rPr>
      <w:rFonts w:ascii="黑体" w:hAnsi="黑体" w:eastAsia="黑体" w:cs="宋体"/>
      <w:kern w:val="0"/>
      <w:szCs w:val="24"/>
    </w:rPr>
  </w:style>
  <w:style w:type="paragraph" w:customStyle="1" w:styleId="94">
    <w:name w:val="xl72"/>
    <w:basedOn w:val="1"/>
    <w:qFormat/>
    <w:uiPriority w:val="99"/>
    <w:pPr>
      <w:widowControl/>
      <w:adjustRightInd/>
      <w:snapToGrid/>
      <w:spacing w:before="100" w:beforeAutospacing="1" w:after="100" w:afterAutospacing="1"/>
      <w:jc w:val="left"/>
    </w:pPr>
    <w:rPr>
      <w:rFonts w:ascii="宋体" w:hAnsi="宋体" w:eastAsia="宋体" w:cs="宋体"/>
      <w:kern w:val="0"/>
      <w:szCs w:val="24"/>
    </w:rPr>
  </w:style>
  <w:style w:type="paragraph" w:customStyle="1" w:styleId="95">
    <w:name w:val="xl73"/>
    <w:basedOn w:val="1"/>
    <w:qFormat/>
    <w:uiPriority w:val="99"/>
    <w:pPr>
      <w:widowControl/>
      <w:shd w:val="clear" w:color="auto" w:fill="E7E6E6"/>
      <w:adjustRightInd/>
      <w:snapToGrid/>
      <w:spacing w:before="100" w:beforeAutospacing="1" w:after="100" w:afterAutospacing="1"/>
      <w:jc w:val="left"/>
    </w:pPr>
    <w:rPr>
      <w:rFonts w:ascii="黑体" w:hAnsi="黑体" w:eastAsia="黑体" w:cs="宋体"/>
      <w:b/>
      <w:bCs/>
      <w:color w:val="FF0000"/>
      <w:kern w:val="0"/>
      <w:szCs w:val="24"/>
    </w:rPr>
  </w:style>
  <w:style w:type="paragraph" w:customStyle="1" w:styleId="96">
    <w:name w:val="xl74"/>
    <w:basedOn w:val="1"/>
    <w:qFormat/>
    <w:uiPriority w:val="99"/>
    <w:pPr>
      <w:widowControl/>
      <w:shd w:val="clear" w:color="auto" w:fill="E7E6E6"/>
      <w:adjustRightInd/>
      <w:snapToGrid/>
      <w:spacing w:before="100" w:beforeAutospacing="1" w:after="100" w:afterAutospacing="1"/>
      <w:jc w:val="center"/>
    </w:pPr>
    <w:rPr>
      <w:rFonts w:ascii="黑体" w:hAnsi="黑体" w:eastAsia="黑体" w:cs="宋体"/>
      <w:b/>
      <w:bCs/>
      <w:kern w:val="0"/>
      <w:szCs w:val="24"/>
    </w:rPr>
  </w:style>
  <w:style w:type="paragraph" w:customStyle="1" w:styleId="97">
    <w:name w:val="xl75"/>
    <w:basedOn w:val="1"/>
    <w:qFormat/>
    <w:uiPriority w:val="99"/>
    <w:pPr>
      <w:widowControl/>
      <w:shd w:val="clear" w:color="auto" w:fill="E7E6E6"/>
      <w:adjustRightInd/>
      <w:snapToGrid/>
      <w:spacing w:before="100" w:beforeAutospacing="1" w:after="100" w:afterAutospacing="1"/>
      <w:jc w:val="center"/>
    </w:pPr>
    <w:rPr>
      <w:rFonts w:ascii="黑体" w:hAnsi="黑体" w:eastAsia="黑体" w:cs="宋体"/>
      <w:kern w:val="0"/>
      <w:szCs w:val="24"/>
    </w:rPr>
  </w:style>
  <w:style w:type="character" w:customStyle="1" w:styleId="98">
    <w:name w:val="表 字符"/>
    <w:basedOn w:val="54"/>
    <w:link w:val="99"/>
    <w:qFormat/>
    <w:locked/>
    <w:uiPriority w:val="0"/>
    <w:rPr>
      <w:rFonts w:ascii="仿宋_GB2312" w:eastAsia="仿宋_GB2312"/>
      <w:sz w:val="32"/>
      <w:szCs w:val="21"/>
    </w:rPr>
  </w:style>
  <w:style w:type="paragraph" w:customStyle="1" w:styleId="99">
    <w:name w:val="表"/>
    <w:link w:val="98"/>
    <w:qFormat/>
    <w:uiPriority w:val="0"/>
    <w:pPr>
      <w:widowControl w:val="0"/>
    </w:pPr>
    <w:rPr>
      <w:rFonts w:ascii="仿宋_GB2312" w:eastAsia="仿宋_GB2312" w:hAnsiTheme="minorHAnsi" w:cstheme="minorBidi"/>
      <w:kern w:val="2"/>
      <w:sz w:val="32"/>
      <w:szCs w:val="21"/>
      <w:lang w:val="en-US" w:eastAsia="zh-CN" w:bidi="ar-SA"/>
    </w:rPr>
  </w:style>
  <w:style w:type="paragraph" w:customStyle="1" w:styleId="100">
    <w:name w:val="列出段落1"/>
    <w:basedOn w:val="1"/>
    <w:qFormat/>
    <w:uiPriority w:val="99"/>
    <w:pPr>
      <w:adjustRightInd/>
      <w:snapToGrid/>
      <w:ind w:firstLine="420"/>
    </w:pPr>
    <w:rPr>
      <w:rFonts w:ascii="Calibri" w:hAnsi="Calibri" w:eastAsia="宋体" w:cs="黑体"/>
      <w:sz w:val="21"/>
    </w:rPr>
  </w:style>
  <w:style w:type="character" w:styleId="101">
    <w:name w:val="Placeholder Text"/>
    <w:basedOn w:val="28"/>
    <w:semiHidden/>
    <w:qFormat/>
    <w:uiPriority w:val="99"/>
    <w:rPr>
      <w:color w:val="808080"/>
    </w:rPr>
  </w:style>
  <w:style w:type="character" w:customStyle="1" w:styleId="102">
    <w:name w:val="标题 1 字符1"/>
    <w:qFormat/>
    <w:uiPriority w:val="0"/>
    <w:rPr>
      <w:rFonts w:hint="default" w:ascii="Arial" w:hAnsi="Arial" w:eastAsia="宋体" w:cs="Times New Roman"/>
      <w:b/>
      <w:bCs/>
      <w:kern w:val="32"/>
      <w:sz w:val="32"/>
      <w:szCs w:val="32"/>
      <w:lang w:val="zh-CN" w:eastAsia="zh-CN"/>
    </w:rPr>
  </w:style>
  <w:style w:type="character" w:customStyle="1" w:styleId="103">
    <w:name w:val="标题 2 字符1"/>
    <w:qFormat/>
    <w:uiPriority w:val="0"/>
    <w:rPr>
      <w:rFonts w:hint="default" w:ascii="Cambria" w:hAnsi="Cambria" w:eastAsia="宋体" w:cs="Times New Roman"/>
      <w:b/>
      <w:bCs/>
      <w:sz w:val="32"/>
      <w:szCs w:val="32"/>
      <w:lang w:val="zh-CN" w:eastAsia="zh-CN"/>
    </w:rPr>
  </w:style>
  <w:style w:type="character" w:customStyle="1" w:styleId="104">
    <w:name w:val="fontstyle01"/>
    <w:basedOn w:val="28"/>
    <w:qFormat/>
    <w:uiPriority w:val="0"/>
    <w:rPr>
      <w:rFonts w:hint="eastAsia" w:ascii="仿宋" w:hAnsi="仿宋" w:eastAsia="仿宋"/>
      <w:color w:val="000000"/>
      <w:sz w:val="28"/>
      <w:szCs w:val="28"/>
    </w:rPr>
  </w:style>
  <w:style w:type="character" w:customStyle="1" w:styleId="105">
    <w:name w:val="tlid-translation"/>
    <w:basedOn w:val="28"/>
    <w:qFormat/>
    <w:uiPriority w:val="0"/>
  </w:style>
  <w:style w:type="table" w:customStyle="1" w:styleId="106">
    <w:name w:val="网格型1"/>
    <w:basedOn w:val="25"/>
    <w:qFormat/>
    <w:uiPriority w:val="59"/>
    <w:rPr>
      <w:rFonts w:ascii="Times New Roman" w:hAnsi="Times New Roman"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7">
    <w:name w:val="网格型2"/>
    <w:basedOn w:val="25"/>
    <w:qFormat/>
    <w:uiPriority w:val="59"/>
    <w:rPr>
      <w:rFonts w:ascii="Times New Roman" w:hAnsi="Times New Roman"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8">
    <w:name w:val="网格型3"/>
    <w:basedOn w:val="25"/>
    <w:qFormat/>
    <w:uiPriority w:val="0"/>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9">
    <w:name w:val="网格表 4 - 着色 11"/>
    <w:basedOn w:val="25"/>
    <w:qFormat/>
    <w:uiPriority w:val="49"/>
    <w:rPr>
      <w:rFonts w:ascii="Times New Roman" w:hAnsi="Times New Roman" w:eastAsia="宋体" w:cs="Times New Roman"/>
      <w:kern w:val="0"/>
      <w:sz w:val="20"/>
      <w:szCs w:val="20"/>
    </w:rPr>
    <w:tblPr>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color w:val="FFFFFF" w:themeColor="background1"/>
        <w14:textFill>
          <w14:solidFill>
            <w14:schemeClr w14:val="bg1"/>
          </w14:solidFill>
        </w14:textFill>
      </w:rPr>
      <w:tcPr>
        <w:tcBorders>
          <w:top w:val="single" w:color="4472C4" w:themeColor="accent1" w:sz="4" w:space="0"/>
          <w:left w:val="single" w:color="4472C4" w:themeColor="accent1" w:sz="4" w:space="0"/>
          <w:bottom w:val="single" w:color="4472C4" w:themeColor="accent1" w:sz="4" w:space="0"/>
          <w:right w:val="single" w:color="4472C4" w:themeColor="accent1" w:sz="4" w:space="0"/>
          <w:insideH w:val="nil"/>
          <w:insideV w:val="nil"/>
        </w:tcBorders>
        <w:shd w:val="clear" w:color="auto" w:fill="4472C4" w:themeFill="accent1"/>
      </w:tcPr>
    </w:tblStylePr>
    <w:tblStylePr w:type="lastRow">
      <w:rPr>
        <w:b/>
        <w:bCs/>
      </w:rPr>
      <w:tcPr>
        <w:tcBorders>
          <w:top w:val="double" w:color="4472C4" w:themeColor="accent1" w:sz="4" w:space="0"/>
        </w:tcBorders>
      </w:tcPr>
    </w:tblStylePr>
    <w:tblStylePr w:type="firstCol">
      <w:rPr>
        <w:b/>
        <w:bCs/>
      </w:rPr>
    </w:tblStylePr>
    <w:tblStylePr w:type="lastCol">
      <w:rPr>
        <w:b/>
        <w:bCs/>
      </w:rPr>
    </w:tblStylePr>
    <w:tblStylePr w:type="band1Vert">
      <w:tcPr>
        <w:shd w:val="clear" w:color="auto" w:fill="D9E2F3" w:themeFill="accent1" w:themeFillTint="33"/>
      </w:tcPr>
    </w:tblStylePr>
    <w:tblStylePr w:type="band1Horz">
      <w:tcPr>
        <w:shd w:val="clear" w:color="auto" w:fill="D9E2F3" w:themeFill="accent1" w:themeFillTint="33"/>
      </w:tcPr>
    </w:tblStylePr>
  </w:style>
  <w:style w:type="table" w:customStyle="1" w:styleId="110">
    <w:name w:val="网格表 6 彩色 - 着色 11"/>
    <w:basedOn w:val="25"/>
    <w:qFormat/>
    <w:uiPriority w:val="51"/>
    <w:rPr>
      <w:rFonts w:ascii="Times New Roman" w:hAnsi="Times New Roman" w:eastAsia="宋体" w:cs="Times New Roman"/>
      <w:color w:val="2F5597" w:themeColor="accent1" w:themeShade="BF"/>
      <w:kern w:val="0"/>
      <w:sz w:val="20"/>
      <w:szCs w:val="20"/>
    </w:rPr>
    <w:tblPr>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rPr>
      <w:tcPr>
        <w:tcBorders>
          <w:bottom w:val="single" w:color="8EAADB" w:themeColor="accent1" w:themeTint="99" w:sz="12" w:space="0"/>
        </w:tcBorders>
      </w:tcPr>
    </w:tblStylePr>
    <w:tblStylePr w:type="lastRow">
      <w:rPr>
        <w:b/>
        <w:bCs/>
      </w:rPr>
      <w:tcPr>
        <w:tcBorders>
          <w:top w:val="double" w:color="8EAADB" w:themeColor="accent1" w:themeTint="99" w:sz="4" w:space="0"/>
        </w:tcBorders>
      </w:tcPr>
    </w:tblStylePr>
    <w:tblStylePr w:type="firstCol">
      <w:rPr>
        <w:b/>
        <w:bCs/>
      </w:rPr>
    </w:tblStylePr>
    <w:tblStylePr w:type="lastCol">
      <w:rPr>
        <w:b/>
        <w:bCs/>
      </w:rPr>
    </w:tblStylePr>
    <w:tblStylePr w:type="band1Vert">
      <w:tcPr>
        <w:shd w:val="clear" w:color="auto" w:fill="D9E2F3" w:themeFill="accent1" w:themeFillTint="33"/>
      </w:tcPr>
    </w:tblStylePr>
    <w:tblStylePr w:type="band1Horz">
      <w:tcPr>
        <w:shd w:val="clear" w:color="auto" w:fill="D9E2F3" w:themeFill="accent1" w:themeFillTint="33"/>
      </w:tcPr>
    </w:tblStylePr>
  </w:style>
  <w:style w:type="table" w:customStyle="1" w:styleId="111">
    <w:name w:val="网格表 41"/>
    <w:basedOn w:val="25"/>
    <w:qFormat/>
    <w:uiPriority w:val="49"/>
    <w:rPr>
      <w:rFonts w:ascii="Times New Roman" w:hAnsi="Times New Roman" w:eastAsia="宋体" w:cs="Times New Roman"/>
      <w:kern w:val="0"/>
      <w:sz w:val="20"/>
      <w:szCs w:val="20"/>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112">
    <w:name w:val="网格表 6 彩色1"/>
    <w:basedOn w:val="25"/>
    <w:qFormat/>
    <w:uiPriority w:val="51"/>
    <w:rPr>
      <w:rFonts w:ascii="Times New Roman" w:hAnsi="Times New Roman" w:eastAsia="宋体" w:cs="Times New Roman"/>
      <w:color w:val="000000" w:themeColor="text1"/>
      <w:kern w:val="0"/>
      <w:sz w:val="20"/>
      <w:szCs w:val="20"/>
      <w14:textFill>
        <w14:solidFill>
          <w14:schemeClr w14:val="tx1"/>
        </w14:solidFill>
      </w14:textFill>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character" w:customStyle="1" w:styleId="113">
    <w:name w:val="批注文字 字符"/>
    <w:basedOn w:val="28"/>
    <w:link w:val="15"/>
    <w:semiHidden/>
    <w:uiPriority w:val="99"/>
    <w:rPr>
      <w:rFonts w:ascii="仿宋_GB2312" w:hAnsi="仿宋_GB2312" w:eastAsia="仿宋_GB2312"/>
      <w:sz w:val="24"/>
    </w:rPr>
  </w:style>
  <w:style w:type="character" w:customStyle="1" w:styleId="114">
    <w:name w:val="批注主题 字符"/>
    <w:basedOn w:val="113"/>
    <w:link w:val="24"/>
    <w:semiHidden/>
    <w:uiPriority w:val="99"/>
    <w:rPr>
      <w:rFonts w:ascii="仿宋_GB2312" w:hAnsi="仿宋_GB2312" w:eastAsia="仿宋_GB2312"/>
      <w:b/>
      <w:bCs/>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3.xml"/><Relationship Id="rId10" Type="http://schemas.openxmlformats.org/officeDocument/2006/relationships/header" Target="header2.xml"/><Relationship Id="rId11" Type="http://schemas.openxmlformats.org/officeDocument/2006/relationships/header" Target="header1.xml"/><Relationship Id="rId12" Type="http://schemas.openxmlformats.org/officeDocument/2006/relationships/header" Target="header4.xml"/><Relationship Id="rId13" Type="http://schemas.openxmlformats.org/officeDocument/2006/relationships/header" Target="header5.xml"/><Relationship Id="rId14" Type="http://schemas.openxmlformats.org/officeDocument/2006/relationships/footer" Target="footer3.xml"/><Relationship Id="rId15" Type="http://schemas.openxmlformats.org/officeDocument/2006/relationships/footer" Target="footer2.xml"/><Relationship Id="rId16" Type="http://schemas.openxmlformats.org/officeDocument/2006/relationships/footer" Target="footer1.xml"/><Relationship Id="rId17" Type="http://schemas.openxmlformats.org/officeDocument/2006/relationships/footer" Target="footer4.xml"/><Relationship Id="rId18" Type="http://schemas.openxmlformats.org/officeDocument/2006/relationships/footer" Target="footer5.xml"/><Relationship Id="rId179" Type="http://schemas.openxmlformats.org/officeDocument/2006/relationships/image" Target="media/rId179.png"/><Relationship Id="rId95" Type="http://schemas.openxmlformats.org/officeDocument/2006/relationships/image" Target="media/rId95.png"/><Relationship Id="rId108" Type="http://schemas.openxmlformats.org/officeDocument/2006/relationships/image" Target="media/rId108.png"/><Relationship Id="rId127" Type="http://schemas.openxmlformats.org/officeDocument/2006/relationships/image" Target="media/rId127.png"/><Relationship Id="rId111" Type="http://schemas.openxmlformats.org/officeDocument/2006/relationships/image" Target="media/rId111.png"/><Relationship Id="rId181" Type="http://schemas.openxmlformats.org/officeDocument/2006/relationships/image" Target="media/rId181.png"/><Relationship Id="rId106" Type="http://schemas.openxmlformats.org/officeDocument/2006/relationships/image" Target="media/rId106.png"/><Relationship Id="rId182" Type="http://schemas.openxmlformats.org/officeDocument/2006/relationships/image" Target="media/rId182.png"/><Relationship Id="rId116" Type="http://schemas.openxmlformats.org/officeDocument/2006/relationships/image" Target="media/rId116.png"/><Relationship Id="rId125" Type="http://schemas.openxmlformats.org/officeDocument/2006/relationships/image" Target="media/rId125.png"/><Relationship Id="rId241" Type="http://schemas.openxmlformats.org/officeDocument/2006/relationships/image" Target="media/rId241.png"/><Relationship Id="rId100" Type="http://schemas.openxmlformats.org/officeDocument/2006/relationships/image" Target="media/rId100.png"/><Relationship Id="rId150" Type="http://schemas.openxmlformats.org/officeDocument/2006/relationships/image" Target="media/rId150.png"/><Relationship Id="rId42" Type="http://schemas.openxmlformats.org/officeDocument/2006/relationships/image" Target="media/rId4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105</Pages>
  <Words>4471</Words>
  <Characters>4904</Characters>
  <Lines>340</Lines>
  <Paragraphs>95</Paragraphs>
  <TotalTime>35</TotalTime>
  <ScaleCrop>false</ScaleCrop>
  <LinksUpToDate>false</LinksUpToDate>
  <CharactersWithSpaces>5239</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徐州地区分布式新能源高渗透率地区110 kV电网容载比弹性指标优化研究</dc:title>
  <dc:creator>研究项目组</dc:creator>
  <cp:keywords/>
  <dcterms:created xsi:type="dcterms:W3CDTF">2026-10-04T10:44:43Z</dcterms:created>
  <dcterms:modified xsi:type="dcterms:W3CDTF">2026-10-04T10:44:43Z</dcterms:modified>
  <cp:lastModifiedBy>研究项目组</cp:lastModifiedBy>
  <dc:subject>110 kV容量规划与措施经济比选</dc:subject>
</cp:coreProperties>
</file>

<file path=docProps/custom.xml><?xml version="1.0" encoding="utf-8"?>
<Properties xmlns="http://schemas.openxmlformats.org/officeDocument/2006/custom-properties" xmlns:vt="http://schemas.openxmlformats.org/officeDocument/2006/docPropsVTypes"/>
</file>