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dv44w0bct61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Trending</w:t>
      </w:r>
      <w:r w:rsidDel="00000000" w:rsidR="00000000" w:rsidRPr="00000000">
        <w:rPr>
          <w:rtl w:val="0"/>
        </w:rPr>
      </w:r>
    </w:p>
    <w:p w:rsidR="00000000" w:rsidDel="00000000" w:rsidP="00000000" w:rsidRDefault="00000000" w:rsidRPr="00000000" w14:paraId="00000002">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reconsiders petrol subsidy for T20</w:t>
      </w:r>
    </w:p>
    <w:p w:rsidR="00000000" w:rsidDel="00000000" w:rsidP="00000000" w:rsidRDefault="00000000" w:rsidRPr="00000000" w14:paraId="00000003">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Scanwolf secures RM75 mil piling job for KL high-rise project</w:t>
      </w:r>
    </w:p>
    <w:p w:rsidR="00000000" w:rsidDel="00000000" w:rsidP="00000000" w:rsidRDefault="00000000" w:rsidRPr="00000000" w14:paraId="00000004">
      <w:pPr>
        <w:numPr>
          <w:ilvl w:val="1"/>
          <w:numId w:val="2"/>
        </w:numPr>
        <w:spacing w:line="360" w:lineRule="auto"/>
        <w:ind w:left="1440" w:hanging="360"/>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Scanwolf secures RM75 mil piling job for KL high-rise project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 Launches New EV Policy Starting July</w:t>
      </w:r>
    </w:p>
    <w:p w:rsidR="00000000" w:rsidDel="00000000" w:rsidP="00000000" w:rsidRDefault="00000000" w:rsidRPr="00000000" w14:paraId="00000006">
      <w:pPr>
        <w:numPr>
          <w:ilvl w:val="1"/>
          <w:numId w:val="2"/>
        </w:numPr>
        <w:spacing w:line="360" w:lineRule="auto"/>
        <w:ind w:left="1440" w:hanging="36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https://youtu.be/OR9EX-BUH_4</w:t>
        </w:r>
      </w:hyperlink>
      <w:r w:rsidDel="00000000" w:rsidR="00000000" w:rsidRPr="00000000">
        <w:rPr>
          <w:rtl w:val="0"/>
        </w:rPr>
      </w:r>
    </w:p>
    <w:p w:rsidR="00000000" w:rsidDel="00000000" w:rsidP="00000000" w:rsidRDefault="00000000" w:rsidRPr="00000000" w14:paraId="00000007">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 continues with share trading as Tanco claims ‘business as usual’</w:t>
      </w:r>
    </w:p>
    <w:p w:rsidR="00000000" w:rsidDel="00000000" w:rsidP="00000000" w:rsidRDefault="00000000" w:rsidRPr="00000000" w14:paraId="00000008">
      <w:pPr>
        <w:numPr>
          <w:ilvl w:val="1"/>
          <w:numId w:val="2"/>
        </w:numPr>
        <w:spacing w:line="360" w:lineRule="auto"/>
        <w:ind w:left="1440" w:hanging="36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MD continues with share trading as Tanco claims ‘business as usual’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Elsa closes nearly 20% higher in ACE Market debut</w:t>
      </w:r>
    </w:p>
    <w:p w:rsidR="00000000" w:rsidDel="00000000" w:rsidP="00000000" w:rsidRDefault="00000000" w:rsidRPr="00000000" w14:paraId="0000000A">
      <w:pPr>
        <w:numPr>
          <w:ilvl w:val="1"/>
          <w:numId w:val="2"/>
        </w:numPr>
        <w:spacing w:line="360" w:lineRule="auto"/>
        <w:ind w:left="1440" w:hanging="36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Elsa closes nearly 20% higher in ACE Market debut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enwwd0k32dpb"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By PULSEPOINT NEWS</w:t>
      </w:r>
    </w:p>
    <w:p w:rsidR="00000000" w:rsidDel="00000000" w:rsidP="00000000" w:rsidRDefault="00000000" w:rsidRPr="00000000" w14:paraId="0000000E">
      <w:pPr>
        <w:spacing w:after="240" w:before="240" w:lineRule="auto"/>
        <w:rPr/>
      </w:pPr>
      <w:r w:rsidDel="00000000" w:rsidR="00000000" w:rsidRPr="00000000">
        <w:rPr>
          <w:rtl w:val="0"/>
        </w:rPr>
        <w:t xml:space="preserve">KUALA LUMPUR: Malaysia’s Ministry of Investment, Trade and Industry (Ministry of Investment, Trade and Industry (MITI)) has announced a new electric vehicle policy that will significantly raise import requirements, a move aimed at strengthening domestic automakers but expected to increase consumer prices.</w:t>
      </w:r>
    </w:p>
    <w:p w:rsidR="00000000" w:rsidDel="00000000" w:rsidP="00000000" w:rsidRDefault="00000000" w:rsidRPr="00000000" w14:paraId="0000000F">
      <w:pPr>
        <w:spacing w:after="240" w:before="240" w:lineRule="auto"/>
        <w:rPr/>
      </w:pPr>
      <w:r w:rsidDel="00000000" w:rsidR="00000000" w:rsidRPr="00000000">
        <w:rPr>
          <w:rtl w:val="0"/>
        </w:rPr>
        <w:t xml:space="preserve">The policy takes effect July 1, 2026, and introduces stricter conditions for fully imported electric vehicles, known as completely built-up (CBU) units. Importers must now meet a minimum Cost, Insurance and Freight (CIF) value of RM200,000 and a minimum motor output of 180 kilowatts. Officials said enforcement will begin after a transition period for industry adjustment.</w:t>
      </w:r>
    </w:p>
    <w:p w:rsidR="00000000" w:rsidDel="00000000" w:rsidP="00000000" w:rsidRDefault="00000000" w:rsidRPr="00000000" w14:paraId="00000010">
      <w:pPr>
        <w:spacing w:after="240" w:before="240" w:lineRule="auto"/>
        <w:rPr/>
      </w:pPr>
      <w:r w:rsidDel="00000000" w:rsidR="00000000" w:rsidRPr="00000000">
        <w:rPr>
          <w:rtl w:val="0"/>
        </w:rPr>
        <w:t xml:space="preserve">The new rules mark a sharp departure from the earlier exemption framework, which had a lower RM100,000 CIF threshold and helped accelerate EV adoption in Malaysia.</w:t>
      </w:r>
    </w:p>
    <w:p w:rsidR="00000000" w:rsidDel="00000000" w:rsidP="00000000" w:rsidRDefault="00000000" w:rsidRPr="00000000" w14:paraId="00000011">
      <w:pPr>
        <w:spacing w:after="240" w:before="240" w:lineRule="auto"/>
        <w:rPr/>
      </w:pPr>
      <w:r w:rsidDel="00000000" w:rsidR="00000000" w:rsidRPr="00000000">
        <w:rPr>
          <w:rtl w:val="0"/>
        </w:rPr>
        <w:t xml:space="preserve">Under the previous policy environment, Malaysia’s electric vehicle market expanded rapidly. EV registrations grew 105% year-over-year in 2025, reaching 44,813 units. Chinese automaker BYD led the market with about 31% share, followed by Tesla, Inc. at 18%.</w:t>
      </w:r>
    </w:p>
    <w:p w:rsidR="00000000" w:rsidDel="00000000" w:rsidP="00000000" w:rsidRDefault="00000000" w:rsidRPr="00000000" w14:paraId="00000012">
      <w:pPr>
        <w:spacing w:after="240" w:before="240" w:lineRule="auto"/>
        <w:rPr/>
      </w:pPr>
      <w:r w:rsidDel="00000000" w:rsidR="00000000" w:rsidRPr="00000000">
        <w:rPr>
          <w:rtl w:val="0"/>
        </w:rPr>
        <w:t xml:space="preserve">However, the government said the era of tax-free EV imports ended Dec. 31, 2025.</w:t>
      </w:r>
    </w:p>
    <w:p w:rsidR="00000000" w:rsidDel="00000000" w:rsidP="00000000" w:rsidRDefault="00000000" w:rsidRPr="00000000" w14:paraId="00000013">
      <w:pPr>
        <w:spacing w:after="240" w:before="240" w:lineRule="auto"/>
        <w:rPr/>
      </w:pPr>
      <w:r w:rsidDel="00000000" w:rsidR="00000000" w:rsidRPr="00000000">
        <w:rPr>
          <w:rtl w:val="0"/>
        </w:rPr>
        <w:t xml:space="preserve">Officials said the new measures are intended to protect and develop Malaysia’s domestic automotive industry, particularly national carmakers Proton and Perodua, which have faced increasing competition from lower-priced imported EVs.</w:t>
      </w:r>
    </w:p>
    <w:p w:rsidR="00000000" w:rsidDel="00000000" w:rsidP="00000000" w:rsidRDefault="00000000" w:rsidRPr="00000000" w14:paraId="00000014">
      <w:pPr>
        <w:spacing w:after="240" w:before="240" w:lineRule="auto"/>
        <w:rPr/>
      </w:pPr>
      <w:r w:rsidDel="00000000" w:rsidR="00000000" w:rsidRPr="00000000">
        <w:rPr>
          <w:rtl w:val="0"/>
        </w:rPr>
        <w:t xml:space="preserve">Locally assembled models have recently gained strong traction. The Proton e.MAS 7 accounts for about half of EV registrations in early 2026, while the Proton e.MAS 5 has also recorded strong sales between January and April.</w:t>
      </w:r>
    </w:p>
    <w:p w:rsidR="00000000" w:rsidDel="00000000" w:rsidP="00000000" w:rsidRDefault="00000000" w:rsidRPr="00000000" w14:paraId="00000015">
      <w:pPr>
        <w:spacing w:after="240" w:before="240" w:lineRule="auto"/>
        <w:rPr/>
      </w:pPr>
      <w:r w:rsidDel="00000000" w:rsidR="00000000" w:rsidRPr="00000000">
        <w:rPr>
          <w:rtl w:val="0"/>
        </w:rPr>
        <w:t xml:space="preserve">The government said the new RM200,000 threshold is designed to discourage low-cost imported EVs from undercutting the local completely knocked down (CKD) assembly strategy, particularly in the RM100,000 to RM150,000 segment. Officials said the policy will help stabilize domestic production and encourage long-term investment.</w:t>
      </w:r>
    </w:p>
    <w:p w:rsidR="00000000" w:rsidDel="00000000" w:rsidP="00000000" w:rsidRDefault="00000000" w:rsidRPr="00000000" w14:paraId="00000016">
      <w:pPr>
        <w:spacing w:after="240" w:before="240" w:lineRule="auto"/>
        <w:rPr/>
      </w:pPr>
      <w:r w:rsidDel="00000000" w:rsidR="00000000" w:rsidRPr="00000000">
        <w:rPr>
          <w:rtl w:val="0"/>
        </w:rPr>
        <w:t xml:space="preserve">Beyond protectionism, policymakers also say the changes will attract foreign investment, create jobs and strengthen local supply chains while reducing foreign currency outflows tied to fully imported vehicles.</w:t>
      </w:r>
    </w:p>
    <w:p w:rsidR="00000000" w:rsidDel="00000000" w:rsidP="00000000" w:rsidRDefault="00000000" w:rsidRPr="00000000" w14:paraId="00000017">
      <w:pPr>
        <w:spacing w:after="240" w:before="240" w:lineRule="auto"/>
        <w:rPr/>
      </w:pPr>
      <w:r w:rsidDel="00000000" w:rsidR="00000000" w:rsidRPr="00000000">
        <w:rPr>
          <w:rtl w:val="0"/>
        </w:rPr>
        <w:t xml:space="preserve">But consumers are expected to face higher prices. Under the new structure, CBU EVs will be subject to a 30% import duty, 10% excise duty and 10% sales and service tax, applied sequentially.</w:t>
      </w:r>
    </w:p>
    <w:p w:rsidR="00000000" w:rsidDel="00000000" w:rsidP="00000000" w:rsidRDefault="00000000" w:rsidRPr="00000000" w14:paraId="00000018">
      <w:pPr>
        <w:spacing w:after="240" w:before="240" w:lineRule="auto"/>
        <w:rPr/>
      </w:pPr>
      <w:r w:rsidDel="00000000" w:rsidR="00000000" w:rsidRPr="00000000">
        <w:rPr>
          <w:rtl w:val="0"/>
        </w:rPr>
        <w:t xml:space="preserve">Even with lower tariff rates under some trade agreements, analysts estimate total retail prices could rise to between RM280,000 and RM300,000 once distributor margins are included.</w:t>
      </w:r>
    </w:p>
    <w:p w:rsidR="00000000" w:rsidDel="00000000" w:rsidP="00000000" w:rsidRDefault="00000000" w:rsidRPr="00000000" w14:paraId="00000019">
      <w:pPr>
        <w:spacing w:after="240" w:before="240" w:lineRule="auto"/>
        <w:rPr/>
      </w:pPr>
      <w:r w:rsidDel="00000000" w:rsidR="00000000" w:rsidRPr="00000000">
        <w:rPr>
          <w:rtl w:val="0"/>
        </w:rPr>
        <w:t xml:space="preserve">As a result, budget EV models such as the BYD Atto 3, BYD Dolphin and BYD M6 are expected to be excluded from the Malaysian market under the new rules.</w:t>
      </w:r>
    </w:p>
    <w:p w:rsidR="00000000" w:rsidDel="00000000" w:rsidP="00000000" w:rsidRDefault="00000000" w:rsidRPr="00000000" w14:paraId="0000001A">
      <w:pPr>
        <w:spacing w:after="240" w:before="240" w:lineRule="auto"/>
        <w:rPr/>
      </w:pPr>
      <w:r w:rsidDel="00000000" w:rsidR="00000000" w:rsidRPr="00000000">
        <w:rPr>
          <w:rtl w:val="0"/>
        </w:rPr>
        <w:t xml:space="preserve">The policy shift comes as Malaysia also reviews its fuel subsidy system. RON95 petrol remains subsidized at RM1.99 per liter for eligible drivers, but the government is considering targeted subsidy reforms for higher-income groups. Officials estimate potential annual savings of up to RM8 billion.</w:t>
      </w:r>
    </w:p>
    <w:p w:rsidR="00000000" w:rsidDel="00000000" w:rsidP="00000000" w:rsidRDefault="00000000" w:rsidRPr="00000000" w14:paraId="0000001B">
      <w:pPr>
        <w:spacing w:after="240" w:before="240" w:lineRule="auto"/>
        <w:rPr/>
      </w:pPr>
      <w:r w:rsidDel="00000000" w:rsidR="00000000" w:rsidRPr="00000000">
        <w:rPr>
          <w:rtl w:val="0"/>
        </w:rPr>
        <w:t xml:space="preserve">The EV policy represents a broader balancing act between industrial protection and consumer affordability, with officials betting that short-term price increases will lead to a stronger domestic automotive sector in the long run.</w:t>
      </w:r>
    </w:p>
    <w:p w:rsidR="00000000" w:rsidDel="00000000" w:rsidP="00000000" w:rsidRDefault="00000000" w:rsidRPr="00000000" w14:paraId="0000001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02ae6kfg5k0"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Corporate</w:t>
      </w:r>
      <w:r w:rsidDel="00000000" w:rsidR="00000000" w:rsidRPr="00000000">
        <w:rPr>
          <w:rtl w:val="0"/>
        </w:rPr>
      </w:r>
    </w:p>
    <w:p w:rsidR="00000000" w:rsidDel="00000000" w:rsidP="00000000" w:rsidRDefault="00000000" w:rsidRPr="00000000" w14:paraId="0000001E">
      <w:pPr>
        <w:pStyle w:val="Heading1"/>
        <w:keepNext w:val="0"/>
        <w:keepLines w:val="0"/>
        <w:numPr>
          <w:ilvl w:val="0"/>
          <w:numId w:val="4"/>
        </w:numPr>
        <w:pBdr>
          <w:top w:space="0" w:sz="0" w:val="nil"/>
          <w:left w:space="0" w:sz="0" w:val="nil"/>
          <w:bottom w:space="0" w:sz="0" w:val="nil"/>
          <w:right w:space="0" w:sz="0" w:val="nil"/>
          <w:between w:space="0" w:sz="0" w:val="nil"/>
        </w:pBdr>
        <w:shd w:fill="ffffff" w:val="clear"/>
        <w:spacing w:after="0" w:before="0" w:line="360" w:lineRule="auto"/>
        <w:ind w:left="720" w:hanging="360"/>
        <w:rPr>
          <w:rFonts w:ascii="Times New Roman" w:cs="Times New Roman" w:eastAsia="Times New Roman" w:hAnsi="Times New Roman"/>
          <w:sz w:val="24"/>
          <w:szCs w:val="24"/>
        </w:rPr>
      </w:pPr>
      <w:bookmarkStart w:colFirst="0" w:colLast="0" w:name="_pvvo1q1r7xmd" w:id="3"/>
      <w:bookmarkEnd w:id="3"/>
      <w:r w:rsidDel="00000000" w:rsidR="00000000" w:rsidRPr="00000000">
        <w:rPr>
          <w:rFonts w:ascii="Times New Roman" w:cs="Times New Roman" w:eastAsia="Times New Roman" w:hAnsi="Times New Roman"/>
          <w:sz w:val="24"/>
          <w:szCs w:val="24"/>
          <w:rtl w:val="0"/>
        </w:rPr>
        <w:t xml:space="preserve">CIMB Islamic Bank wins two accolades at The Banker Islamic Banking Awards 2026</w:t>
      </w:r>
    </w:p>
    <w:p w:rsidR="00000000" w:rsidDel="00000000" w:rsidP="00000000" w:rsidRDefault="00000000" w:rsidRPr="00000000" w14:paraId="0000001F">
      <w:pPr>
        <w:pStyle w:val="Heading1"/>
        <w:keepNext w:val="0"/>
        <w:keepLines w:val="0"/>
        <w:numPr>
          <w:ilvl w:val="1"/>
          <w:numId w:val="4"/>
        </w:numPr>
        <w:pBdr>
          <w:top w:space="0" w:sz="0" w:val="nil"/>
          <w:left w:space="0" w:sz="0" w:val="nil"/>
          <w:bottom w:space="0" w:sz="0" w:val="nil"/>
          <w:right w:space="0" w:sz="0" w:val="nil"/>
          <w:between w:space="0" w:sz="0" w:val="nil"/>
        </w:pBdr>
        <w:shd w:fill="ffffff" w:val="clear"/>
        <w:spacing w:after="0" w:before="0" w:line="360" w:lineRule="auto"/>
        <w:ind w:left="1440" w:hanging="360"/>
        <w:rPr>
          <w:rFonts w:ascii="Times New Roman" w:cs="Times New Roman" w:eastAsia="Times New Roman" w:hAnsi="Times New Roman"/>
          <w:sz w:val="24"/>
          <w:szCs w:val="24"/>
        </w:rPr>
      </w:pPr>
      <w:bookmarkStart w:colFirst="0" w:colLast="0" w:name="_wlw8o62a41h6" w:id="4"/>
      <w:bookmarkEnd w:id="4"/>
      <w:hyperlink r:id="rId10">
        <w:r w:rsidDel="00000000" w:rsidR="00000000" w:rsidRPr="00000000">
          <w:rPr>
            <w:rFonts w:ascii="Times New Roman" w:cs="Times New Roman" w:eastAsia="Times New Roman" w:hAnsi="Times New Roman"/>
            <w:color w:val="1155cc"/>
            <w:sz w:val="24"/>
            <w:szCs w:val="24"/>
            <w:u w:val="single"/>
            <w:rtl w:val="0"/>
          </w:rPr>
          <w:t xml:space="preserve">https://theedgemalaysia.com/node/807245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Allianz Malaysia to launch basic insurance product next year </w:t>
      </w:r>
    </w:p>
    <w:p w:rsidR="00000000" w:rsidDel="00000000" w:rsidP="00000000" w:rsidRDefault="00000000" w:rsidRPr="00000000" w14:paraId="00000021">
      <w:pPr>
        <w:numPr>
          <w:ilvl w:val="1"/>
          <w:numId w:val="4"/>
        </w:numPr>
        <w:spacing w:line="360" w:lineRule="auto"/>
        <w:ind w:left="1440" w:hanging="36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Allianz Malaysia to launch basic insurance product next year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Capital A says Teleport stake foreclosure capped at arbitration sum owed, plans challenge</w:t>
      </w:r>
    </w:p>
    <w:p w:rsidR="00000000" w:rsidDel="00000000" w:rsidP="00000000" w:rsidRDefault="00000000" w:rsidRPr="00000000" w14:paraId="00000023">
      <w:pPr>
        <w:numPr>
          <w:ilvl w:val="1"/>
          <w:numId w:val="4"/>
        </w:numPr>
        <w:spacing w:line="360" w:lineRule="auto"/>
        <w:ind w:left="1440" w:hanging="360"/>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Capital A says Teleport stake foreclosure capped at arbitration sum owed, plans challenge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Bursa approves Vantris Energy’s application to uplift PN17 status</w:t>
      </w:r>
    </w:p>
    <w:p w:rsidR="00000000" w:rsidDel="00000000" w:rsidP="00000000" w:rsidRDefault="00000000" w:rsidRPr="00000000" w14:paraId="00000025">
      <w:pPr>
        <w:numPr>
          <w:ilvl w:val="1"/>
          <w:numId w:val="4"/>
        </w:numPr>
        <w:spacing w:line="360" w:lineRule="auto"/>
        <w:ind w:left="1440" w:hanging="36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Bursa approves Vantris Energy’s application to uplift PN17 status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Beshom Holdings to sell 14.6 acres of land in Klang for RM86 mil</w:t>
      </w:r>
    </w:p>
    <w:p w:rsidR="00000000" w:rsidDel="00000000" w:rsidP="00000000" w:rsidRDefault="00000000" w:rsidRPr="00000000" w14:paraId="00000027">
      <w:pPr>
        <w:numPr>
          <w:ilvl w:val="1"/>
          <w:numId w:val="4"/>
        </w:numPr>
        <w:spacing w:line="360" w:lineRule="auto"/>
        <w:ind w:left="1440" w:hanging="360"/>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https://theedgemalaysia.com/node/807228</w:t>
        </w:r>
      </w:hyperlink>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ilxmy6xr0xu2"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Economy</w:t>
      </w:r>
      <w:r w:rsidDel="00000000" w:rsidR="00000000" w:rsidRPr="00000000">
        <w:rPr>
          <w:rtl w:val="0"/>
        </w:rPr>
      </w:r>
    </w:p>
    <w:p w:rsidR="00000000" w:rsidDel="00000000" w:rsidP="00000000" w:rsidRDefault="00000000" w:rsidRPr="00000000" w14:paraId="0000002B">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SME Bank sees Malaysian MSMEs remaining resilient despite weaker sentiment in 1H</w:t>
      </w:r>
    </w:p>
    <w:p w:rsidR="00000000" w:rsidDel="00000000" w:rsidP="00000000" w:rsidRDefault="00000000" w:rsidRPr="00000000" w14:paraId="0000002C">
      <w:pPr>
        <w:numPr>
          <w:ilvl w:val="1"/>
          <w:numId w:val="1"/>
        </w:numPr>
        <w:spacing w:line="360" w:lineRule="auto"/>
        <w:ind w:left="1440" w:hanging="360"/>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https://theedgemalaysia.com/node/807209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Customs revenue up 25% to RM23.6 bil in 1Q</w:t>
      </w:r>
    </w:p>
    <w:p w:rsidR="00000000" w:rsidDel="00000000" w:rsidP="00000000" w:rsidRDefault="00000000" w:rsidRPr="00000000" w14:paraId="0000002E">
      <w:pPr>
        <w:numPr>
          <w:ilvl w:val="1"/>
          <w:numId w:val="1"/>
        </w:numPr>
        <w:spacing w:line="360" w:lineRule="auto"/>
        <w:ind w:left="1440" w:hanging="360"/>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https://theedgemalaysia.com/node/807208</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DOSM: Malaysia’s total trade hits RM3.1 tril in 2025, Penang tops exports</w:t>
      </w:r>
    </w:p>
    <w:p w:rsidR="00000000" w:rsidDel="00000000" w:rsidP="00000000" w:rsidRDefault="00000000" w:rsidRPr="00000000" w14:paraId="00000030">
      <w:pPr>
        <w:numPr>
          <w:ilvl w:val="1"/>
          <w:numId w:val="1"/>
        </w:numPr>
        <w:spacing w:line="360" w:lineRule="auto"/>
        <w:ind w:left="1440" w:hanging="360"/>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https://theedgemalaysia.com/node/807172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Domestic tourism spending reaches RM121.3 bil in 2025 — DOSM </w:t>
      </w:r>
    </w:p>
    <w:p w:rsidR="00000000" w:rsidDel="00000000" w:rsidP="00000000" w:rsidRDefault="00000000" w:rsidRPr="00000000" w14:paraId="00000032">
      <w:pPr>
        <w:numPr>
          <w:ilvl w:val="1"/>
          <w:numId w:val="1"/>
        </w:numPr>
        <w:spacing w:line="360" w:lineRule="auto"/>
        <w:ind w:left="1440" w:hanging="360"/>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https://theedgemalaysia.com/node/807161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Viral ECRL fare rates only speculation, actual rates not announced yet, says MRL</w:t>
      </w:r>
    </w:p>
    <w:p w:rsidR="00000000" w:rsidDel="00000000" w:rsidP="00000000" w:rsidRDefault="00000000" w:rsidRPr="00000000" w14:paraId="00000034">
      <w:pPr>
        <w:numPr>
          <w:ilvl w:val="1"/>
          <w:numId w:val="1"/>
        </w:numPr>
        <w:spacing w:line="360" w:lineRule="auto"/>
        <w:ind w:left="1440" w:hanging="360"/>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https://theedgemalaysia.com/node/807145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sccl5arqrich"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About Us</w:t>
      </w:r>
      <w:r w:rsidDel="00000000" w:rsidR="00000000" w:rsidRPr="00000000">
        <w:rPr>
          <w:rtl w:val="0"/>
        </w:rPr>
      </w:r>
    </w:p>
    <w:p w:rsidR="00000000" w:rsidDel="00000000" w:rsidP="00000000" w:rsidRDefault="00000000" w:rsidRPr="00000000" w14:paraId="00000037">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Aishhwarya Lakshmi JRN2409041</w:t>
      </w:r>
    </w:p>
    <w:p w:rsidR="00000000" w:rsidDel="00000000" w:rsidP="00000000" w:rsidRDefault="00000000" w:rsidRPr="00000000" w14:paraId="00000038">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Thong Qian Hui JRN2409048</w:t>
      </w:r>
    </w:p>
    <w:p w:rsidR="00000000" w:rsidDel="00000000" w:rsidP="00000000" w:rsidRDefault="00000000" w:rsidRPr="00000000" w14:paraId="00000039">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Zhao Qi JRN2409045</w:t>
      </w:r>
    </w:p>
    <w:p w:rsidR="00000000" w:rsidDel="00000000" w:rsidP="00000000" w:rsidRDefault="00000000" w:rsidRPr="00000000" w14:paraId="0000003A">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Chea Zhi Xuan JRN2409036</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theedgemalaysia.com/node/807223" TargetMode="External"/><Relationship Id="rId10" Type="http://schemas.openxmlformats.org/officeDocument/2006/relationships/hyperlink" Target="https://theedgemalaysia.com/node/807245" TargetMode="External"/><Relationship Id="rId13" Type="http://schemas.openxmlformats.org/officeDocument/2006/relationships/hyperlink" Target="https://theedgemalaysia.com/node/807226" TargetMode="External"/><Relationship Id="rId12" Type="http://schemas.openxmlformats.org/officeDocument/2006/relationships/hyperlink" Target="https://theedgemalaysia.com/node/80724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edgemalaysia.com/node/807123" TargetMode="External"/><Relationship Id="rId15" Type="http://schemas.openxmlformats.org/officeDocument/2006/relationships/hyperlink" Target="https://theedgemalaysia.com/node/807209" TargetMode="External"/><Relationship Id="rId14" Type="http://schemas.openxmlformats.org/officeDocument/2006/relationships/hyperlink" Target="https://theedgemalaysia.com/node/807228" TargetMode="External"/><Relationship Id="rId17" Type="http://schemas.openxmlformats.org/officeDocument/2006/relationships/hyperlink" Target="https://theedgemalaysia.com/node/807172" TargetMode="External"/><Relationship Id="rId16" Type="http://schemas.openxmlformats.org/officeDocument/2006/relationships/hyperlink" Target="https://theedgemalaysia.com/node/807208" TargetMode="External"/><Relationship Id="rId5" Type="http://schemas.openxmlformats.org/officeDocument/2006/relationships/styles" Target="styles.xml"/><Relationship Id="rId19" Type="http://schemas.openxmlformats.org/officeDocument/2006/relationships/hyperlink" Target="https://theedgemalaysia.com/node/807145" TargetMode="External"/><Relationship Id="rId6" Type="http://schemas.openxmlformats.org/officeDocument/2006/relationships/hyperlink" Target="https://theedgemalaysia.com/node/807232" TargetMode="External"/><Relationship Id="rId18" Type="http://schemas.openxmlformats.org/officeDocument/2006/relationships/hyperlink" Target="https://theedgemalaysia.com/node/807161" TargetMode="External"/><Relationship Id="rId7" Type="http://schemas.openxmlformats.org/officeDocument/2006/relationships/hyperlink" Target="https://youtu.be/OR9EX-BUH_4" TargetMode="External"/><Relationship Id="rId8" Type="http://schemas.openxmlformats.org/officeDocument/2006/relationships/hyperlink" Target="https://theedgemalaysia.com/node/8072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