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>Re-examination of V</w:t>
      </w:r>
      <w:r>
        <w:rPr>
          <w:rFonts w:ascii="TimesNewRoman,Bold" w:hAnsi="TimesNewRoman,Bold" w:eastAsia="TimesNewRoman,Bold"/>
          <w:b/>
          <w:i w:val="0"/>
          <w:color w:val="2D2D2D"/>
          <w:sz w:val="18"/>
        </w:rPr>
        <w:t>th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 xml:space="preserve"> Window and Reliability in HfO</w:t>
      </w:r>
      <w:r>
        <w:rPr>
          <w:rFonts w:ascii="TimesNewRoman,Bold" w:hAnsi="TimesNewRoman,Bold" w:eastAsia="TimesNewRoman,Bold"/>
          <w:b/>
          <w:i w:val="0"/>
          <w:color w:val="2D2D2D"/>
          <w:sz w:val="18"/>
        </w:rPr>
        <w:t>2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 xml:space="preserve"> FeFET Based on the Direct 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>Extraction of Spontaneous Polarization and Trap Charge during Memory Operation</w:t>
      </w:r>
    </w:p>
    <w:p>
      <w:pPr>
        <w:autoSpaceDN w:val="0"/>
        <w:autoSpaceDE w:val="0"/>
        <w:widowControl/>
        <w:spacing w:line="245" w:lineRule="auto" w:before="110" w:after="120"/>
        <w:ind w:left="432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Reika Ichihara, Kunifumi Suzuki, Haruka Kusai, Keiko Ariyoshi, Keisuke Akari, Keisuke Takano, Kazuhiro Matsuo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Yuta Kamiya, Kota Takahashi, Hidenori Miyagawa, Yuuichi Kamimuta, Kiwamu Sakuma, and Masumi Saitoh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Institute of Memory Technology R&amp;D, Kioxia Corporation, Kawasaki, Japan, E-mail: reika.ichihara@kioxia.com</w:t>
      </w:r>
    </w:p>
    <w:p>
      <w:pPr>
        <w:sectPr>
          <w:pgSz w:w="12240" w:h="15840"/>
          <w:pgMar w:top="288" w:right="946" w:bottom="50" w:left="964" w:header="720" w:footer="720" w:gutter="0"/>
          <w:cols w:space="720" w:num="1" w:equalWidth="0"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9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>—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We re-examine the dominant factors of the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window (MW) and reliability of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FeFET using a new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technique to extract both spontaneous polarization (P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interface trap charges (Q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by one-time current measurement of an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FeFET during the memory operation. FeFET characteristics are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strongly affected by unstable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(unrelated to ferroelectric) which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causes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instability just after programming, and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which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compensates most of electric(E)-field generated by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coupled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with constant ratio (~90%), and reduce MW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value much lower than the coercive voltage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limitation. Unlike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conventional model,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and stabilization are still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effective to improve MW and retention, respectively. During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cycling, MW is degraded by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as well as the increase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of the compensation ratio (∆Q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which can be mitigated by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suppressing charge injection/ejection via interfacial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48" w:after="0"/>
        <w:ind w:left="0" w:right="98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Introduction: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FeFET has attracted much attention as a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promising emerging memory because of its high speed/low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voltage operation and CMOS compatibility. Recently, a huge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amount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at the interface close to 10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14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cm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 FeFET has been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reported [1, 2]. Although it has been suggested that the charge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trapping affects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instability after programing (prog.) [2, 3],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retention [3, 4], and the limited endurance [3, 5], the accurate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amount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well as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memory operation and their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impact on the MW and reliability have not been understood yet.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this study, we extract both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directly from FeFET under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various operating conditions. As shown in Fig. 1, we re-examine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dominant factors of the memory characteristics and reconstruct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improvement guideline. </w:t>
      </w:r>
    </w:p>
    <w:p>
      <w:pPr>
        <w:autoSpaceDN w:val="0"/>
        <w:autoSpaceDE w:val="0"/>
        <w:widowControl/>
        <w:spacing w:line="245" w:lineRule="auto" w:before="50" w:after="0"/>
        <w:ind w:left="0" w:right="98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Results and discussions: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We measured poly-Si channel thin-film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transistor with Si-doped ferroelectric (FE)-HfO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of 10nm. Cross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sectional TEM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is shown in Fig. 1. The thickness of interfacial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around 1.5nm. We newly developed a convenient analysis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scheme that can extract both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prog., retention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and cycling from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 one-time current measurement of a single FeFET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(no need for Hall measurement unlike [1]). Fig. 2 shows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concept of the analysis and the measurement sequence.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after erase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&lt;0) /prog.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&gt;0) operation is shown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Fig. 3.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just after prog. shifts to the positive direction which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opposite to the expected direction, then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decreases drastically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about 10sec. After 1000sec,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increases again. The change of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caused by prog. and the subsequent time evolution derived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from (1)-(4) (Fig. 2a) are shown in Fig. 4a.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larger than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generated temporarily, but a part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disappears within 10sec (I).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After that, the state is stable until 1000sec, then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start to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decrease together (II). From these characteristics, the charges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produced by prog. can be divided into the unstable component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which disappears in 10sec and the stable component which does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not change until 1000sec as shown in Fig. 4b. These components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are also clearly separated in the erase operation (Fig. 4c). </w:t>
      </w:r>
    </w:p>
    <w:p>
      <w:pPr>
        <w:autoSpaceDN w:val="0"/>
        <w:autoSpaceDE w:val="0"/>
        <w:widowControl/>
        <w:spacing w:line="245" w:lineRule="auto" w:before="30" w:after="0"/>
        <w:ind w:left="0" w:right="98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Unstable charge trapping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: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As shown in Fig. 4b, the unstable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component is dominated by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The positive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caused by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prog. and the following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with time are also observed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 FETs with paraelectric-HfO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5. So,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unstable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(electron trapping: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-trapping) originates in the defects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unrelated to FE. In an FeFET, the E-field modulation due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excessive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 induces a small amount of the unstable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2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Stable charge compensation of P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  <w:u w:val="single"/>
        </w:rPr>
        <w:t>s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 xml:space="preserve"> at the interface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: In the stable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component,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quite large and </w:t>
      </w:r>
      <w:r>
        <w:rPr>
          <w:rFonts w:ascii="TimesNewRoman" w:hAnsi="TimesNewRoman" w:eastAsia="TimesNewRoman"/>
          <w:b w:val="0"/>
          <w:i w:val="0"/>
          <w:color w:val="000000"/>
          <w:sz w:val="19"/>
          <w:u w:val="single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lose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4b.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correlation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with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extracted by changing the prog.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condition (Fig. 6a) is shown in Fig. 6b.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almost 90%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regardless of the prog. condition. This proves that the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completely follows the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inevitably compensates the most of </w:t>
      </w:r>
    </w:p>
    <w:p>
      <w:pPr>
        <w:autoSpaceDN w:val="0"/>
        <w:autoSpaceDE w:val="0"/>
        <w:widowControl/>
        <w:spacing w:line="233" w:lineRule="auto" w:before="518" w:after="0"/>
        <w:ind w:left="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978-1-7281-6460-1/20/$31.00 ©2020 IEEE</w:t>
      </w:r>
    </w:p>
    <w:p>
      <w:pPr>
        <w:sectPr>
          <w:type w:val="continuous"/>
          <w:pgSz w:w="12240" w:h="15840"/>
          <w:pgMar w:top="288" w:right="946" w:bottom="50" w:left="964" w:header="720" w:footer="720" w:gutter="0"/>
          <w:cols w:space="720" w:num="2" w:equalWidth="0"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As illustrated in Fig. 6b, the following feedback would occur: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increases the 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causes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-injection,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consequently charge compensation at the interface decreases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, then high E-field across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maintained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even at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Fig. 7 shows the dependence of MW on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Although the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(&gt; 10uC/cm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) is realized, only 10% of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contributes to MW because of the charge compensation. As a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result, MW is proportional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for a wide range. So,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still directly contributes to MW enlargement. This is significantly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different from the conventional FeFET model (ideal situation)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where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the indicator of MW for such a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26" w:after="0"/>
        <w:ind w:left="10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Impact of each component on Reliability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: Correlation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  <w:u w:val="single"/>
        </w:rPr>
        <w:t>is maintained even in the long-term reten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tion (Fig. 8). Despite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should accelerate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-injection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,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decreases with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which is possibly caused by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depolarization field of FE-HfO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9. This means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that the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in long-term domain is triggered by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change, not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by charge injection. This is also different from the conventional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model. To improve the retention,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stabilization is essential. </w:t>
      </w:r>
    </w:p>
    <w:p>
      <w:pPr>
        <w:autoSpaceDN w:val="0"/>
        <w:autoSpaceDE w:val="0"/>
        <w:widowControl/>
        <w:spacing w:line="245" w:lineRule="auto" w:before="0" w:after="0"/>
        <w:ind w:left="10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Fig. 10 shows the cycling characteristics. MW starts to reduce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after 1k cycles (Fig. 10a). One of the origins for MW reduction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decrease (Fig. 10b).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also decreases with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but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increases with cycling then reaches almost unity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(Fig. 10b).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 is critical, because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of unity vanishes MW even if the decrease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can be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suppressed. To verify the possibility that the increase of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originates in the stabilization of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 unrelated to FE, I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during erase at each cycle are compared in Fig. 11a. The peaks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belonging to the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unrelated to FE disappear within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100sec even after the cycling. So, the larger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after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cycling is not caused by the stabilization of the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unrelated to FE. As shown in Fig. 11b,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also proportional to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even after 100k cycles. From these results, it is suggested that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trap sites which can compensate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stably increase with cycling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as shown in Fig. 11c. </w:t>
      </w:r>
    </w:p>
    <w:p>
      <w:pPr>
        <w:autoSpaceDN w:val="0"/>
        <w:autoSpaceDE w:val="0"/>
        <w:widowControl/>
        <w:spacing w:line="245" w:lineRule="auto" w:before="0" w:after="0"/>
        <w:ind w:left="10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excessive prog. stress which causes a larger amount of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unstable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(Fig. 12a) accelerates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while the unipolar stress does not cause the degradation as shown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 Fig. 12b. This means that the repetition of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-trapping/de-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trapping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caused by the unstable components induces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additional trap sites at the interface which can compensate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indirectly affects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of the stable component.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charge trapping/de-trapping caused by the stable component itself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presumably has more impact on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 by cycling,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because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of the stable component is much larger than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unstable component as shown in Fig. 4b. </w:t>
      </w:r>
    </w:p>
    <w:p>
      <w:pPr>
        <w:autoSpaceDN w:val="0"/>
        <w:autoSpaceDE w:val="0"/>
        <w:widowControl/>
        <w:spacing w:line="245" w:lineRule="auto" w:before="52" w:after="0"/>
        <w:ind w:left="1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Revised model and guideline: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Dominant factors of the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characteristics are summarized in Fig. 13a. Compared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conventional model assuming the ideal situation and additional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charge trapping, a huge amount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completely coupled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strongly dominate the whole memory operation in the revised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model as shown in Fig. 13b. Based on this model, we developed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improvement guideline: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increase/stabilization,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suppression of charge injection/ejection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, all of which are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supported by the experiment data shown in Fig. 13c-e. </w:t>
      </w:r>
    </w:p>
    <w:p>
      <w:pPr>
        <w:autoSpaceDN w:val="0"/>
        <w:autoSpaceDE w:val="0"/>
        <w:widowControl/>
        <w:spacing w:line="245" w:lineRule="auto" w:before="52" w:after="0"/>
        <w:ind w:left="100" w:right="20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Conclusions: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Behaviors of both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FeFET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operation were quantitatively revealed by the newly developed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analysis. A huge amount of stable interface trap charges coupled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significantly alters the operating model of FeFET memory.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and stabilization are still effective for MW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retention improvement, respectively. Suppression of charge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injection and ejection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 key to higher endurance. </w:t>
      </w:r>
    </w:p>
    <w:p>
      <w:pPr>
        <w:autoSpaceDN w:val="0"/>
        <w:autoSpaceDE w:val="0"/>
        <w:widowControl/>
        <w:spacing w:line="233" w:lineRule="auto" w:before="556" w:after="126"/>
        <w:ind w:left="3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2020 Symposium on VLSI Technology Digest of Technical Papers - TF1.2</w:t>
      </w:r>
    </w:p>
    <w:p>
      <w:pPr>
        <w:sectPr>
          <w:type w:val="nextColumn"/>
          <w:pgSz w:w="12240" w:h="15840"/>
          <w:pgMar w:top="288" w:right="946" w:bottom="50" w:left="964" w:header="720" w:footer="720" w:gutter="0"/>
          <w:cols w:space="720" w:num="2" w:equalWidth="0"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December 09,2020 at 20:40:25 UTC from IEEE Xplore.  Restrictions apply. </w:t>
      </w:r>
    </w:p>
    <w:p>
      <w:pPr>
        <w:sectPr>
          <w:type w:val="continuous"/>
          <w:pgSz w:w="12240" w:h="15840"/>
          <w:pgMar w:top="288" w:right="946" w:bottom="50" w:left="964" w:header="720" w:footer="720" w:gutter="0"/>
          <w:cols w:space="720" w:num="1" w:equalWidth="0">
            <w:col w:w="10330" w:space="0"/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245" w:lineRule="auto" w:before="0" w:after="6"/>
        <w:ind w:left="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References: [1] K. Toprasertpong et al., IEDM2019, p.570. [2] Y. Higashi et al., IEDM2019, p.358. [3] K. Ni et al., IEEE T-ED,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65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2461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(2016). [4] N. Gong et al., IEEE EDL,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37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1123 (2016). [5] M. Pesic et al., IEDM2018, p.588.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5"/>
        <w:gridCol w:w="2065"/>
        <w:gridCol w:w="2065"/>
        <w:gridCol w:w="2065"/>
        <w:gridCol w:w="2065"/>
      </w:tblGrid>
      <w:tr>
        <w:trPr>
          <w:trHeight w:hRule="exact" w:val="2474"/>
        </w:trPr>
        <w:tc>
          <w:tcPr>
            <w:tcW w:type="dxa" w:w="3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75840" cy="1153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0" cy="1153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22" w:after="0"/>
              <w:ind w:left="5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1. Concept of this work. </w:t>
            </w:r>
          </w:p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88459" cy="11099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59" cy="1109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2 (a) Concept of the analysis.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can be described by the measurable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parameters : ∆V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(equation (1)-(4)). (b) Measurement sequence to extract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prog., retention and cycling. Triangle wave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applied twice to remove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the leakage current. The ramp rate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5000V/s. </w:t>
            </w:r>
          </w:p>
        </w:tc>
      </w:tr>
      <w:tr>
        <w:trPr>
          <w:trHeight w:hRule="exact" w:val="1791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43330" cy="11264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126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42970" cy="11328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1132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4. (a) 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caused by prog. and the subsequent time evolution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(b) Stable and unstable components of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generated by prog.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(c)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erase just after prog. and 100sec after prog.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3639" cy="10985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39" cy="1098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9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3. Time evolution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</w:p>
        </w:tc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5. Time evolution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after prog. in FET with paraele-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ctric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gate dielectric.</w:t>
            </w:r>
          </w:p>
        </w:tc>
      </w:tr>
      <w:tr>
        <w:trPr>
          <w:trHeight w:hRule="exact" w:val="400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after erase and prog. </w:t>
            </w:r>
          </w:p>
        </w:tc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583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36800" cy="11150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115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289050" cy="11391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139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098" w:val="left"/>
              </w:tabs>
              <w:autoSpaceDE w:val="0"/>
              <w:widowControl/>
              <w:spacing w:line="247" w:lineRule="auto" w:before="0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Fig.6. (a) Measurement scheme to analyze prog. with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7. Dependence of </w:t>
            </w:r>
          </w:p>
          <w:p>
            <w:pPr>
              <w:autoSpaceDN w:val="0"/>
              <w:tabs>
                <w:tab w:pos="4098" w:val="left"/>
              </w:tabs>
              <w:autoSpaceDE w:val="0"/>
              <w:widowControl/>
              <w:spacing w:line="247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square wave. (b)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for various prog. condition.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MW on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</w:p>
        </w:tc>
        <w:tc>
          <w:tcPr>
            <w:tcW w:type="dxa" w:w="1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63650" cy="11277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1127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8.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retention process. (time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domain II in Fig. 4a)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73200" cy="111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0"/>
        </w:trPr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9. Schematic of the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behavior during long-term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retention process.</w:t>
            </w:r>
          </w:p>
        </w:tc>
      </w:tr>
      <w:tr>
        <w:trPr>
          <w:trHeight w:hRule="exact" w:val="6640"/>
        </w:trPr>
        <w:tc>
          <w:tcPr>
            <w:tcW w:type="dxa" w:w="102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61760" cy="122046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220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90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10. Cycling characteristics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11. (a)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erase just after prog. and 100sec after prog. at each cycle. (b) The relationship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tabs>
                <w:tab w:pos="2900" w:val="left"/>
              </w:tabs>
              <w:autoSpaceDE w:val="0"/>
              <w:widowControl/>
              <w:spacing w:line="254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(a)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(b)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ratio.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between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the stable component after 100k cycles. (c) Schematic of degradation by cycling.</w:t>
            </w:r>
          </w:p>
          <w:p>
            <w:pPr>
              <w:autoSpaceDN w:val="0"/>
              <w:autoSpaceDE w:val="0"/>
              <w:widowControl/>
              <w:spacing w:line="240" w:lineRule="auto" w:before="146" w:after="0"/>
              <w:ind w:left="0" w:right="5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81500" cy="9982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98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92580" cy="20002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2000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4381500" cy="99567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95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12. (a) Impact of the excessive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13. (a) Comparison between the conventional model and the revised model. (b) Schematic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prog. stress on ∆V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th(before prog.)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the dominant factors of memory performance and the guideline for the improvement. (c) MW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just after prog. and 100sec after prog.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of the devices with different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almost the same compensation ratio. (d) Dependence of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(b) Dependence of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ratio 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and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on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long-term retention. (e) Influence of the total amount of charge trapping/de-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cycles with various cycling conditions.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trapping on the endurance. The data are obtained by the experiment shown in Fig. 12.</w:t>
            </w:r>
          </w:p>
        </w:tc>
      </w:tr>
      <w:tr>
        <w:trPr>
          <w:trHeight w:hRule="exact" w:val="404"/>
        </w:trPr>
        <w:tc>
          <w:tcPr>
            <w:tcW w:type="dxa" w:w="3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978-1-7281-6460-1/20/$31.00 ©2020 IEEE</w:t>
            </w:r>
          </w:p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2020 Symposium on VLSI Technology Digest of Technical Papers - TF1.2</w:t>
            </w:r>
          </w:p>
        </w:tc>
      </w:tr>
    </w:tbl>
    <w:p>
      <w:pPr>
        <w:autoSpaceDN w:val="0"/>
        <w:autoSpaceDE w:val="0"/>
        <w:widowControl/>
        <w:spacing w:line="192" w:lineRule="exact" w:before="6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December 09,2020 at 20:40:25 UTC from IEEE Xplore.  Restrictions apply. </w:t>
      </w:r>
    </w:p>
    <w:sectPr w:rsidR="00FC693F" w:rsidRPr="0006063C" w:rsidSect="00034616">
      <w:pgSz w:w="12240" w:h="15840"/>
      <w:pgMar w:top="410" w:right="952" w:bottom="50" w:left="964" w:header="720" w:footer="720" w:gutter="0"/>
      <w:cols w:space="720" w:num="1" w:equalWidth="0">
        <w:col w:w="10323" w:space="0"/>
        <w:col w:w="10330" w:space="0"/>
        <w:col w:w="5154" w:space="0"/>
        <w:col w:w="5176" w:space="0"/>
        <w:col w:w="103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