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autoSpaceDN w:val="0"/>
        <w:autoSpaceDE w:val="0"/>
        <w:widowControl/>
        <w:spacing w:line="294" w:lineRule="exact" w:before="0" w:after="82"/>
        <w:ind w:left="3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 5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478-500; doi:10.3390/ma5030478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70.0" w:type="dxa"/>
      </w:tblPr>
      <w:tblGrid>
        <w:gridCol w:w="10040"/>
      </w:tblGrid>
      <w:tr>
        <w:trPr>
          <w:trHeight w:hRule="exact" w:val="230"/>
        </w:trPr>
        <w:tc>
          <w:tcPr>
            <w:tcW w:type="dxa" w:w="1584"/>
            <w:tcBorders/>
            <w:shd w:fill="00b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20"/>
              </w:rPr>
              <w:t>OPEN ACCESS</w:t>
            </w:r>
          </w:p>
        </w:tc>
      </w:tr>
    </w:tbl>
    <w:p>
      <w:pPr>
        <w:autoSpaceDN w:val="0"/>
        <w:tabs>
          <w:tab w:pos="6716" w:val="left"/>
          <w:tab w:pos="7500" w:val="left"/>
          <w:tab w:pos="8322" w:val="left"/>
        </w:tabs>
        <w:autoSpaceDE w:val="0"/>
        <w:widowControl/>
        <w:spacing w:line="278" w:lineRule="exact" w:before="550" w:after="0"/>
        <w:ind w:left="30" w:right="0" w:firstLine="0"/>
        <w:jc w:val="left"/>
      </w:pPr>
      <w:r>
        <w:tab/>
      </w:r>
      <w:r>
        <w:rPr>
          <w:rFonts w:ascii="TimesNewRoman,BoldItalic" w:hAnsi="TimesNewRoman,BoldItalic" w:eastAsia="TimesNewRoman,BoldItalic"/>
          <w:b/>
          <w:i/>
          <w:color w:val="996533"/>
          <w:sz w:val="64"/>
        </w:rPr>
        <w:t xml:space="preserve">materials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ISSN 1996-1944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www.mdpi.com/journal/materials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Review </w:t>
      </w:r>
    </w:p>
    <w:p>
      <w:pPr>
        <w:autoSpaceDN w:val="0"/>
        <w:autoSpaceDE w:val="0"/>
        <w:widowControl/>
        <w:spacing w:line="245" w:lineRule="auto" w:before="242" w:after="0"/>
        <w:ind w:left="30" w:right="1152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36"/>
        </w:rPr>
        <w:t xml:space="preserve">Ultimate Scaling of High-κ Gate Dielectrics: Higher-κ or </w:t>
      </w:r>
      <w:r>
        <w:rPr>
          <w:rFonts w:ascii="TimesNewRoman,Bold" w:hAnsi="TimesNewRoman,Bold" w:eastAsia="TimesNewRoman,Bold"/>
          <w:b/>
          <w:i w:val="0"/>
          <w:color w:val="000000"/>
          <w:sz w:val="36"/>
        </w:rPr>
        <w:t xml:space="preserve">Interfacial Layer Scavenging? </w:t>
      </w:r>
    </w:p>
    <w:p>
      <w:pPr>
        <w:autoSpaceDN w:val="0"/>
        <w:autoSpaceDE w:val="0"/>
        <w:widowControl/>
        <w:spacing w:line="230" w:lineRule="auto" w:before="314" w:after="0"/>
        <w:ind w:left="3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Takashi Ando </w:t>
      </w:r>
    </w:p>
    <w:p>
      <w:pPr>
        <w:autoSpaceDN w:val="0"/>
        <w:autoSpaceDE w:val="0"/>
        <w:widowControl/>
        <w:spacing w:line="264" w:lineRule="auto" w:before="312" w:after="0"/>
        <w:ind w:left="30" w:right="115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IBM Thomas J. Watson Research Center, Yorktown Heights, New York, NY 10598, USA;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E-Mail: andot@us.ibm.com; Tel.: +1-914-945-1738; Fax: +1-914-945-4184 </w:t>
      </w:r>
    </w:p>
    <w:p>
      <w:pPr>
        <w:autoSpaceDN w:val="0"/>
        <w:autoSpaceDE w:val="0"/>
        <w:widowControl/>
        <w:spacing w:line="342" w:lineRule="exact" w:before="250" w:after="0"/>
        <w:ind w:left="30" w:right="1008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Received: 29 January 2012; in revised form: 11 February 2012 / Accepted: 6 March 2012 /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Published: 14 March 2012 </w:t>
      </w:r>
    </w:p>
    <w:p>
      <w:pPr>
        <w:autoSpaceDN w:val="0"/>
        <w:autoSpaceDE w:val="0"/>
        <w:widowControl/>
        <w:spacing w:line="290" w:lineRule="auto" w:before="654" w:after="0"/>
        <w:ind w:left="592" w:right="586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Abstract: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Current status and challenges of aggressive equivalent-oxide-thickness (EOT)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scaling of high-κ gate dielectrics via higher-κ (&gt;20) materials and interfacial layer (IL)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techniques are reviewed. La-based higher-κ materials show aggressive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scaling (0.5–0.8 nm), but with effective workfunction (EWF) values suitable only for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n-type field-effect-transistor (FET). Further exploration for p-type FET-compatible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higher-κ materials is needed. Meanwhile, IL scavenging is a promising approach to extend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Hf-based high-κ dielectrics to future nodes. Remote IL scavenging techniques enable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scaling below 0.5 nm. Mobility-EOT trends in the literature suggest that short-channel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performance improvement is attainable with aggressive EOT scaling via IL scavenging 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La-silicate formation. However, extreme IL scaling (e.g., zero-IL) is accompanied by loss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of EWF control and with severe penalty in reliability. Therefore, highly precise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thickness control in an ultra-thin IL regime (&lt;0.5 nm) will be the key technology to satisfy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both performance and reliability requirements for future CMOS devices. </w:t>
      </w:r>
    </w:p>
    <w:p>
      <w:pPr>
        <w:autoSpaceDN w:val="0"/>
        <w:autoSpaceDE w:val="0"/>
        <w:widowControl/>
        <w:spacing w:line="230" w:lineRule="auto" w:before="314" w:after="0"/>
        <w:ind w:left="59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Keywords: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high-κ; metal gate; scavenging; higher-κ; EOT; MOSFET </w:t>
      </w:r>
    </w:p>
    <w:p>
      <w:pPr>
        <w:autoSpaceDN w:val="0"/>
        <w:autoSpaceDE w:val="0"/>
        <w:widowControl/>
        <w:spacing w:line="230" w:lineRule="auto" w:before="932" w:after="0"/>
        <w:ind w:left="3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1. Introduction </w:t>
      </w:r>
    </w:p>
    <w:p>
      <w:pPr>
        <w:autoSpaceDN w:val="0"/>
        <w:autoSpaceDE w:val="0"/>
        <w:widowControl/>
        <w:spacing w:line="283" w:lineRule="auto" w:before="310" w:after="0"/>
        <w:ind w:left="30" w:right="2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rapid progress of complementary metal-oxide-semiconductor (CMOS) integrated circuit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technology has been accomplished by a calculated reduction of the dimensions of the unit device in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circuit—a practice termed “scaling [1]”. Continued device scaling for future technology nodes requires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reduction in equivalent oxide thickness (EOT) of gate dielectrics. Extendibility of the conventional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SiO(N)/polycrystalline silicon (poly-Si) gate structure is challenged due to exponential increase in gate </w:t>
      </w:r>
    </w:p>
    <w:p>
      <w:pPr>
        <w:sectPr>
          <w:pgSz w:w="11900" w:h="16840"/>
          <w:pgMar w:top="524" w:right="896" w:bottom="670" w:left="964" w:header="720" w:footer="720" w:gutter="0"/>
          <w:cols w:space="720" w:num="1" w:equalWidth="0"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479</w:t>
      </w:r>
    </w:p>
    <w:p>
      <w:pPr>
        <w:autoSpaceDN w:val="0"/>
        <w:autoSpaceDE w:val="0"/>
        <w:widowControl/>
        <w:spacing w:line="290" w:lineRule="auto" w:before="400" w:after="0"/>
        <w:ind w:left="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leakage currents [2]. As alternatives to SiO(N) gate dielectrics, much work has been done on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research of high permittivity (high-κ) materials [3]. After a decade-long search for the appropriate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high-κ materials, the semiconductor industry has converged on Hf-based oxides, such as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HfSi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y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for the first generation CMOS products featuring high-κ gate dielectrics and metal gate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electrodes (HKMG) [4,5]. The EOT for the first generation HKMG device is approximately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1.0 nm [4]. Continued L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scaling for the 32 nm and beyond with a planer structure requires sub-nm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EOT to suppress short-channel effects. Fully depleted device structures, such as FinFET or extremely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thin SOI (ETSOI), improve short-channel control and thus relax the requirements for EOT scaling.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However, the insertion point of such device architectures is expected to be the 22 nm and beyond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sub-nm EOT may be still required at those advanced technology nodes. </w:t>
      </w:r>
    </w:p>
    <w:p>
      <w:pPr>
        <w:autoSpaceDN w:val="0"/>
        <w:autoSpaceDE w:val="0"/>
        <w:widowControl/>
        <w:spacing w:line="274" w:lineRule="auto" w:before="74" w:after="60"/>
        <w:ind w:left="0" w:right="22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 typical HKMG stack structure contains a silicon oxide based interfacial layer (IL), a high-k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dielectric, followed by a metal gate electrode. This system is equivalent to two capacitors connected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series. Thus, the total EOT of the HKMG stack can be expressed as follows.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26.0" w:type="dxa"/>
      </w:tblPr>
      <w:tblGrid>
        <w:gridCol w:w="1668"/>
        <w:gridCol w:w="1668"/>
        <w:gridCol w:w="1668"/>
        <w:gridCol w:w="1668"/>
        <w:gridCol w:w="1668"/>
        <w:gridCol w:w="1668"/>
      </w:tblGrid>
      <w:tr>
        <w:trPr>
          <w:trHeight w:hRule="exact" w:val="460"/>
        </w:trPr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74" w:after="0"/>
              <w:ind w:left="0" w:right="26" w:firstLine="0"/>
              <w:jc w:val="right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EOT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=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40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 xml:space="preserve">EOT </w:t>
            </w: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14"/>
              </w:rPr>
              <w:t>IL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+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40" w:after="0"/>
              <w:ind w:left="30" w:right="0" w:firstLine="0"/>
              <w:jc w:val="left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 xml:space="preserve">EOT </w:t>
            </w: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14"/>
              </w:rPr>
              <w:t>HK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4" w:after="0"/>
              <w:ind w:left="0" w:right="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(1) </w:t>
            </w:r>
          </w:p>
        </w:tc>
      </w:tr>
    </w:tbl>
    <w:p>
      <w:pPr>
        <w:autoSpaceDN w:val="0"/>
        <w:autoSpaceDE w:val="0"/>
        <w:widowControl/>
        <w:spacing w:line="288" w:lineRule="auto" w:before="136" w:after="0"/>
        <w:ind w:left="0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where EOT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and EOT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HK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are contributions from the IL and high-κ layer, respectively. An apparent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way to scale EOT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HK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is to reduce the physical thickness of the high-κ layer, however, there is little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room in this direction. It has been reported that a thick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 causes significant degradations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carrier mobility and charge trapping both with gate-first [6] and gate-last [7] processes. Therefore,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first generation HKMG devices already employ the thinnest possible high-κ layer. This leaves us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three possible EOT scaling approaches: (1) Introduce a new high-κ material with k-value greater than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that of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; (2) Increase the k-value of IL; (3) Reduce the physical thickness of IL. In this paper, we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review current status and challenges for each approach and discuss the EOT scaling strategy for future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CMOS devices. </w:t>
      </w:r>
    </w:p>
    <w:p>
      <w:pPr>
        <w:autoSpaceDN w:val="0"/>
        <w:autoSpaceDE w:val="0"/>
        <w:widowControl/>
        <w:spacing w:line="230" w:lineRule="auto" w:before="318" w:after="0"/>
        <w:ind w:left="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2. Higher-κ Materials </w:t>
      </w:r>
    </w:p>
    <w:p>
      <w:pPr>
        <w:autoSpaceDN w:val="0"/>
        <w:autoSpaceDE w:val="0"/>
        <w:widowControl/>
        <w:spacing w:line="290" w:lineRule="auto" w:before="310" w:after="0"/>
        <w:ind w:left="0" w:right="22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is one of the most widely used high-κ materials, showing a k-value of approximately 20.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Replacing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with materials having k-values greater than 20 (higher-κ) is a long term scaling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solution. In pursuit of higher-k materials, the tradeoff between k-value and band gap needs to be taken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into account. It is generally known that band gap values have a roughly inverse dependence 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k-values (E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~k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−0.65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[8]. Therefore, materials with too high k-values typically result in excessive direct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tunneling currents and most work showing promising EOT-leakage current density (J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characteristics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has been achieved with k-value ranging from 20 to 30. Various groups have reported k-value increase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in this range by stabilizing the higher-k phase (tetragonal or cubic) of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via doping of elements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such as zirconium [9], yttrium [10], and silicon [11]. This is a practical means to attain a modest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k-value increase, however, controllability of crystallinity in an ultra thin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thickness regime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(&lt;2 nm) has yet to be demonstrated. Other groups have suggested La-based higher-k materials such as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La-Al-O or La-Lu-O [12]. These materials have recently demonstrated a lot of promise to outperform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Hf-based high-κ on a device level [13–16]. </w:t>
      </w:r>
    </w:p>
    <w:p>
      <w:pPr>
        <w:autoSpaceDN w:val="0"/>
        <w:autoSpaceDE w:val="0"/>
        <w:widowControl/>
        <w:spacing w:line="269" w:lineRule="auto" w:before="74" w:after="0"/>
        <w:ind w:left="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 less disruptive way to increase the average k-value of the gate stack is to boost the k-value of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IL in conjunction with Hf-based oxides. A La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cap on a Hf-based high-κ layer has been widely used </w:t>
      </w:r>
    </w:p>
    <w:p>
      <w:pPr>
        <w:sectPr>
          <w:pgSz w:w="11900" w:h="16840"/>
          <w:pgMar w:top="454" w:right="898" w:bottom="658" w:left="994" w:header="720" w:footer="720" w:gutter="0"/>
          <w:cols w:space="720" w:num="1" w:equalWidth="0"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6172200</wp:posOffset>
            </wp:positionV>
            <wp:extent cx="2908300" cy="1549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54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2278380</wp:posOffset>
            </wp:positionH>
            <wp:positionV relativeFrom="page">
              <wp:posOffset>4386580</wp:posOffset>
            </wp:positionV>
            <wp:extent cx="2881630" cy="169283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692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480</w:t>
      </w:r>
    </w:p>
    <w:p>
      <w:pPr>
        <w:autoSpaceDN w:val="0"/>
        <w:autoSpaceDE w:val="0"/>
        <w:widowControl/>
        <w:spacing w:line="290" w:lineRule="auto" w:before="400" w:after="0"/>
        <w:ind w:left="0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to adjust the threshold voltage (V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of n-type field-effect-transistors (nFET) [17]. Some portion of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La elements diffuse through the high-κ layer and form La-silicate IL after high temperature anneals [18].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This is an effective way to increase the k-value of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-based IL. Figure 1(a,b) shows the Z-contrast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image and Electron Energy-Loss Spectroscopy (EELS) profiles, respectively, obtained by Cs-corrected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Scanning Transmission Electron Microscopy (STEM) for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/La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/TiN/poly-Si stack after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1,000 °C anneal (after [19]). As seen in Figure 1(b), formation of La-silicate in the IL can be precisely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controlled by carefully optimizing the La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 thickness and the thermal budget, resulting in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of 0.58 nm. It was also reported that a single layer of La-silicate gate dielectric scales EOT to a similar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value (0.62 nm) [20]. As a potential new alternative, it was recently shown that a thin epitaxial strontium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oxide (SrO) interfacial layer prior to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deposition results in EOT of 0.50 nm [21] and 0.60 nm [22]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 gate-last and gate-first integrations, respectively. </w:t>
      </w:r>
    </w:p>
    <w:p>
      <w:pPr>
        <w:autoSpaceDN w:val="0"/>
        <w:autoSpaceDE w:val="0"/>
        <w:widowControl/>
        <w:spacing w:line="274" w:lineRule="auto" w:before="316" w:after="286"/>
        <w:ind w:left="562" w:right="586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1.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Z-contrast image and 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corresponding Electron Energy-Loss Spectroscopy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(EELS) profiles (La, Ti, and Si) of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/La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/TiN/poly-Si stack after a 1,000 °C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anneal (after [19]).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6.0" w:type="dxa"/>
      </w:tblPr>
      <w:tblGrid>
        <w:gridCol w:w="1668"/>
        <w:gridCol w:w="1668"/>
        <w:gridCol w:w="1668"/>
        <w:gridCol w:w="1668"/>
        <w:gridCol w:w="1668"/>
        <w:gridCol w:w="1668"/>
      </w:tblGrid>
      <w:tr>
        <w:trPr>
          <w:trHeight w:hRule="exact" w:val="1826"/>
        </w:trPr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1002" w:after="0"/>
              <w:ind w:left="6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30"/>
              </w:rPr>
              <w:t xml:space="preserve">Intensity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38"/>
              </w:rPr>
              <w:t>(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30"/>
              </w:rPr>
              <w:t>a.u.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38"/>
              </w:rPr>
              <w:t>)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340" w:after="0"/>
              <w:ind w:left="10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3"/>
              </w:rPr>
              <w:t>TiN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32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3"/>
              </w:rPr>
              <w:t>HfO</w:t>
            </w:r>
            <w:r>
              <w:rPr>
                <w:w w:val="101.52141026088171"/>
                <w:rFonts w:ascii="Arial,Bold" w:hAnsi="Arial,Bold" w:eastAsia="Arial,Bold"/>
                <w:b/>
                <w:i w:val="0"/>
                <w:color w:val="FFFFFF"/>
                <w:sz w:val="21"/>
              </w:rPr>
              <w:t>2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334" w:after="0"/>
              <w:ind w:left="0" w:right="39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3"/>
              </w:rPr>
              <w:t>IL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324" w:after="0"/>
              <w:ind w:left="0" w:right="15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3"/>
              </w:rPr>
              <w:t>Si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60" w:after="0"/>
              <w:ind w:left="100" w:right="0" w:firstLine="0"/>
              <w:jc w:val="left"/>
            </w:pPr>
            <w:r>
              <w:rPr>
                <w:w w:val="98.70164235432942"/>
                <w:rFonts w:ascii="Arial,Bold" w:hAnsi="Arial,Bold" w:eastAsia="Arial,Bold"/>
                <w:b/>
                <w:i w:val="0"/>
                <w:color w:val="FFFFFF"/>
                <w:sz w:val="30"/>
              </w:rPr>
              <w:t>(a)</w:t>
            </w:r>
          </w:p>
        </w:tc>
      </w:tr>
      <w:tr>
        <w:trPr>
          <w:trHeight w:hRule="exact" w:val="3392"/>
        </w:trPr>
        <w:tc>
          <w:tcPr>
            <w:tcW w:type="dxa" w:w="1668"/>
            <w:vMerge/>
            <w:tcBorders/>
          </w:tcPr>
          <w:p/>
        </w:tc>
        <w:tc>
          <w:tcPr>
            <w:tcW w:type="dxa" w:w="1668"/>
            <w:vMerge/>
            <w:tcBorders/>
          </w:tcPr>
          <w:p/>
        </w:tc>
        <w:tc>
          <w:tcPr>
            <w:tcW w:type="dxa" w:w="1668"/>
            <w:vMerge/>
            <w:tcBorders/>
          </w:tcPr>
          <w:p/>
        </w:tc>
        <w:tc>
          <w:tcPr>
            <w:tcW w:type="dxa" w:w="1668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130" w:after="0"/>
              <w:ind w:left="288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5"/>
              </w:rPr>
              <w:t xml:space="preserve"> La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5"/>
              </w:rPr>
              <w:t xml:space="preserve"> Ti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5"/>
              </w:rPr>
              <w:t xml:space="preserve"> Si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6" w:lineRule="exact" w:before="1086" w:after="0"/>
              <w:ind w:left="100" w:right="0" w:firstLine="0"/>
              <w:jc w:val="left"/>
            </w:pPr>
            <w:r>
              <w:rPr>
                <w:w w:val="101.5765486092403"/>
                <w:rFonts w:ascii="Arial,Bold" w:hAnsi="Arial,Bold" w:eastAsia="Arial,Bold"/>
                <w:b/>
                <w:i w:val="0"/>
                <w:color w:val="000000"/>
                <w:sz w:val="29"/>
              </w:rPr>
              <w:t>(b)</w:t>
            </w:r>
          </w:p>
        </w:tc>
      </w:tr>
    </w:tbl>
    <w:p>
      <w:pPr>
        <w:autoSpaceDN w:val="0"/>
        <w:autoSpaceDE w:val="0"/>
        <w:widowControl/>
        <w:spacing w:line="412" w:lineRule="exact" w:before="142" w:after="0"/>
        <w:ind w:left="0" w:right="3568" w:firstLine="0"/>
        <w:jc w:val="right"/>
      </w:pPr>
      <w:r>
        <w:rPr>
          <w:rFonts w:ascii="Arial,Bold" w:hAnsi="Arial,Bold" w:eastAsia="Arial,Bold"/>
          <w:b/>
          <w:i w:val="0"/>
          <w:color w:val="000000"/>
          <w:sz w:val="30"/>
        </w:rPr>
        <w:t>Electron Beam Position</w:t>
      </w:r>
    </w:p>
    <w:p>
      <w:pPr>
        <w:autoSpaceDN w:val="0"/>
        <w:autoSpaceDE w:val="0"/>
        <w:widowControl/>
        <w:spacing w:line="288" w:lineRule="auto" w:before="362" w:after="0"/>
        <w:ind w:left="0" w:right="2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Table 1 summarizes recently reported IL k-boost and higher-κ data. EOT values less than 0.80 nm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have been achieved with both approaches, however, the aggressive scaling is accompanied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effective workfunction (EWF) shift toward the Si conduction band minimum (CBM) in most cases.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This trend is attributable to formation of electric dipoles at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/high-κ interface originating from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lanthanide (e.g., La, Lu) or alkaline earth (e.g., Sr) metals [23–25]. Formation of such dipoles makes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application of these materials to p-type field-effect-transistors (pFET) extremely difficult.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Development of CMOS-compatible higher-κ materials is one of the biggest challenges to overcome.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Unlike other lanthanide-based higher-κ materials, La-Al-O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showed controllability of the EWF from the </w:t>
      </w:r>
    </w:p>
    <w:p>
      <w:pPr>
        <w:sectPr>
          <w:pgSz w:w="11900" w:h="16840"/>
          <w:pgMar w:top="454" w:right="898" w:bottom="622" w:left="994" w:header="720" w:footer="720" w:gutter="0"/>
          <w:cols w:space="720" w:num="1" w:equalWidth="0"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481</w:t>
      </w:r>
    </w:p>
    <w:p>
      <w:pPr>
        <w:autoSpaceDN w:val="0"/>
        <w:autoSpaceDE w:val="0"/>
        <w:widowControl/>
        <w:spacing w:line="276" w:lineRule="auto" w:before="400" w:after="0"/>
        <w:ind w:left="0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Si CBM to near the Si mid-gap with TiN electrodes by changing the La/(La+Al) atomic ratio [16,26,27].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This unique capability of La-Al-O may allow CMOS integration when combined with appropriate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workfunction setting metals using gate-last process [28]. </w:t>
      </w:r>
    </w:p>
    <w:p>
      <w:pPr>
        <w:autoSpaceDN w:val="0"/>
        <w:autoSpaceDE w:val="0"/>
        <w:widowControl/>
        <w:spacing w:line="264" w:lineRule="auto" w:before="312" w:after="124"/>
        <w:ind w:left="562" w:right="576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Table 1.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Summary of silicon oxide based interfacial layer (IL) k-boost and higher-k data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literature. Equivalent oxide thickness (EOT), effective workfunction (EWF).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2501"/>
        <w:gridCol w:w="2501"/>
        <w:gridCol w:w="2501"/>
        <w:gridCol w:w="2501"/>
      </w:tblGrid>
      <w:tr>
        <w:trPr>
          <w:trHeight w:hRule="exact" w:val="314"/>
        </w:trPr>
        <w:tc>
          <w:tcPr>
            <w:tcW w:type="dxa" w:w="3026"/>
            <w:tcBorders>
              <w:top w:sz="7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0" w:right="924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Materials </w:t>
            </w:r>
          </w:p>
        </w:tc>
        <w:tc>
          <w:tcPr>
            <w:tcW w:type="dxa" w:w="1240"/>
            <w:tcBorders>
              <w:top w:sz="7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0" w:right="14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k-value </w:t>
            </w:r>
          </w:p>
        </w:tc>
        <w:tc>
          <w:tcPr>
            <w:tcW w:type="dxa" w:w="1440"/>
            <w:tcBorders>
              <w:top w:sz="7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158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EOT (nm) </w:t>
            </w:r>
          </w:p>
        </w:tc>
        <w:tc>
          <w:tcPr>
            <w:tcW w:type="dxa" w:w="3018"/>
            <w:tcBorders>
              <w:top w:sz="7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EWF with TiN electrode </w:t>
            </w:r>
          </w:p>
        </w:tc>
      </w:tr>
      <w:tr>
        <w:trPr>
          <w:trHeight w:hRule="exact" w:val="284"/>
        </w:trPr>
        <w:tc>
          <w:tcPr>
            <w:tcW w:type="dxa" w:w="3026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4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La-silicate IL/(HfO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) [19,20] </w:t>
            </w:r>
          </w:p>
        </w:tc>
        <w:tc>
          <w:tcPr>
            <w:tcW w:type="dxa" w:w="12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45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  <w:tc>
          <w:tcPr>
            <w:tcW w:type="dxa" w:w="14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2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0.58–0.62 </w:t>
            </w:r>
          </w:p>
        </w:tc>
        <w:tc>
          <w:tcPr>
            <w:tcW w:type="dxa" w:w="301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~Si CBM </w:t>
            </w:r>
          </w:p>
        </w:tc>
      </w:tr>
      <w:tr>
        <w:trPr>
          <w:trHeight w:hRule="exact" w:val="44"/>
        </w:trPr>
        <w:tc>
          <w:tcPr>
            <w:tcW w:type="dxa" w:w="2501"/>
            <w:vMerge/>
            <w:tcBorders>
              <w:top w:sz="4.0" w:val="single" w:color="#000000"/>
            </w:tcBorders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4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2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0.50–0.60 </w:t>
            </w:r>
          </w:p>
        </w:tc>
        <w:tc>
          <w:tcPr>
            <w:tcW w:type="dxa" w:w="30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~Si CBM </w:t>
            </w:r>
          </w:p>
        </w:tc>
      </w:tr>
      <w:tr>
        <w:trPr>
          <w:trHeight w:hRule="exact" w:val="256"/>
        </w:trPr>
        <w:tc>
          <w:tcPr>
            <w:tcW w:type="dxa" w:w="30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SrO IL/HfO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 [20,21] </w:t>
            </w:r>
          </w:p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501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38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27 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70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  <w:tc>
          <w:tcPr>
            <w:tcW w:type="dxa" w:w="30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</w:tr>
      <w:tr>
        <w:trPr>
          <w:trHeight w:hRule="exact" w:val="256"/>
        </w:trPr>
        <w:tc>
          <w:tcPr>
            <w:tcW w:type="dxa" w:w="30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Y doped 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 [10] </w:t>
            </w:r>
          </w:p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501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38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27 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70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  <w:tc>
          <w:tcPr>
            <w:tcW w:type="dxa" w:w="30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</w:tr>
      <w:tr>
        <w:trPr>
          <w:trHeight w:hRule="exact" w:val="256"/>
        </w:trPr>
        <w:tc>
          <w:tcPr>
            <w:tcW w:type="dxa" w:w="30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Si doped 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 [11] </w:t>
            </w:r>
          </w:p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501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38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23 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54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0.58 </w:t>
            </w:r>
          </w:p>
        </w:tc>
        <w:tc>
          <w:tcPr>
            <w:tcW w:type="dxa" w:w="30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~Si CBM </w:t>
            </w:r>
          </w:p>
        </w:tc>
      </w:tr>
      <w:tr>
        <w:trPr>
          <w:trHeight w:hRule="exact" w:val="276"/>
        </w:trPr>
        <w:tc>
          <w:tcPr>
            <w:tcW w:type="dxa" w:w="30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La-Lu-O [13] </w:t>
            </w:r>
          </w:p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  <w:tc>
          <w:tcPr>
            <w:tcW w:type="dxa" w:w="2501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0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Y-La-Si-O [14] 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45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54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0.77 </w:t>
            </w:r>
          </w:p>
        </w:tc>
        <w:tc>
          <w:tcPr>
            <w:tcW w:type="dxa" w:w="30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~Si CBM </w:t>
            </w:r>
          </w:p>
        </w:tc>
      </w:tr>
      <w:tr>
        <w:trPr>
          <w:trHeight w:hRule="exact" w:val="280"/>
        </w:trPr>
        <w:tc>
          <w:tcPr>
            <w:tcW w:type="dxa" w:w="30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La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 [16] 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45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- 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54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0.62 </w:t>
            </w:r>
          </w:p>
        </w:tc>
        <w:tc>
          <w:tcPr>
            <w:tcW w:type="dxa" w:w="30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~Si CBM </w:t>
            </w:r>
          </w:p>
        </w:tc>
      </w:tr>
      <w:tr>
        <w:trPr>
          <w:trHeight w:hRule="exact" w:val="44"/>
        </w:trPr>
        <w:tc>
          <w:tcPr>
            <w:tcW w:type="dxa" w:w="2501"/>
            <w:vMerge/>
            <w:tcBorders/>
          </w:tcPr>
          <w:p/>
        </w:tc>
        <w:tc>
          <w:tcPr>
            <w:tcW w:type="dxa" w:w="1240"/>
            <w:vMerge w:val="restart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21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23–25 </w:t>
            </w:r>
          </w:p>
        </w:tc>
        <w:tc>
          <w:tcPr>
            <w:tcW w:type="dxa" w:w="1440"/>
            <w:vMerge w:val="restart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2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0.31–0.74 </w:t>
            </w:r>
          </w:p>
        </w:tc>
        <w:tc>
          <w:tcPr>
            <w:tcW w:type="dxa" w:w="3018"/>
            <w:vMerge w:val="restart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Si CBM~Si mid-gap </w:t>
            </w:r>
          </w:p>
        </w:tc>
      </w:tr>
      <w:tr>
        <w:trPr>
          <w:trHeight w:hRule="exact" w:val="288"/>
        </w:trPr>
        <w:tc>
          <w:tcPr>
            <w:tcW w:type="dxa" w:w="3026"/>
            <w:tcBorders>
              <w:bottom w:sz="7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La-Al-O [15,16] </w:t>
            </w:r>
          </w:p>
        </w:tc>
        <w:tc>
          <w:tcPr>
            <w:tcW w:type="dxa" w:w="2501"/>
            <w:vMerge/>
            <w:tcBorders>
              <w:bottom w:sz="7.199999999999818" w:val="single" w:color="#000000"/>
            </w:tcBorders>
          </w:tcPr>
          <w:p/>
        </w:tc>
        <w:tc>
          <w:tcPr>
            <w:tcW w:type="dxa" w:w="2501"/>
            <w:vMerge/>
            <w:tcBorders>
              <w:bottom w:sz="7.199999999999818" w:val="single" w:color="#000000"/>
            </w:tcBorders>
          </w:tcPr>
          <w:p/>
        </w:tc>
        <w:tc>
          <w:tcPr>
            <w:tcW w:type="dxa" w:w="2501"/>
            <w:vMerge/>
            <w:tcBorders>
              <w:bottom w:sz="7.199999999999818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312" w:after="0"/>
        <w:ind w:left="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3. Interfacial Layer Scavenging Approach </w:t>
      </w:r>
    </w:p>
    <w:p>
      <w:pPr>
        <w:autoSpaceDN w:val="0"/>
        <w:autoSpaceDE w:val="0"/>
        <w:widowControl/>
        <w:spacing w:line="288" w:lineRule="auto" w:before="314" w:after="0"/>
        <w:ind w:left="0" w:right="2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As reviewed in Section 2, higher-κ materials are not mature enough to replace Hf-based oxide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especially in terms of pFET EWF control although there has been great progress in EOT scaling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recent years (see Table 1). Considering the maturity of Hf-based high-κ gate dielectrics, scaling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-based IL in conjunction with Hf-based oxides may be more practical in meeting the requirements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 the 22 nm node and beyond. Several techniques going in this direction have been reported, such as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 scaling via scavenging reaction [19,29–37], cycle-by-cycle atomic layer deposition (ALD)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annealing of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[38], and advanced post deposition anneal for epitaxial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growth [39]. In this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section, we mainly review the IL scavenging process since most device level learning is available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literature with this approach. </w:t>
      </w:r>
    </w:p>
    <w:p>
      <w:pPr>
        <w:autoSpaceDN w:val="0"/>
        <w:autoSpaceDE w:val="0"/>
        <w:widowControl/>
        <w:spacing w:line="294" w:lineRule="exact" w:before="302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3.1. Materials and Process Considerations </w:t>
      </w:r>
    </w:p>
    <w:p>
      <w:pPr>
        <w:autoSpaceDN w:val="0"/>
        <w:autoSpaceDE w:val="0"/>
        <w:widowControl/>
        <w:spacing w:line="340" w:lineRule="exact" w:before="224" w:after="0"/>
        <w:ind w:left="0" w:right="2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 scaling via scavenging reaction has become a mainstream approach in recent years to realize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EOT 0.5 nm and less. Several variations have been reported since Kim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found this phenomenon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using a Ti overlayer on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or ZrO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 [29]. Table 2 summarizes the key materials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parameters for various IL scavenging processes in the literature. We have reviewed these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processes from the following perspectives: (1) IL growth condition, (2) Choice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element, (3) Location of scavenging element, (4) Choice of high-κ material, (5) Maximum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temperature. </w:t>
      </w:r>
    </w:p>
    <w:p>
      <w:pPr>
        <w:autoSpaceDN w:val="0"/>
        <w:autoSpaceDE w:val="0"/>
        <w:widowControl/>
        <w:spacing w:line="230" w:lineRule="auto" w:before="31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3.1.1. IL Growth Condition </w:t>
      </w:r>
    </w:p>
    <w:p>
      <w:pPr>
        <w:autoSpaceDN w:val="0"/>
        <w:autoSpaceDE w:val="0"/>
        <w:widowControl/>
        <w:spacing w:line="340" w:lineRule="exact" w:before="254" w:after="0"/>
        <w:ind w:left="0" w:right="2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Ragnarsson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reported that EOT scaling via IL scavenging strongly depends on the growth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condition of the initial IL [36]. In this work, room temperature chemical oxide ILs showed more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scaling compared to in-situ steam generation (ISSG) oxide ILs at 760–900 °C and thermal oxide ILs at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1,100 °C. It has been reported that IL scavenging reaction proceeds via decomposition of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and </w:t>
      </w:r>
    </w:p>
    <w:p>
      <w:pPr>
        <w:sectPr>
          <w:pgSz w:w="11900" w:h="16840"/>
          <w:pgMar w:top="454" w:right="900" w:bottom="614" w:left="994" w:header="720" w:footer="720" w:gutter="0"/>
          <w:cols w:space="720" w:num="1" w:equalWidth="0"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482</w:t>
      </w:r>
    </w:p>
    <w:p>
      <w:pPr>
        <w:autoSpaceDN w:val="0"/>
        <w:autoSpaceDE w:val="0"/>
        <w:widowControl/>
        <w:spacing w:line="276" w:lineRule="auto" w:before="400" w:after="0"/>
        <w:ind w:left="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subsequent re-incorporation of Si atoms into the channel [29,34]. Since this is a reverse reaction of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growth, a uniform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 with low formation energy may be preferred as a starting IL to facilitate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scavenging reaction at later stages of process flow. </w:t>
      </w:r>
    </w:p>
    <w:p>
      <w:pPr>
        <w:autoSpaceDN w:val="0"/>
        <w:autoSpaceDE w:val="0"/>
        <w:widowControl/>
        <w:spacing w:line="230" w:lineRule="auto" w:before="312" w:after="122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Table 2.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Summary of IL scavenging processes in the literature.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2502"/>
        <w:gridCol w:w="2502"/>
        <w:gridCol w:w="2502"/>
        <w:gridCol w:w="2502"/>
      </w:tblGrid>
      <w:tr>
        <w:trPr>
          <w:trHeight w:hRule="exact" w:val="316"/>
        </w:trPr>
        <w:tc>
          <w:tcPr>
            <w:tcW w:type="dxa" w:w="2310"/>
            <w:tcBorders>
              <w:top w:sz="8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Scavenging element </w:t>
            </w:r>
          </w:p>
        </w:tc>
        <w:tc>
          <w:tcPr>
            <w:tcW w:type="dxa" w:w="2040"/>
            <w:tcBorders>
              <w:top w:sz="8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High-κ materials </w:t>
            </w:r>
          </w:p>
        </w:tc>
        <w:tc>
          <w:tcPr>
            <w:tcW w:type="dxa" w:w="2540"/>
            <w:tcBorders>
              <w:top w:sz="8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Max temperature (°C) </w:t>
            </w:r>
          </w:p>
        </w:tc>
        <w:tc>
          <w:tcPr>
            <w:tcW w:type="dxa" w:w="1320"/>
            <w:tcBorders>
              <w:top w:sz="8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 xml:space="preserve">EOT (nm) </w:t>
            </w:r>
          </w:p>
        </w:tc>
      </w:tr>
      <w:tr>
        <w:trPr>
          <w:trHeight w:hRule="exact" w:val="284"/>
        </w:trPr>
        <w:tc>
          <w:tcPr>
            <w:tcW w:type="dxa" w:w="231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Ti [29] </w:t>
            </w:r>
          </w:p>
        </w:tc>
        <w:tc>
          <w:tcPr>
            <w:tcW w:type="dxa" w:w="204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 or ZrO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4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300 </w:t>
            </w:r>
          </w:p>
        </w:tc>
        <w:tc>
          <w:tcPr>
            <w:tcW w:type="dxa" w:w="132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1.70 </w:t>
            </w:r>
          </w:p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Ti [31] </w:t>
            </w:r>
          </w:p>
        </w:tc>
        <w:tc>
          <w:tcPr>
            <w:tcW w:type="dxa" w:w="25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500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0.69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Hf [31]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500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0.60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Hf [32]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1020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0.59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TiN [36]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1035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0.60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TiN [36]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1035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0.46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/La-cap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Doped TiN [19]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1000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0.54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Doped TiN [19]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1000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0.42 </w:t>
            </w:r>
          </w:p>
        </w:tc>
      </w:tr>
      <w:tr>
        <w:trPr>
          <w:trHeight w:hRule="exact" w:val="256"/>
        </w:trPr>
        <w:tc>
          <w:tcPr>
            <w:tcW w:type="dxa" w:w="2502"/>
            <w:vMerge/>
            <w:tcBorders/>
          </w:tcPr>
          <w:p/>
        </w:tc>
        <w:tc>
          <w:tcPr>
            <w:tcW w:type="dxa" w:w="2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/La-cap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0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10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Doped TiN [37] </w:t>
            </w:r>
          </w:p>
        </w:tc>
        <w:tc>
          <w:tcPr>
            <w:tcW w:type="dxa" w:w="2502"/>
            <w:vMerge/>
            <w:tcBorders/>
          </w:tcPr>
          <w:p/>
        </w:tc>
        <w:tc>
          <w:tcPr>
            <w:tcW w:type="dxa" w:w="2540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600 </w:t>
            </w:r>
          </w:p>
        </w:tc>
        <w:tc>
          <w:tcPr>
            <w:tcW w:type="dxa" w:w="1320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 xml:space="preserve">0.49 </w:t>
            </w:r>
          </w:p>
        </w:tc>
      </w:tr>
      <w:tr>
        <w:trPr>
          <w:trHeight w:hRule="exact" w:val="288"/>
        </w:trPr>
        <w:tc>
          <w:tcPr>
            <w:tcW w:type="dxa" w:w="2502"/>
            <w:vMerge/>
            <w:tcBorders>
              <w:bottom w:sz="8.0" w:val="single" w:color="#000000"/>
            </w:tcBorders>
          </w:tcPr>
          <w:p/>
        </w:tc>
        <w:tc>
          <w:tcPr>
            <w:tcW w:type="dxa" w:w="204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2"/>
              </w:rPr>
              <w:t>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502"/>
            <w:vMerge/>
            <w:tcBorders>
              <w:bottom w:sz="8.0" w:val="single" w:color="#000000"/>
            </w:tcBorders>
          </w:tcPr>
          <w:p/>
        </w:tc>
        <w:tc>
          <w:tcPr>
            <w:tcW w:type="dxa" w:w="2502"/>
            <w:vMerge/>
            <w:tcBorders>
              <w:bottom w:sz="8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31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3.1.2. Choice of Scavenging Element </w:t>
      </w:r>
    </w:p>
    <w:p>
      <w:pPr>
        <w:autoSpaceDN w:val="0"/>
        <w:autoSpaceDE w:val="0"/>
        <w:widowControl/>
        <w:spacing w:line="346" w:lineRule="exact" w:before="234" w:after="50"/>
        <w:ind w:left="0" w:right="22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element is one of the most important factors for IL scavenging reaction, which affects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choice of other process parameters, such as location of scavenging element or maximum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temperature in the subsequent processes. We found that the Gibbs free energy change at 1,000 K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of the following reaction serves as a guiding principle for the choice of scavenging element [19].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6.0" w:type="dxa"/>
      </w:tblPr>
      <w:tblGrid>
        <w:gridCol w:w="834"/>
        <w:gridCol w:w="834"/>
        <w:gridCol w:w="834"/>
        <w:gridCol w:w="834"/>
        <w:gridCol w:w="834"/>
        <w:gridCol w:w="834"/>
        <w:gridCol w:w="834"/>
        <w:gridCol w:w="834"/>
        <w:gridCol w:w="834"/>
        <w:gridCol w:w="834"/>
        <w:gridCol w:w="834"/>
        <w:gridCol w:w="834"/>
      </w:tblGrid>
      <w:tr>
        <w:trPr>
          <w:trHeight w:hRule="exact" w:val="376"/>
        </w:trPr>
        <w:tc>
          <w:tcPr>
            <w:tcW w:type="dxa" w:w="2020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78" w:after="0"/>
              <w:ind w:left="0" w:right="4" w:firstLine="0"/>
              <w:jc w:val="right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Si</w:t>
            </w:r>
          </w:p>
        </w:tc>
        <w:tc>
          <w:tcPr>
            <w:tcW w:type="dxa" w:w="216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+</w:t>
            </w:r>
          </w:p>
        </w:tc>
        <w:tc>
          <w:tcPr>
            <w:tcW w:type="dxa" w:w="172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2</w:t>
            </w:r>
          </w:p>
        </w:tc>
        <w:tc>
          <w:tcPr>
            <w:tcW w:type="dxa" w:w="512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78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M O</w:t>
            </w:r>
          </w:p>
        </w:tc>
        <w:tc>
          <w:tcPr>
            <w:tcW w:type="dxa" w:w="100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34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→</w:t>
            </w:r>
          </w:p>
        </w:tc>
        <w:tc>
          <w:tcPr>
            <w:tcW w:type="dxa" w:w="146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2</w:t>
            </w:r>
          </w:p>
        </w:tc>
        <w:tc>
          <w:tcPr>
            <w:tcW w:type="dxa" w:w="136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56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x</w:t>
            </w:r>
          </w:p>
        </w:tc>
        <w:tc>
          <w:tcPr>
            <w:tcW w:type="dxa" w:w="264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78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M</w:t>
            </w:r>
          </w:p>
        </w:tc>
        <w:tc>
          <w:tcPr>
            <w:tcW w:type="dxa" w:w="200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+</w:t>
            </w:r>
          </w:p>
        </w:tc>
        <w:tc>
          <w:tcPr>
            <w:tcW w:type="dxa" w:w="2080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78" w:after="0"/>
              <w:ind w:left="32" w:right="0" w:firstLine="0"/>
              <w:jc w:val="left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SiO</w:t>
            </w:r>
          </w:p>
        </w:tc>
        <w:tc>
          <w:tcPr>
            <w:tcW w:type="dxa" w:w="2000"/>
            <w:tcBorders>
              <w:bottom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72"/>
        </w:trPr>
        <w:tc>
          <w:tcPr>
            <w:tcW w:type="dxa" w:w="2020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6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2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2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y</w:t>
            </w:r>
          </w:p>
        </w:tc>
        <w:tc>
          <w:tcPr>
            <w:tcW w:type="dxa" w:w="512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180" w:firstLine="0"/>
              <w:jc w:val="right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14"/>
              </w:rPr>
              <w:t>x</w:t>
            </w:r>
          </w:p>
        </w:tc>
        <w:tc>
          <w:tcPr>
            <w:tcW w:type="dxa" w:w="100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14"/>
              </w:rPr>
              <w:t>y</w:t>
            </w:r>
          </w:p>
        </w:tc>
        <w:tc>
          <w:tcPr>
            <w:tcW w:type="dxa" w:w="334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82"/>
            <w:gridSpan w:val="2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2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4"/>
              </w:rPr>
              <w:t>y</w:t>
            </w:r>
          </w:p>
        </w:tc>
        <w:tc>
          <w:tcPr>
            <w:tcW w:type="dxa" w:w="264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80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000"/>
            <w:tcBorders>
              <w:top w:sz="4.7439999580383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(2) </w:t>
            </w:r>
          </w:p>
        </w:tc>
      </w:tr>
    </w:tbl>
    <w:p>
      <w:pPr>
        <w:autoSpaceDN w:val="0"/>
        <w:autoSpaceDE w:val="0"/>
        <w:widowControl/>
        <w:spacing w:line="338" w:lineRule="exact" w:before="106" w:after="0"/>
        <w:ind w:left="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where M is the scavenging element in the gate stack. When M with a positive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value is doped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the gate stack, there is an energy gain for forming a metal oxide (M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y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rather than maintaining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which is the driving force for the IL scavenging reaction. In the actual scavenging reaction, oxygen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transport from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to M requires some energy. However, the experimental data suggest that oxygen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diffusion through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or ZrO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is quite rapid at elevated temperatures and this is not the rate-limiting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step for the IL scavenging reaction [29,34]. The EOT trend for metal-inserted poly-Si stack (MIPS) [40]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with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dual-layer gate dielectrics in the literature is summarized in Figure 2 as a function of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per oxygen atom (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/O) for the scavenging element. Here, the scavenging element 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defined as the metal with the most positive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 (after [41]), existing in either gate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dielectrics or workfunction-setting metal layers. For this comparison, data from the early days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gate-first development are also included (Poly-Si gate in [42]; W, TaN, TiN gates in [43])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understand the IL scavenging process in a historical context. </w:t>
      </w:r>
    </w:p>
    <w:p>
      <w:pPr>
        <w:autoSpaceDN w:val="0"/>
        <w:autoSpaceDE w:val="0"/>
        <w:widowControl/>
        <w:spacing w:line="336" w:lineRule="exact" w:before="24" w:after="0"/>
        <w:ind w:left="0" w:right="22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As seen in Figure 2, EOT and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values show a very strong correlation. Poly-Si data point [42]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serves as a reference since the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 is zero and neither IL regrowth nor scavenging 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expected. Most thermally stable metals studied in the early phase of MGHK development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(e.g., W, TaN in [43]) have negative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values, resulting in IL regrowth during high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temperature activation anneals. On the other hand, TiN has a slightly positive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providing slight EOT scaling compared to Poly-Si in most cases (e.g., thick TiN in [36,43]). The near </w:t>
      </w:r>
    </w:p>
    <w:p>
      <w:pPr>
        <w:sectPr>
          <w:pgSz w:w="11900" w:h="16840"/>
          <w:pgMar w:top="454" w:right="898" w:bottom="670" w:left="994" w:header="720" w:footer="720" w:gutter="0"/>
          <w:cols w:space="720" w:num="1" w:equalWidth="0"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5524500</wp:posOffset>
            </wp:positionV>
            <wp:extent cx="2870200" cy="24257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425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483</w:t>
      </w:r>
    </w:p>
    <w:p>
      <w:pPr>
        <w:autoSpaceDN w:val="0"/>
        <w:tabs>
          <w:tab w:pos="890" w:val="left"/>
          <w:tab w:pos="3794" w:val="left"/>
          <w:tab w:pos="6740" w:val="left"/>
          <w:tab w:pos="7224" w:val="left"/>
          <w:tab w:pos="8036" w:val="left"/>
        </w:tabs>
        <w:autoSpaceDE w:val="0"/>
        <w:widowControl/>
        <w:spacing w:line="338" w:lineRule="exact" w:before="348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zero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 may be the main reason why TiN has been widely accepted as a baseline metal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electrode throughout the industry. The neutral nature of TiN typically results in neither IL regrowth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nor scavenging. However, it is possible to trigger IL scavenging by carefully optimizing the TiN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thickness and employing an in-situ cap due to the slightly negative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 (e.g., thin TiN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[36]). In this case, a high thermal budget (&gt;1,000 °C) is required since the driving force of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reaction is not very strong. In order to facilitate the reaction at lower temperatures, 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elements with much more positive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values are needed. Such elements, however, come with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severe penalty in thermal stability due to high reactivity with high-κ layers. In fact, early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works employ pure transition metals with high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values at relatively low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temperatures (300–500 °C [29,31]). Thus, direct capping of very strong scavenging metals may not be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compatible with the state-of-the-art CMOS integration requiring higher process temperatures.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overcome this trade-off, we proposed doping of scavenging metals with high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values into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thermally stable TiN electrode [19,34]. This technique enables highly controllable IL scavenging for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both gate-first (maximum process temperature: 1,000 °C) [19] and gate-last (maximum process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temperature: 600 °C) [37] integrations. </w:t>
      </w:r>
    </w:p>
    <w:p>
      <w:pPr>
        <w:autoSpaceDN w:val="0"/>
        <w:autoSpaceDE w:val="0"/>
        <w:widowControl/>
        <w:spacing w:line="336" w:lineRule="exact" w:before="256" w:after="240"/>
        <w:ind w:left="568" w:right="584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2.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EOT of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metal-inserted poly-Si stack (MIPS) structure as a function of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per oxygen atom for scavenging element. TiN electrodes doped with various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metals are compared with literature data (after [19,32,36,42,43]). The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values are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after [41].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26.0" w:type="dxa"/>
      </w:tblPr>
      <w:tblGrid>
        <w:gridCol w:w="1112"/>
        <w:gridCol w:w="1112"/>
        <w:gridCol w:w="1112"/>
        <w:gridCol w:w="1112"/>
        <w:gridCol w:w="1112"/>
        <w:gridCol w:w="1112"/>
        <w:gridCol w:w="1112"/>
        <w:gridCol w:w="1112"/>
        <w:gridCol w:w="1112"/>
      </w:tblGrid>
      <w:tr>
        <w:trPr>
          <w:trHeight w:hRule="exact" w:val="672"/>
        </w:trPr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8" w:lineRule="exact" w:before="1128" w:after="0"/>
              <w:ind w:left="680" w:right="0" w:firstLine="0"/>
              <w:jc w:val="left"/>
            </w:pPr>
            <w:r>
              <w:rPr>
                <w:w w:val="101.146666208903"/>
                <w:rFonts w:ascii="Arial,Bold" w:hAnsi="Arial,Bold" w:eastAsia="Arial,Bold"/>
                <w:b/>
                <w:i w:val="0"/>
                <w:color w:val="000000"/>
                <w:sz w:val="30"/>
              </w:rPr>
              <w:t>EOT (nm)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60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2.0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352" w:after="0"/>
              <w:ind w:left="276" w:right="0" w:firstLine="0"/>
              <w:jc w:val="left"/>
            </w:pPr>
            <w:r>
              <w:rPr>
                <w:w w:val="101.28869595734969"/>
                <w:rFonts w:ascii="Arial,Bold" w:hAnsi="Arial,Bold" w:eastAsia="Arial,Bold"/>
                <w:b/>
                <w:i w:val="0"/>
                <w:color w:val="000000"/>
                <w:sz w:val="23"/>
              </w:rPr>
              <w:t>IL regrowth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54" w:after="0"/>
              <w:ind w:left="0" w:right="0" w:firstLine="0"/>
              <w:jc w:val="center"/>
            </w:pPr>
            <w:r>
              <w:rPr>
                <w:w w:val="101.28869595734969"/>
                <w:rFonts w:ascii="Arial" w:hAnsi="Arial" w:eastAsia="Arial"/>
                <w:b w:val="0"/>
                <w:i w:val="0"/>
                <w:color w:val="000000"/>
                <w:sz w:val="23"/>
              </w:rPr>
              <w:t>Ta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66" w:after="0"/>
              <w:ind w:left="0" w:right="0" w:firstLine="0"/>
              <w:jc w:val="center"/>
            </w:pPr>
            <w:r>
              <w:rPr>
                <w:w w:val="101.28869595734969"/>
                <w:rFonts w:ascii="Arial" w:hAnsi="Arial" w:eastAsia="Arial"/>
                <w:b w:val="0"/>
                <w:i w:val="0"/>
                <w:color w:val="000000"/>
                <w:sz w:val="23"/>
              </w:rPr>
              <w:t>Si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12" w:after="0"/>
              <w:ind w:left="0" w:right="0" w:firstLine="0"/>
              <w:jc w:val="center"/>
            </w:pPr>
            <w:r>
              <w:rPr>
                <w:w w:val="101.28869595734969"/>
                <w:rFonts w:ascii="Arial" w:hAnsi="Arial" w:eastAsia="Arial"/>
                <w:b w:val="0"/>
                <w:i w:val="0"/>
                <w:color w:val="000000"/>
                <w:sz w:val="23"/>
              </w:rPr>
              <w:t>Ti</w:t>
            </w:r>
          </w:p>
        </w:tc>
        <w:tc>
          <w:tcPr>
            <w:tcW w:type="dxa" w:w="29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352" w:after="0"/>
              <w:ind w:left="314" w:right="0" w:firstLine="0"/>
              <w:jc w:val="left"/>
            </w:pPr>
            <w:r>
              <w:rPr>
                <w:w w:val="101.28869595734969"/>
                <w:rFonts w:ascii="Arial,Bold" w:hAnsi="Arial,Bold" w:eastAsia="Arial,Bold"/>
                <w:b/>
                <w:i w:val="0"/>
                <w:color w:val="000000"/>
                <w:sz w:val="23"/>
              </w:rPr>
              <w:t>IL Scavenging</w:t>
            </w:r>
          </w:p>
        </w:tc>
      </w:tr>
      <w:tr>
        <w:trPr>
          <w:trHeight w:hRule="exact" w:val="964"/>
        </w:trPr>
        <w:tc>
          <w:tcPr>
            <w:tcW w:type="dxa" w:w="1112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330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1.5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0" w:after="0"/>
              <w:ind w:left="198" w:right="0" w:firstLine="0"/>
              <w:jc w:val="left"/>
            </w:pPr>
            <w:r>
              <w:rPr>
                <w:w w:val="101.28869595734969"/>
                <w:rFonts w:ascii="Arial" w:hAnsi="Arial" w:eastAsia="Arial"/>
                <w:b w:val="0"/>
                <w:i w:val="0"/>
                <w:color w:val="000000"/>
                <w:sz w:val="23"/>
              </w:rPr>
              <w:t>W</w:t>
            </w:r>
          </w:p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29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128" w:after="0"/>
              <w:ind w:left="64" w:right="0" w:firstLine="0"/>
              <w:jc w:val="left"/>
            </w:pPr>
            <w:r>
              <w:rPr>
                <w:w w:val="102.23444832695856"/>
                <w:rFonts w:ascii="Arial,Bold" w:hAnsi="Arial,Bold" w:eastAsia="Arial,Bold"/>
                <w:b/>
                <w:i w:val="0"/>
                <w:color w:val="0000FF"/>
                <w:sz w:val="18"/>
              </w:rPr>
              <w:t>thick</w:t>
            </w:r>
          </w:p>
        </w:tc>
      </w:tr>
      <w:tr>
        <w:trPr>
          <w:trHeight w:hRule="exact" w:val="736"/>
        </w:trPr>
        <w:tc>
          <w:tcPr>
            <w:tcW w:type="dxa" w:w="1112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310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1.0</w:t>
            </w:r>
          </w:p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3336"/>
            <w:gridSpan w:val="3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1112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514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0.5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0" w:after="0"/>
              <w:ind w:left="0" w:right="82" w:firstLine="0"/>
              <w:jc w:val="right"/>
            </w:pPr>
            <w:r>
              <w:rPr>
                <w:w w:val="102.23444832695856"/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doped-TiN</w:t>
            </w:r>
          </w:p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80" w:after="0"/>
              <w:ind w:left="0" w:right="0" w:firstLine="0"/>
              <w:jc w:val="center"/>
            </w:pPr>
            <w:r>
              <w:rPr>
                <w:w w:val="102.23444832695856"/>
                <w:rFonts w:ascii="Arial,Bold" w:hAnsi="Arial,Bold" w:eastAsia="Arial,Bold"/>
                <w:b/>
                <w:i w:val="0"/>
                <w:color w:val="0000FF"/>
                <w:sz w:val="18"/>
              </w:rPr>
              <w:t>thin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0" w:after="0"/>
              <w:ind w:left="0" w:right="64" w:firstLine="0"/>
              <w:jc w:val="right"/>
            </w:pPr>
            <w:r>
              <w:rPr>
                <w:w w:val="101.28869595734969"/>
                <w:rFonts w:ascii="Arial" w:hAnsi="Arial" w:eastAsia="Arial"/>
                <w:b w:val="0"/>
                <w:i w:val="0"/>
                <w:color w:val="000000"/>
                <w:sz w:val="23"/>
              </w:rPr>
              <w:t>Hf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36" w:after="0"/>
              <w:ind w:left="100" w:right="0" w:firstLine="0"/>
              <w:jc w:val="left"/>
            </w:pPr>
            <w:r>
              <w:rPr>
                <w:w w:val="101.28869595734969"/>
                <w:rFonts w:ascii="Arial" w:hAnsi="Arial" w:eastAsia="Arial"/>
                <w:b w:val="0"/>
                <w:i w:val="0"/>
                <w:color w:val="000000"/>
                <w:sz w:val="23"/>
              </w:rPr>
              <w:t>La</w:t>
            </w:r>
          </w:p>
        </w:tc>
      </w:tr>
      <w:tr>
        <w:trPr>
          <w:trHeight w:hRule="exact" w:val="214"/>
        </w:trPr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640" w:firstLine="0"/>
              <w:jc w:val="right"/>
            </w:pPr>
            <w:r>
              <w:rPr>
                <w:w w:val="102.23444832695856"/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[19]</w:t>
            </w:r>
          </w:p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640" w:firstLine="0"/>
              <w:jc w:val="right"/>
            </w:pPr>
            <w:r>
              <w:rPr>
                <w:w w:val="102.23444832695856"/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[32]</w:t>
            </w:r>
          </w:p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640" w:firstLine="0"/>
              <w:jc w:val="right"/>
            </w:pPr>
            <w:r>
              <w:rPr>
                <w:w w:val="102.23444832695856"/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[36]</w:t>
            </w:r>
          </w:p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  <w:tc>
          <w:tcPr>
            <w:tcW w:type="dxa" w:w="11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10" w:after="8"/>
        <w:ind w:left="4032" w:right="5600" w:firstLine="0"/>
        <w:jc w:val="right"/>
      </w:pPr>
      <w:r>
        <w:rPr>
          <w:w w:val="102.23444832695856"/>
          <w:rFonts w:ascii="Arial" w:hAnsi="Arial" w:eastAsia="Arial"/>
          <w:b w:val="0"/>
          <w:i w:val="0"/>
          <w:color w:val="000000"/>
          <w:sz w:val="18"/>
        </w:rPr>
        <w:t xml:space="preserve"> [42]</w:t>
      </w:r>
      <w:r>
        <w:br/>
      </w:r>
      <w:r>
        <w:rPr>
          <w:w w:val="102.23444832695856"/>
          <w:rFonts w:ascii="Arial" w:hAnsi="Arial" w:eastAsia="Arial"/>
          <w:b w:val="0"/>
          <w:i w:val="0"/>
          <w:color w:val="000000"/>
          <w:sz w:val="18"/>
        </w:rPr>
        <w:t xml:space="preserve"> [43]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6.0" w:type="dxa"/>
      </w:tblPr>
      <w:tblGrid>
        <w:gridCol w:w="1668"/>
        <w:gridCol w:w="1668"/>
        <w:gridCol w:w="1668"/>
        <w:gridCol w:w="1668"/>
        <w:gridCol w:w="1668"/>
        <w:gridCol w:w="1668"/>
      </w:tblGrid>
      <w:tr>
        <w:trPr>
          <w:trHeight w:hRule="exact" w:val="570"/>
        </w:trPr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6" w:after="0"/>
              <w:ind w:left="0" w:right="178" w:firstLine="0"/>
              <w:jc w:val="right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0.0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0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-40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0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-20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0" w:after="0"/>
              <w:ind w:left="0" w:right="0" w:firstLine="0"/>
              <w:jc w:val="center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0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0" w:after="0"/>
              <w:ind w:left="0" w:right="610" w:firstLine="0"/>
              <w:jc w:val="right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20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0" w:after="0"/>
              <w:ind w:left="28" w:right="0" w:firstLine="0"/>
              <w:jc w:val="left"/>
            </w:pPr>
            <w:r>
              <w:rPr>
                <w:w w:val="102.13913295579992"/>
                <w:rFonts w:ascii="Arial,Bold" w:hAnsi="Arial,Bold" w:eastAsia="Arial,Bold"/>
                <w:b/>
                <w:i w:val="0"/>
                <w:color w:val="000000"/>
                <w:sz w:val="23"/>
              </w:rPr>
              <w:t>40</w:t>
            </w:r>
          </w:p>
        </w:tc>
      </w:tr>
      <w:tr>
        <w:trPr>
          <w:trHeight w:hRule="exact" w:val="666"/>
        </w:trPr>
        <w:tc>
          <w:tcPr>
            <w:tcW w:type="dxa" w:w="1668"/>
            <w:vMerge/>
            <w:tcBorders/>
          </w:tcPr>
          <w:p/>
        </w:tc>
        <w:tc>
          <w:tcPr>
            <w:tcW w:type="dxa" w:w="1668"/>
            <w:vMerge/>
            <w:tcBorders/>
          </w:tcPr>
          <w:p/>
        </w:tc>
        <w:tc>
          <w:tcPr>
            <w:tcW w:type="dxa" w:w="30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4" w:lineRule="exact" w:before="0" w:after="0"/>
              <w:ind w:left="256" w:right="0" w:firstLine="0"/>
              <w:jc w:val="left"/>
            </w:pPr>
            <w:r>
              <w:rPr>
                <w:w w:val="98.82571356637138"/>
                <w:rFonts w:ascii="Symbol" w:hAnsi="Symbol" w:eastAsia="Symbol"/>
                <w:b w:val="0"/>
                <w:i w:val="0"/>
                <w:color w:val="000000"/>
                <w:sz w:val="28"/>
              </w:rPr>
              <w:t>Δ</w:t>
            </w:r>
            <w:r>
              <w:rPr>
                <w:w w:val="101.146666208903"/>
                <w:rFonts w:ascii="Arial,Bold" w:hAnsi="Arial,Bold" w:eastAsia="Arial,Bold"/>
                <w:b/>
                <w:i w:val="0"/>
                <w:color w:val="000000"/>
                <w:sz w:val="30"/>
              </w:rPr>
              <w:t>G</w:t>
            </w:r>
            <w:r>
              <w:rPr>
                <w:w w:val="101.61142803373791"/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o </w:t>
            </w:r>
            <w:r>
              <w:rPr>
                <w:w w:val="101.61142803373791"/>
                <w:rFonts w:ascii="Arial,Bold" w:hAnsi="Arial,Bold" w:eastAsia="Arial,Bold"/>
                <w:b/>
                <w:i w:val="0"/>
                <w:color w:val="000000"/>
                <w:sz w:val="21"/>
              </w:rPr>
              <w:t>1000</w:t>
            </w:r>
            <w:r>
              <w:rPr>
                <w:w w:val="101.146666208903"/>
                <w:rFonts w:ascii="Arial,Bold" w:hAnsi="Arial,Bold" w:eastAsia="Arial,Bold"/>
                <w:b/>
                <w:i w:val="0"/>
                <w:color w:val="000000"/>
                <w:sz w:val="30"/>
              </w:rPr>
              <w:t>/O (kcal/mol)</w:t>
            </w:r>
          </w:p>
        </w:tc>
        <w:tc>
          <w:tcPr>
            <w:tcW w:type="dxa" w:w="16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40" w:lineRule="exact" w:before="246" w:after="0"/>
        <w:ind w:left="0" w:right="2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As reviewed in this sub-section, the choice of appropriate scavenging metals, considering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thermal budget in downstream processes, is the key aspect of IL scavenging technique. We found that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value for Equation (2) consistently explains the historical EOT trend and serves as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guiding principle for the material choice. </w:t>
      </w:r>
    </w:p>
    <w:p>
      <w:pPr>
        <w:sectPr>
          <w:pgSz w:w="11900" w:h="16840"/>
          <w:pgMar w:top="454" w:right="900" w:bottom="854" w:left="994" w:header="720" w:footer="720" w:gutter="0"/>
          <w:cols w:space="720" w:num="1" w:equalWidth="0"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484</w:t>
      </w:r>
    </w:p>
    <w:p>
      <w:pPr>
        <w:autoSpaceDN w:val="0"/>
        <w:autoSpaceDE w:val="0"/>
        <w:widowControl/>
        <w:spacing w:line="230" w:lineRule="auto" w:before="40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3.1.3. Location of Scavenging Element </w:t>
      </w:r>
    </w:p>
    <w:p>
      <w:pPr>
        <w:autoSpaceDN w:val="0"/>
        <w:autoSpaceDE w:val="0"/>
        <w:widowControl/>
        <w:spacing w:line="340" w:lineRule="exact" w:before="240" w:after="0"/>
        <w:ind w:left="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this sub-section, we have categorized various IL scavenging techniques into direct-scavenging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and remote-scavenging based on the locations of the scavenging elements in the gate stacks. Figure 3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illustrates the difference between the two categories. Direct-scavenging schemes incorporate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elements within the high-κ layers, whereas the remote-scavenging schemes isolate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elements from the high-κ layers. Early IL scavenging works fall into the direct-scavenging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category since the scavenging metals are incorporated within the high-κ layers either by direct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capping [29,30] or by deposition of off-stoichiometric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[32]. Then, we reported IL 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using a TaN-alloy electrode [33]. This technique is still considered direct-scavenging since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metals diffuse out from the TaN-alloy during a high temperature anneal and end up in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layer. The advantage of direct-scavenging is that it does not require such a strong driving force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of the reaction (see 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 discussion in the previous sub-section). Therefore, a relatively weak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metal such as Ti can cause aggressive EOT scaling [29,31]. The downsides of this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approach include the following: (1) Effective workfunction change either by inherently low vacuum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workfunction of scavenging metals or by formation of fixed charges and/or interface dipoles [29,31];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(2) Excessive carrier mobility degradation and leakage current increase [19]. One elegant way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perform direct-scavenging is to use Hf as a scavenging metal such that it becomes a part of the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gate dielectric after absorbing oxygen from the IL [30,32]. The degradation in device characteristics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due to direct-scavenging can be mitigated to some extent in this way. We proposed the concept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remote-scavenging to completely overcome the aforementioned issues. By doping 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elements into a thermally stable TiN electrode with a certain distance from the high-κ/TiN interface, it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is possible to cause IL scavenging reaction without out-diffusion of the scavenging elements into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high-κ layer. Such a process enables EOT scaling without extrinsic degradation in carrier mobility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leakage current and with no change in EWF [19]. Another way to carry out remote-scavenging is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employ a thin TiN electrode (~2 nm) with an in-situ Si cap to avoid oxidation from the ambient [35].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These remote-scavenging techniques demonstrated highly controllable EOT scaling and compatibility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with advanced CMOS processing. Figure 4 shows cross-sectional transmission electron microscopy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(TEM) images of the HKMG stacks for remote-scavenging with (a) medium scavenging metal dose,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(b) high scavenging metal dose (after [19]), and (c) direct scavenging with TaN-alloy (after [33]),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respectively. As shown in Figure 4(a,b), the final IL thickness is controllable by changing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metal dose. It is possible to completely eliminate the initial IL by both remote-scavenging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and direct-scavenging (see Figure 4(b,c)). </w:t>
      </w:r>
    </w:p>
    <w:p>
      <w:pPr>
        <w:sectPr>
          <w:pgSz w:w="11900" w:h="16840"/>
          <w:pgMar w:top="454" w:right="898" w:bottom="1440" w:left="994" w:header="720" w:footer="720" w:gutter="0"/>
          <w:cols w:space="720" w:num="1" w:equalWidth="0"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2197100</wp:posOffset>
            </wp:positionV>
            <wp:extent cx="749300" cy="1117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2209800</wp:posOffset>
            </wp:positionV>
            <wp:extent cx="736600" cy="1117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2197100</wp:posOffset>
            </wp:positionV>
            <wp:extent cx="736600" cy="11176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4906010</wp:posOffset>
            </wp:positionH>
            <wp:positionV relativeFrom="page">
              <wp:posOffset>5043170</wp:posOffset>
            </wp:positionV>
            <wp:extent cx="1494789" cy="3363275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4789" cy="33632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1189990</wp:posOffset>
            </wp:positionH>
            <wp:positionV relativeFrom="page">
              <wp:posOffset>5066030</wp:posOffset>
            </wp:positionV>
            <wp:extent cx="1468120" cy="290944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9094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3039110</wp:posOffset>
            </wp:positionH>
            <wp:positionV relativeFrom="page">
              <wp:posOffset>5068570</wp:posOffset>
            </wp:positionV>
            <wp:extent cx="1515110" cy="2906437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29064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5054600</wp:posOffset>
            </wp:positionV>
            <wp:extent cx="3378200" cy="2921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92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485</w:t>
      </w:r>
    </w:p>
    <w:p>
      <w:pPr>
        <w:autoSpaceDN w:val="0"/>
        <w:autoSpaceDE w:val="0"/>
        <w:widowControl/>
        <w:spacing w:line="230" w:lineRule="auto" w:before="400" w:after="314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3.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Schematics of direct- and remote- scavenging techniques in the literature.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9.9999999999998" w:type="dxa"/>
      </w:tblPr>
      <w:tblGrid>
        <w:gridCol w:w="2501"/>
        <w:gridCol w:w="2501"/>
        <w:gridCol w:w="2501"/>
        <w:gridCol w:w="2501"/>
      </w:tblGrid>
      <w:tr>
        <w:trPr>
          <w:trHeight w:hRule="exact" w:val="398"/>
        </w:trPr>
        <w:tc>
          <w:tcPr>
            <w:tcW w:type="dxa" w:w="1862"/>
            <w:tcBorders>
              <w:start w:sz="10.064000129699707" w:val="single" w:color="#000000"/>
              <w:top w:sz="10.064000129699707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Type</w:t>
            </w:r>
          </w:p>
        </w:tc>
        <w:tc>
          <w:tcPr>
            <w:tcW w:type="dxa" w:w="3122"/>
            <w:gridSpan w:val="2"/>
            <w:tcBorders>
              <w:start w:sz="4.239999771118164" w:val="single" w:color="#000000"/>
              <w:top w:sz="10.064000129699707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Direct</w:t>
            </w:r>
          </w:p>
        </w:tc>
        <w:tc>
          <w:tcPr>
            <w:tcW w:type="dxa" w:w="1530"/>
            <w:tcBorders>
              <w:start w:sz="4.239999771118164" w:val="single" w:color="#000000"/>
              <w:top w:sz="10.064000129699707" w:val="single" w:color="#000000"/>
              <w:end w:sz="10.064000129699707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Remote</w:t>
            </w:r>
          </w:p>
        </w:tc>
      </w:tr>
      <w:tr>
        <w:trPr>
          <w:trHeight w:hRule="exact" w:val="768"/>
        </w:trPr>
        <w:tc>
          <w:tcPr>
            <w:tcW w:type="dxa" w:w="1862"/>
            <w:tcBorders>
              <w:start w:sz="10.064000129699707" w:val="single" w:color="#000000"/>
              <w:top w:sz="4.239999771118164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52" w:after="0"/>
              <w:ind w:left="288" w:right="288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Scavenging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element (M)</w:t>
            </w:r>
          </w:p>
        </w:tc>
        <w:tc>
          <w:tcPr>
            <w:tcW w:type="dxa" w:w="3122"/>
            <w:gridSpan w:val="2"/>
            <w:tcBorders>
              <w:start w:sz="4.239999771118164" w:val="single" w:color="#000000"/>
              <w:top w:sz="4.239999771118164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Within High-k</w:t>
            </w:r>
          </w:p>
        </w:tc>
        <w:tc>
          <w:tcPr>
            <w:tcW w:type="dxa" w:w="1530"/>
            <w:tcBorders>
              <w:start w:sz="4.239999771118164" w:val="single" w:color="#000000"/>
              <w:top w:sz="4.239999771118164" w:val="single" w:color="#000000"/>
              <w:end w:sz="10.064000129699707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52" w:after="0"/>
              <w:ind w:left="144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Isolated from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High-k</w:t>
            </w:r>
          </w:p>
        </w:tc>
      </w:tr>
      <w:tr>
        <w:trPr>
          <w:trHeight w:hRule="exact" w:val="1934"/>
        </w:trPr>
        <w:tc>
          <w:tcPr>
            <w:tcW w:type="dxa" w:w="1862"/>
            <w:tcBorders>
              <w:start w:sz="10.064000129699707" w:val="single" w:color="#000000"/>
              <w:top w:sz="4.239999771118164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Schematics</w:t>
            </w:r>
          </w:p>
        </w:tc>
        <w:tc>
          <w:tcPr>
            <w:tcW w:type="dxa" w:w="1594"/>
            <w:tcBorders>
              <w:start w:sz="4.239999771118164" w:val="single" w:color="#000000"/>
              <w:top w:sz="4.239999771118164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00" w:after="0"/>
              <w:ind w:left="284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Metal Gate</w:t>
            </w:r>
          </w:p>
          <w:p>
            <w:pPr>
              <w:autoSpaceDN w:val="0"/>
              <w:tabs>
                <w:tab w:pos="924" w:val="left"/>
              </w:tabs>
              <w:autoSpaceDE w:val="0"/>
              <w:widowControl/>
              <w:spacing w:line="222" w:lineRule="exact" w:before="486" w:after="0"/>
              <w:ind w:left="282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High-k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M</w:t>
            </w:r>
          </w:p>
          <w:p>
            <w:pPr>
              <w:autoSpaceDN w:val="0"/>
              <w:tabs>
                <w:tab w:pos="930" w:val="left"/>
              </w:tabs>
              <w:autoSpaceDE w:val="0"/>
              <w:widowControl/>
              <w:spacing w:line="224" w:lineRule="exact" w:before="244" w:after="0"/>
              <w:ind w:left="270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SiO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0"/>
              </w:rPr>
              <w:t xml:space="preserve">2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O</w:t>
            </w:r>
          </w:p>
        </w:tc>
        <w:tc>
          <w:tcPr>
            <w:tcW w:type="dxa" w:w="1528"/>
            <w:tcBorders>
              <w:start w:sz="4.239999771118164" w:val="single" w:color="#000000"/>
              <w:top w:sz="4.239999771118164" w:val="single" w:color="#000000"/>
              <w:end w:sz="4.239999771118164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86" w:val="left"/>
              </w:tabs>
              <w:autoSpaceDE w:val="0"/>
              <w:widowControl/>
              <w:spacing w:line="264" w:lineRule="exact" w:before="360" w:after="0"/>
              <w:ind w:left="252" w:right="288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TaN-M alloy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M</w:t>
            </w:r>
          </w:p>
          <w:p>
            <w:pPr>
              <w:autoSpaceDN w:val="0"/>
              <w:tabs>
                <w:tab w:pos="884" w:val="left"/>
              </w:tabs>
              <w:autoSpaceDE w:val="0"/>
              <w:widowControl/>
              <w:spacing w:line="236" w:lineRule="exact" w:before="208" w:after="0"/>
              <w:ind w:left="264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High-k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M</w:t>
            </w:r>
          </w:p>
          <w:p>
            <w:pPr>
              <w:autoSpaceDN w:val="0"/>
              <w:tabs>
                <w:tab w:pos="890" w:val="left"/>
              </w:tabs>
              <w:autoSpaceDE w:val="0"/>
              <w:widowControl/>
              <w:spacing w:line="224" w:lineRule="exact" w:before="230" w:after="0"/>
              <w:ind w:left="252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SiO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0"/>
              </w:rPr>
              <w:t xml:space="preserve">2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O</w:t>
            </w:r>
          </w:p>
        </w:tc>
        <w:tc>
          <w:tcPr>
            <w:tcW w:type="dxa" w:w="1530"/>
            <w:tcBorders>
              <w:start w:sz="4.239999771118164" w:val="single" w:color="#000000"/>
              <w:top w:sz="4.239999771118164" w:val="single" w:color="#000000"/>
              <w:end w:sz="10.064000129699707" w:val="single" w:color="#000000"/>
              <w:bottom w:sz="4.2399997711181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6" w:val="left"/>
              </w:tabs>
              <w:autoSpaceDE w:val="0"/>
              <w:widowControl/>
              <w:spacing w:line="214" w:lineRule="exact" w:before="420" w:after="0"/>
              <w:ind w:left="214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TiN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M</w:t>
            </w:r>
          </w:p>
          <w:p>
            <w:pPr>
              <w:autoSpaceDN w:val="0"/>
              <w:autoSpaceDE w:val="0"/>
              <w:widowControl/>
              <w:spacing w:line="214" w:lineRule="exact" w:before="494" w:after="0"/>
              <w:ind w:left="234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High-k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2" w:lineRule="exact" w:before="254" w:after="0"/>
              <w:ind w:left="212" w:right="0" w:firstLine="0"/>
              <w:jc w:val="left"/>
            </w:pP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SiO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0"/>
              </w:rPr>
              <w:t xml:space="preserve">2 </w:t>
            </w:r>
            <w:r>
              <w:tab/>
            </w:r>
            <w:r>
              <w:rPr>
                <w:w w:val="96.9962477684021"/>
                <w:rFonts w:ascii="Arial,Bold" w:hAnsi="Arial,Bold" w:eastAsia="Arial,Bold"/>
                <w:b/>
                <w:i w:val="0"/>
                <w:color w:val="000000"/>
                <w:sz w:val="16"/>
              </w:rPr>
              <w:t>O</w:t>
            </w:r>
          </w:p>
        </w:tc>
      </w:tr>
      <w:tr>
        <w:trPr>
          <w:trHeight w:hRule="exact" w:val="526"/>
        </w:trPr>
        <w:tc>
          <w:tcPr>
            <w:tcW w:type="dxa" w:w="1862"/>
            <w:tcBorders>
              <w:start w:sz="10.064000129699707" w:val="single" w:color="#000000"/>
              <w:top w:sz="4.239999771118164" w:val="single" w:color="#000000"/>
              <w:end w:sz="4.239999771118164" w:val="single" w:color="#000000"/>
              <w:bottom w:sz="10.06400012969970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Ref.</w:t>
            </w:r>
          </w:p>
        </w:tc>
        <w:tc>
          <w:tcPr>
            <w:tcW w:type="dxa" w:w="1594"/>
            <w:tcBorders>
              <w:start w:sz="4.239999771118164" w:val="single" w:color="#000000"/>
              <w:top w:sz="4.239999771118164" w:val="single" w:color="#000000"/>
              <w:end w:sz="4.239999771118164" w:val="single" w:color="#000000"/>
              <w:bottom w:sz="10.06400012969970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[29, 30, 32]</w:t>
            </w:r>
          </w:p>
        </w:tc>
        <w:tc>
          <w:tcPr>
            <w:tcW w:type="dxa" w:w="1528"/>
            <w:tcBorders>
              <w:start w:sz="4.239999771118164" w:val="single" w:color="#000000"/>
              <w:top w:sz="4.239999771118164" w:val="single" w:color="#000000"/>
              <w:end w:sz="4.239999771118164" w:val="single" w:color="#000000"/>
              <w:bottom w:sz="10.06400012969970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[33]</w:t>
            </w:r>
          </w:p>
        </w:tc>
        <w:tc>
          <w:tcPr>
            <w:tcW w:type="dxa" w:w="1530"/>
            <w:tcBorders>
              <w:start w:sz="4.239999771118164" w:val="single" w:color="#000000"/>
              <w:top w:sz="4.239999771118164" w:val="single" w:color="#000000"/>
              <w:end w:sz="10.064000129699707" w:val="single" w:color="#000000"/>
              <w:bottom w:sz="10.06400012969970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[19, 35]</w:t>
            </w:r>
          </w:p>
        </w:tc>
      </w:tr>
    </w:tbl>
    <w:p>
      <w:pPr>
        <w:autoSpaceDN w:val="0"/>
        <w:autoSpaceDE w:val="0"/>
        <w:widowControl/>
        <w:spacing w:line="278" w:lineRule="auto" w:before="500" w:after="296"/>
        <w:ind w:left="568" w:right="584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4.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Cross-sectional transmission electron microscopy (TEM)  images of the high-κ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gate dielectrics and metal gate electrodes (HKMG) stacks for remote-scavenging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medium scavenging metal dose; 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high scavenging metal dose (after [19]);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direct scavenging with TaN-alloy (after [33]).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5.99999999999994" w:type="dxa"/>
      </w:tblPr>
      <w:tblGrid>
        <w:gridCol w:w="3335"/>
        <w:gridCol w:w="3335"/>
        <w:gridCol w:w="3335"/>
      </w:tblGrid>
      <w:tr>
        <w:trPr>
          <w:trHeight w:hRule="exact" w:val="486"/>
        </w:trPr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54" w:after="0"/>
              <w:ind w:left="47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(a) Remote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56" w:after="0"/>
              <w:ind w:left="36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(b) Remote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54" w:after="0"/>
              <w:ind w:left="75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(C) Direct</w:t>
            </w:r>
          </w:p>
        </w:tc>
      </w:tr>
      <w:tr>
        <w:trPr>
          <w:trHeight w:hRule="exact" w:val="1860"/>
        </w:trPr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586" w:after="0"/>
              <w:ind w:left="51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 xml:space="preserve">TiN+M3 (0.5X) 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558" w:after="0"/>
              <w:ind w:left="38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 xml:space="preserve">TiN+M3 (1.0X) 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6" w:val="left"/>
              </w:tabs>
              <w:autoSpaceDE w:val="0"/>
              <w:widowControl/>
              <w:spacing w:line="606" w:lineRule="exact" w:before="356" w:after="0"/>
              <w:ind w:left="44" w:right="720" w:firstLine="0"/>
              <w:jc w:val="left"/>
            </w:pP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 xml:space="preserve">TaN-alloy 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72"/>
              </w:rPr>
              <w:t>alloy</w:t>
            </w:r>
          </w:p>
        </w:tc>
      </w:tr>
      <w:tr>
        <w:trPr>
          <w:trHeight w:hRule="exact" w:val="836"/>
        </w:trPr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2" w:lineRule="exact" w:before="304" w:after="0"/>
              <w:ind w:left="51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HfO</w:t>
            </w:r>
            <w:r>
              <w:rPr>
                <w:w w:val="98.42044656926934"/>
                <w:rFonts w:ascii="Arial,Bold" w:hAnsi="Arial,Bold" w:eastAsia="Arial,Bold"/>
                <w:b/>
                <w:i w:val="0"/>
                <w:color w:val="FFFFFF"/>
                <w:sz w:val="22"/>
              </w:rPr>
              <w:t>2</w:t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328" w:after="0"/>
              <w:ind w:left="38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HfO</w:t>
            </w:r>
            <w:r>
              <w:rPr>
                <w:w w:val="98.42044656926934"/>
                <w:rFonts w:ascii="Arial,Bold" w:hAnsi="Arial,Bold" w:eastAsia="Arial,Bold"/>
                <w:b/>
                <w:i w:val="0"/>
                <w:color w:val="FFFFFF"/>
                <w:sz w:val="22"/>
              </w:rPr>
              <w:t>2</w:t>
            </w:r>
          </w:p>
        </w:tc>
        <w:tc>
          <w:tcPr>
            <w:tcW w:type="dxa" w:w="3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4" w:val="left"/>
              </w:tabs>
              <w:autoSpaceDE w:val="0"/>
              <w:widowControl/>
              <w:spacing w:line="558" w:lineRule="exact" w:before="244" w:after="0"/>
              <w:ind w:left="756" w:right="72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Cap+HfO</w:t>
            </w:r>
            <w:r>
              <w:rPr>
                <w:w w:val="98.42044656926934"/>
                <w:rFonts w:ascii="Arial,Bold" w:hAnsi="Arial,Bold" w:eastAsia="Arial,Bold"/>
                <w:b/>
                <w:i w:val="0"/>
                <w:color w:val="FFFFFF"/>
                <w:sz w:val="22"/>
              </w:rPr>
              <w:t xml:space="preserve">2 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51"/>
              </w:rPr>
              <w:t>2</w:t>
            </w:r>
          </w:p>
        </w:tc>
      </w:tr>
      <w:tr>
        <w:trPr>
          <w:trHeight w:hRule="exact" w:val="524"/>
        </w:trPr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2" w:lineRule="exact" w:before="82" w:after="0"/>
              <w:ind w:left="51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SiO</w:t>
            </w:r>
            <w:r>
              <w:rPr>
                <w:w w:val="98.42044656926934"/>
                <w:rFonts w:ascii="Arial,Bold" w:hAnsi="Arial,Bold" w:eastAsia="Arial,Bold"/>
                <w:b/>
                <w:i w:val="0"/>
                <w:color w:val="FFFFFF"/>
                <w:sz w:val="22"/>
              </w:rPr>
              <w:t>2</w:t>
            </w:r>
          </w:p>
        </w:tc>
        <w:tc>
          <w:tcPr>
            <w:tcW w:type="dxa" w:w="3335"/>
            <w:vMerge/>
            <w:tcBorders/>
          </w:tcPr>
          <w:p/>
        </w:tc>
        <w:tc>
          <w:tcPr>
            <w:tcW w:type="dxa" w:w="3335"/>
            <w:vMerge/>
            <w:tcBorders/>
          </w:tcPr>
          <w:p/>
        </w:tc>
      </w:tr>
      <w:tr>
        <w:trPr>
          <w:trHeight w:hRule="exact" w:val="862"/>
        </w:trPr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356" w:after="0"/>
              <w:ind w:left="51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Si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354" w:after="0"/>
              <w:ind w:left="43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Si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370" w:after="0"/>
              <w:ind w:left="0" w:right="200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31"/>
              </w:rPr>
              <w:t>Si</w:t>
            </w:r>
          </w:p>
        </w:tc>
      </w:tr>
    </w:tbl>
    <w:p>
      <w:pPr>
        <w:autoSpaceDN w:val="0"/>
        <w:autoSpaceDE w:val="0"/>
        <w:widowControl/>
        <w:spacing w:line="230" w:lineRule="auto" w:before="446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3.1.4. Choice of High-κ Material </w:t>
      </w:r>
    </w:p>
    <w:p>
      <w:pPr>
        <w:autoSpaceDN w:val="0"/>
        <w:autoSpaceDE w:val="0"/>
        <w:widowControl/>
        <w:spacing w:line="340" w:lineRule="exact" w:before="254" w:after="0"/>
        <w:ind w:left="0" w:right="2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As shown in Table 2, most IL scavenging works used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or ZrO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as gate dielectrics. In order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understand the role of high-κ layer on IL scavenging, we employed doped TiN electrodes on various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compositions of HfSi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y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layers with the Si/(Hf + Si) ratio ranging from 0.00 (HfO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to 0.44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fabricated metal-oxide-semiconductor (MOS) capacitors using gate-first process with a 1,000 °C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activation anneal. Reference samples with pure TiN electrodes were also prepared. Figure 5(a) shows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EOT reduction by remote IL scavenging (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i.e.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EOT difference between the doped TiN and the pure TiN)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as a function of the Si/(Hf + Si) ratio of HfSi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y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The doping amount of the scavenging metal was </w:t>
      </w:r>
    </w:p>
    <w:p>
      <w:pPr>
        <w:sectPr>
          <w:pgSz w:w="11900" w:h="16840"/>
          <w:pgMar w:top="454" w:right="900" w:bottom="506" w:left="994" w:header="720" w:footer="720" w:gutter="0"/>
          <w:cols w:space="720" w:num="1" w:equalWidth="0"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486</w:t>
      </w:r>
    </w:p>
    <w:p>
      <w:pPr>
        <w:autoSpaceDN w:val="0"/>
        <w:autoSpaceDE w:val="0"/>
        <w:widowControl/>
        <w:spacing w:line="286" w:lineRule="auto" w:before="40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chosen such that the initial IL (approximately 0.5 nm) is completely removed for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As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Si/(Hf + Si) ratio is increased, the EOT reduction is similar to that for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up to Si/(Hf + Si) ratio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0.20 and then it starts to decrease. This trend indicates that ionic bonds (Hf-O) play a key role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remote-scavenging and the effect is hampered as the ratio of covalent bonds (Si-O) is increased.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and ZrO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are very effective mediators of remote-scavenging from this perspective. </w:t>
      </w:r>
    </w:p>
    <w:p>
      <w:pPr>
        <w:autoSpaceDN w:val="0"/>
        <w:autoSpaceDE w:val="0"/>
        <w:widowControl/>
        <w:spacing w:line="230" w:lineRule="auto" w:before="30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3.1.5. Maximum Process Temperature </w:t>
      </w:r>
    </w:p>
    <w:p>
      <w:pPr>
        <w:autoSpaceDN w:val="0"/>
        <w:autoSpaceDE w:val="0"/>
        <w:widowControl/>
        <w:spacing w:line="340" w:lineRule="exact" w:before="238" w:after="0"/>
        <w:ind w:left="0" w:right="2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discussion in Section 3.1.4 leads us to speculate that oxygen vacancies in ionic metal oxides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contribute to remote-scavenging. We investigated the temperature dependence of remote-scavenging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using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 in order to shed more light on the kinetics of the reaction. The maximum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temperature after the deposition of doped TiN electrodes was varied from 400 °C to 1,000 °C.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As shown in Figure 5(b), most of the EOT scaling effect from the doped TiN already took place at 600 </w:t>
      </w:r>
      <w:r>
        <w:rPr>
          <w:rFonts w:ascii="Symbol" w:hAnsi="Symbol" w:eastAsia="Symbol"/>
          <w:b w:val="0"/>
          <w:i w:val="0"/>
          <w:color w:val="000000"/>
          <w:sz w:val="24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little further change occurred with the 1,000 </w:t>
      </w:r>
      <w:r>
        <w:rPr>
          <w:rFonts w:ascii="Symbol" w:hAnsi="Symbol" w:eastAsia="Symbol"/>
          <w:b w:val="0"/>
          <w:i w:val="0"/>
          <w:color w:val="000000"/>
          <w:sz w:val="24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 process (after [34]). In the case of pure TiN, a slight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increase was brought about by the 1,000 </w:t>
      </w:r>
      <w:r>
        <w:rPr>
          <w:rFonts w:ascii="Symbol" w:hAnsi="Symbol" w:eastAsia="Symbol"/>
          <w:b w:val="0"/>
          <w:i w:val="0"/>
          <w:color w:val="000000"/>
          <w:sz w:val="24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 process. In contrast, the doped TiN served two purposes. One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is the substantial EOT scaling via IL scavenging at the temperature between 400 and 600 </w:t>
      </w:r>
      <w:r>
        <w:rPr>
          <w:rFonts w:ascii="Symbol" w:hAnsi="Symbol" w:eastAsia="Symbol"/>
          <w:b w:val="0"/>
          <w:i w:val="0"/>
          <w:color w:val="000000"/>
          <w:sz w:val="24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C. The other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is the suppression of IL regrowth at the higher temperature. The former reaction coincides with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reported temperature at which oxygen vacancies in a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 become mobile and reach a steady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state for oxygen transport [44]. We speculate that the IL scavenging reaction proceeds in a remote way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as the oxygen vacancies in the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 act as mediators for oxygen transport from the IL to the TiN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electrode. Thermal activation of the mobile oxygen vacancies in the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at 400–600 </w:t>
      </w:r>
      <w:r>
        <w:rPr>
          <w:rFonts w:ascii="Symbol" w:hAnsi="Symbol" w:eastAsia="Symbol"/>
          <w:b w:val="0"/>
          <w:i w:val="0"/>
          <w:color w:val="000000"/>
          <w:sz w:val="24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 may be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threshold temperature for this reaction, provided that the driving force of the reaction (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0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/O) 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large enough [34,37]. This reaction model is schematically illustrated in Figure 5(c). When the driving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force of the reaction is small (e.g., TiN), oxygen scavenging itself becomes the rate-limiting step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much higher thermal budget (1,000 °C or higher) is required [36]. Thus, the required thermal budget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 remote-scavenging strongly depends on the choice of scavenging element. </w:t>
      </w:r>
    </w:p>
    <w:p>
      <w:pPr>
        <w:autoSpaceDN w:val="0"/>
        <w:autoSpaceDE w:val="0"/>
        <w:widowControl/>
        <w:spacing w:line="283" w:lineRule="auto" w:before="72" w:after="0"/>
        <w:ind w:left="0" w:right="2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As reviewed in this Section, (1) IL growth condition; (2) Choice of scavenging element;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(3) Location of scavenging element; (4) Choice of high-κ material; (5) Maximum process temperature,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are the key considerations for IL scavenging. Careful materials and process design suited for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overall integration scheme (e.g., gate-first or gate-last) is indispensable for the implementation of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in state-of-the-art CMOS devices. </w:t>
      </w:r>
    </w:p>
    <w:p>
      <w:pPr>
        <w:sectPr>
          <w:pgSz w:w="11900" w:h="16840"/>
          <w:pgMar w:top="454" w:right="900" w:bottom="1440" w:left="994" w:header="720" w:footer="720" w:gutter="0"/>
          <w:cols w:space="720" w:num="1" w:equalWidth="0"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487</w:t>
      </w:r>
    </w:p>
    <w:p>
      <w:pPr>
        <w:autoSpaceDN w:val="0"/>
        <w:autoSpaceDE w:val="0"/>
        <w:widowControl/>
        <w:spacing w:line="288" w:lineRule="auto" w:before="400" w:after="218"/>
        <w:ind w:left="568" w:right="582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5.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EOT reduction via remote-scavenging from doped TiN electrodes as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function of Si/(Hf+Si) ratio in HfSi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y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dielectrics. The EOT reduction is calculated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from the difference between the doped TiN and the pure TiN; 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EOT as a function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maximum process temperature for doped TiN and pure TiN using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(after [34]); 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Schematics of remote scavenging reaction. M,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and 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represent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scavenging element, the oxygen vacancy in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and the oxygen atom in the lattice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position of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respectively.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6.0" w:type="dxa"/>
      </w:tblPr>
      <w:tblGrid>
        <w:gridCol w:w="1112"/>
        <w:gridCol w:w="1112"/>
        <w:gridCol w:w="1112"/>
        <w:gridCol w:w="1112"/>
        <w:gridCol w:w="1112"/>
        <w:gridCol w:w="1112"/>
        <w:gridCol w:w="1112"/>
        <w:gridCol w:w="1112"/>
        <w:gridCol w:w="1112"/>
      </w:tblGrid>
      <w:tr>
        <w:trPr>
          <w:trHeight w:hRule="exact" w:val="360"/>
        </w:trPr>
        <w:tc>
          <w:tcPr>
            <w:tcW w:type="dxa" w:w="1020"/>
            <w:vMerge w:val="restart"/>
            <w:tcBorders>
              <w:bottom w:sz="12.13599967956543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98" w:lineRule="exact" w:before="696" w:after="0"/>
              <w:ind w:left="0" w:right="0" w:firstLine="0"/>
              <w:jc w:val="left"/>
            </w:pPr>
            <w:r>
              <w:rPr>
                <w:w w:val="98.05454774336381"/>
                <w:rFonts w:ascii="Arial,Bold" w:hAnsi="Arial,Bold" w:eastAsia="Arial,Bold"/>
                <w:b/>
                <w:i w:val="0"/>
                <w:color w:val="000000"/>
                <w:sz w:val="22"/>
              </w:rPr>
              <w:t>EOT Reduction (nm)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60" w:after="0"/>
              <w:ind w:left="0" w:right="0" w:firstLine="0"/>
              <w:jc w:val="center"/>
            </w:pPr>
            <w:r>
              <w:rPr>
                <w:w w:val="98.05454774336381"/>
                <w:rFonts w:ascii="Arial,Bold" w:hAnsi="Arial,Bold" w:eastAsia="Arial,Bold"/>
                <w:b/>
                <w:i w:val="0"/>
                <w:color w:val="000000"/>
                <w:sz w:val="22"/>
              </w:rPr>
              <w:t>0.6</w:t>
            </w:r>
          </w:p>
        </w:tc>
        <w:tc>
          <w:tcPr>
            <w:tcW w:type="dxa" w:w="4220"/>
            <w:gridSpan w:val="4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1.99999999999989" w:type="dxa"/>
            </w:tblPr>
            <w:tblGrid>
              <w:gridCol w:w="384"/>
              <w:gridCol w:w="384"/>
              <w:gridCol w:w="384"/>
              <w:gridCol w:w="384"/>
              <w:gridCol w:w="384"/>
              <w:gridCol w:w="384"/>
              <w:gridCol w:w="384"/>
              <w:gridCol w:w="384"/>
              <w:gridCol w:w="384"/>
              <w:gridCol w:w="384"/>
              <w:gridCol w:w="384"/>
            </w:tblGrid>
            <w:tr>
              <w:trPr>
                <w:trHeight w:hRule="exact" w:val="148"/>
              </w:trPr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  <w:tc>
                <w:tcPr>
                  <w:tcW w:type="dxa" w:w="384"/>
                  <w:tcBorders>
                    <w:start w:sz="12.13599967956543" w:val="single" w:color="#000000"/>
                    <w:top w:sz="12.13599967956543" w:val="single" w:color="#000000"/>
                    <w:end w:sz="12.13599967956543" w:val="single" w:color="#000000"/>
                    <w:bottom w:sz="12.13599967956543" w:val="single" w:color="#000000"/>
                  </w:tcBorders>
                </w:tcPr>
                <w:p/>
              </w:tc>
            </w:tr>
          </w:tbl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  <w:vMerge/>
            <w:tcBorders>
              <w:bottom w:sz="12.13599967956543" w:val="single" w:color="#000000"/>
            </w:tcBorders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  <w:vMerge/>
            <w:tcBorders>
              <w:bottom w:sz="12.13599967956543" w:val="single" w:color="#000000"/>
            </w:tcBorders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  <w:vMerge/>
            <w:tcBorders>
              <w:bottom w:sz="12.13599967956543" w:val="single" w:color="#000000"/>
            </w:tcBorders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  <w:vMerge/>
            <w:tcBorders>
              <w:bottom w:sz="12.13599967956543" w:val="single" w:color="#000000"/>
            </w:tcBorders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  <w:vMerge/>
            <w:tcBorders>
              <w:bottom w:sz="12.13599967956543" w:val="single" w:color="#000000"/>
            </w:tcBorders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  <w:vMerge/>
            <w:tcBorders>
              <w:bottom w:sz="12.13599967956543" w:val="single" w:color="#000000"/>
            </w:tcBorders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4448"/>
            <w:gridSpan w:val="4"/>
            <w:vMerge/>
            <w:tcBorders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  <w:tr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  <w:tc>
          <w:tcPr>
            <w:tcW w:type="dxa" w:w="1112"/>
          </w:tcPr>
          <w:p/>
        </w:tc>
      </w:tr>
    </w:tbl>
    <w:p>
      <w:pPr>
        <w:sectPr>
          <w:pgSz w:w="11900" w:h="16840"/>
          <w:pgMar w:top="454" w:right="900" w:bottom="670" w:left="994" w:header="720" w:footer="720" w:gutter="0"/>
          <w:cols w:space="720" w:num="1" w:equalWidth="0"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5664200</wp:posOffset>
            </wp:positionV>
            <wp:extent cx="2159000" cy="1828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82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5689600</wp:posOffset>
            </wp:positionV>
            <wp:extent cx="2095500" cy="17653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65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488</w:t>
      </w:r>
    </w:p>
    <w:p>
      <w:pPr>
        <w:autoSpaceDN w:val="0"/>
        <w:autoSpaceDE w:val="0"/>
        <w:widowControl/>
        <w:spacing w:line="290" w:lineRule="auto" w:before="400" w:after="0"/>
        <w:ind w:left="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for IL scavenging follow the ideal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scaling in a wide EOT range on both bias conditions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irrespective of the maximum process temperatures (500–600 °C in [30,37], 1,000–1,035 °C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[19,32,36]). This suggests that optimized IL scavenging techniques can avoid extrinsic 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degradation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 both nFET and pFET either with gate-first or gate-last integration. As shown in Figure 6(a),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La-caps help in reducing 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with little EOT penalty. Thus, the most aggressive EOT scaling (0.42 nm)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was obtained by IL scavenging in conjunction with La-caps [34]. Comparison between IL 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techniques and other methods [38,39] is shown in Figure 6(b). In all cases, EOT scaling down to 0.50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nm was achieved using pure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indicating that the ultimate scaling point (zero-IL) does not depend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on the method. However, IL scavenging techniques do offer an advantage over other methods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adjusting the IL thickness anywhere between the as-grown thickness and zero on the ideal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scaling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trend in EOT-J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characteristics [19,32,36,37]. Such controllability of IL thickness is extremely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important when we consider EWF control and device reliability in conjunction with aggressive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scaling as we review in Sections 3.3 and 3.4. </w:t>
      </w:r>
    </w:p>
    <w:p>
      <w:pPr>
        <w:autoSpaceDN w:val="0"/>
        <w:autoSpaceDE w:val="0"/>
        <w:widowControl/>
        <w:spacing w:line="286" w:lineRule="auto" w:before="314" w:after="170"/>
        <w:ind w:left="568" w:right="576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6.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EOT-J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characteristics for n-type metal-oxide-semiconductor (MOS)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capacitors with (SiO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/(La-cap) gate dielectrics in literature. 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is defined at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= flatband voltage (V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+ 1 V for [34,37] and at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= 1 V for [36]; 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EOT-J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characteristics for p-type MOS capacitors with (SiO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 in literature. 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is defined at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=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− 1 V for [19,30,32,38,39]. The slopes for ideal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scaling are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shown in broken lines with the magnitude in J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reduction from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/Poly-Si stacks in both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plots. The maximum process temperatures are indicated in the legends.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5.99999999999994" w:type="dxa"/>
      </w:tblPr>
      <w:tblGrid>
        <w:gridCol w:w="910"/>
        <w:gridCol w:w="910"/>
        <w:gridCol w:w="910"/>
        <w:gridCol w:w="910"/>
        <w:gridCol w:w="910"/>
        <w:gridCol w:w="910"/>
        <w:gridCol w:w="910"/>
        <w:gridCol w:w="910"/>
        <w:gridCol w:w="910"/>
        <w:gridCol w:w="910"/>
        <w:gridCol w:w="910"/>
      </w:tblGrid>
      <w:tr>
        <w:trPr>
          <w:trHeight w:hRule="exact" w:val="362"/>
        </w:trPr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380" w:after="0"/>
              <w:ind w:left="50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3"/>
              </w:rPr>
              <w:t>J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g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(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3"/>
              </w:rPr>
              <w:t>A/cm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2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3"/>
              </w:rPr>
              <w:t>)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3"/>
              </w:rPr>
              <w:t>at +1V or V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fb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3"/>
              </w:rPr>
              <w:t>+1V</w:t>
            </w:r>
          </w:p>
        </w:tc>
        <w:tc>
          <w:tcPr>
            <w:tcW w:type="dxa" w:w="35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100" w:right="0" w:firstLine="0"/>
              <w:jc w:val="left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206" w:after="0"/>
              <w:ind w:left="12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J</w:t>
            </w:r>
            <w:r>
              <w:rPr>
                <w:w w:val="102.31176264145796"/>
                <w:rFonts w:ascii="Arial,Bold" w:hAnsi="Arial,Bold" w:eastAsia="Arial,Bold"/>
                <w:b/>
                <w:i w:val="0"/>
                <w:color w:val="000000"/>
                <w:sz w:val="17"/>
              </w:rPr>
              <w:t>g</w:t>
            </w:r>
            <w:r>
              <w:rPr>
                <w:w w:val="101.47294437184054"/>
                <w:rFonts w:ascii="Arial,Bold" w:hAnsi="Arial,Bold" w:eastAsia="Arial,Bold"/>
                <w:b/>
                <w:i w:val="0"/>
                <w:color w:val="000000"/>
                <w:sz w:val="17"/>
              </w:rPr>
              <w:t>(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A/cm</w:t>
            </w:r>
            <w:r>
              <w:rPr>
                <w:w w:val="102.31176264145796"/>
                <w:rFonts w:ascii="Arial,Bold" w:hAnsi="Arial,Bold" w:eastAsia="Arial,Bold"/>
                <w:b/>
                <w:i w:val="0"/>
                <w:color w:val="000000"/>
                <w:sz w:val="17"/>
              </w:rPr>
              <w:t>2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)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at V</w:t>
            </w:r>
            <w:r>
              <w:rPr>
                <w:w w:val="102.31176264145796"/>
                <w:rFonts w:ascii="Arial,Bold" w:hAnsi="Arial,Bold" w:eastAsia="Arial,Bold"/>
                <w:b/>
                <w:i w:val="0"/>
                <w:color w:val="000000"/>
                <w:sz w:val="17"/>
              </w:rPr>
              <w:t>fb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-1V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4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3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64" w:after="0"/>
              <w:ind w:left="0" w:right="67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SiO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2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/Poly-Si</w:t>
            </w:r>
          </w:p>
        </w:tc>
      </w:tr>
      <w:tr>
        <w:trPr>
          <w:trHeight w:hRule="exact" w:val="340"/>
        </w:trPr>
        <w:tc>
          <w:tcPr>
            <w:tcW w:type="dxa" w:w="910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52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1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8" w:val="left"/>
              </w:tabs>
              <w:autoSpaceDE w:val="0"/>
              <w:widowControl/>
              <w:spacing w:line="245" w:lineRule="auto" w:before="202" w:after="0"/>
              <w:ind w:left="80" w:right="1296" w:firstLine="0"/>
              <w:jc w:val="left"/>
            </w:pPr>
            <w:r>
              <w:tab/>
            </w:r>
            <w:r>
              <w:rPr>
                <w:w w:val="98.76199722290039"/>
                <w:rFonts w:ascii="Arial" w:hAnsi="Arial" w:eastAsia="Arial"/>
                <w:b w:val="0"/>
                <w:i w:val="0"/>
                <w:color w:val="919191"/>
                <w:sz w:val="10"/>
              </w:rPr>
              <w:t xml:space="preserve">-4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919191"/>
                <w:sz w:val="15"/>
              </w:rPr>
              <w:t>10</w:t>
            </w:r>
          </w:p>
        </w:tc>
        <w:tc>
          <w:tcPr>
            <w:tcW w:type="dxa" w:w="14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136" w:after="0"/>
              <w:ind w:left="0" w:right="102" w:firstLine="0"/>
              <w:jc w:val="right"/>
            </w:pPr>
            <w:r>
              <w:rPr>
                <w:w w:val="97.45111465454102"/>
                <w:rFonts w:ascii="Arial,Bold" w:hAnsi="Arial,Bold" w:eastAsia="Arial,Bold"/>
                <w:b/>
                <w:i w:val="0"/>
                <w:color w:val="000000"/>
                <w:sz w:val="18"/>
              </w:rPr>
              <w:t>SiO</w:t>
            </w:r>
            <w:r>
              <w:rPr>
                <w:w w:val="96.37845846322867"/>
                <w:rFonts w:ascii="Arial,Bold" w:hAnsi="Arial,Bold" w:eastAsia="Arial,Bold"/>
                <w:b/>
                <w:i w:val="0"/>
                <w:color w:val="000000"/>
                <w:sz w:val="13"/>
              </w:rPr>
              <w:t>2</w:t>
            </w:r>
            <w:r>
              <w:rPr>
                <w:w w:val="97.45111465454102"/>
                <w:rFonts w:ascii="Arial,Bold" w:hAnsi="Arial,Bold" w:eastAsia="Arial,Bold"/>
                <w:b/>
                <w:i w:val="0"/>
                <w:color w:val="000000"/>
                <w:sz w:val="18"/>
              </w:rPr>
              <w:t>/Poly-Si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1820"/>
            <w:gridSpan w:val="2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1820"/>
            <w:gridSpan w:val="2"/>
            <w:vMerge/>
            <w:tcBorders/>
          </w:tcPr>
          <w:p/>
        </w:tc>
        <w:tc>
          <w:tcPr>
            <w:tcW w:type="dxa" w:w="2730"/>
            <w:gridSpan w:val="3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8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13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245" w:lineRule="auto" w:before="32" w:after="0"/>
              <w:ind w:left="76" w:right="1008" w:firstLine="0"/>
              <w:jc w:val="left"/>
            </w:pPr>
            <w:r>
              <w:tab/>
            </w:r>
            <w:r>
              <w:rPr>
                <w:w w:val="95.51799774169922"/>
                <w:rFonts w:ascii="Arial" w:hAnsi="Arial" w:eastAsia="Arial"/>
                <w:b w:val="0"/>
                <w:i w:val="0"/>
                <w:color w:val="919191"/>
                <w:sz w:val="10"/>
              </w:rPr>
              <w:t xml:space="preserve">-4 </w:t>
            </w:r>
            <w:r>
              <w:br/>
            </w:r>
            <w:r>
              <w:rPr>
                <w:w w:val="96.94400151570638"/>
                <w:rFonts w:ascii="Arial" w:hAnsi="Arial" w:eastAsia="Arial"/>
                <w:b w:val="0"/>
                <w:i w:val="0"/>
                <w:color w:val="919191"/>
                <w:sz w:val="15"/>
              </w:rPr>
              <w:t>10</w:t>
            </w:r>
          </w:p>
        </w:tc>
        <w:tc>
          <w:tcPr>
            <w:tcW w:type="dxa" w:w="24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94" w:after="0"/>
              <w:ind w:left="0" w:right="688" w:firstLine="0"/>
              <w:jc w:val="right"/>
            </w:pP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 1000</w:t>
            </w:r>
            <w:r>
              <w:rPr>
                <w:w w:val="95.04221810234917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>C [19]</w:t>
            </w:r>
          </w:p>
        </w:tc>
      </w:tr>
      <w:tr>
        <w:trPr>
          <w:trHeight w:hRule="exact" w:val="324"/>
        </w:trPr>
        <w:tc>
          <w:tcPr>
            <w:tcW w:type="dxa" w:w="910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919191"/>
                <w:sz w:val="15"/>
              </w:rPr>
              <w:t>10</w:t>
            </w:r>
          </w:p>
        </w:tc>
        <w:tc>
          <w:tcPr>
            <w:tcW w:type="dxa" w:w="289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34" w:after="0"/>
              <w:ind w:left="0" w:right="0" w:firstLine="0"/>
              <w:jc w:val="left"/>
            </w:pPr>
            <w:r>
              <w:rPr>
                <w:w w:val="98.76199722290039"/>
                <w:rFonts w:ascii="Arial" w:hAnsi="Arial" w:eastAsia="Arial"/>
                <w:b w:val="0"/>
                <w:i w:val="0"/>
                <w:color w:val="919191"/>
                <w:sz w:val="10"/>
              </w:rPr>
              <w:t>-5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910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2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31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2" w:val="left"/>
              </w:tabs>
              <w:autoSpaceDE w:val="0"/>
              <w:widowControl/>
              <w:spacing w:line="245" w:lineRule="auto" w:before="178" w:after="0"/>
              <w:ind w:left="74" w:right="2736" w:firstLine="0"/>
              <w:jc w:val="left"/>
            </w:pPr>
            <w:r>
              <w:tab/>
            </w:r>
            <w:r>
              <w:rPr>
                <w:w w:val="98.76199722290039"/>
                <w:rFonts w:ascii="Arial" w:hAnsi="Arial" w:eastAsia="Arial"/>
                <w:b w:val="0"/>
                <w:i w:val="0"/>
                <w:color w:val="919191"/>
                <w:sz w:val="10"/>
              </w:rPr>
              <w:t xml:space="preserve">-6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919191"/>
                <w:sz w:val="15"/>
              </w:rPr>
              <w:t>10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2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13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245" w:lineRule="auto" w:before="0" w:after="0"/>
              <w:ind w:left="76" w:right="1008" w:firstLine="0"/>
              <w:jc w:val="left"/>
            </w:pPr>
            <w:r>
              <w:tab/>
            </w:r>
            <w:r>
              <w:rPr>
                <w:w w:val="95.51799774169922"/>
                <w:rFonts w:ascii="Arial" w:hAnsi="Arial" w:eastAsia="Arial"/>
                <w:b w:val="0"/>
                <w:i w:val="0"/>
                <w:color w:val="919191"/>
                <w:sz w:val="10"/>
              </w:rPr>
              <w:t xml:space="preserve">-5 </w:t>
            </w:r>
            <w:r>
              <w:br/>
            </w:r>
            <w:r>
              <w:rPr>
                <w:w w:val="96.94400151570638"/>
                <w:rFonts w:ascii="Arial" w:hAnsi="Arial" w:eastAsia="Arial"/>
                <w:b w:val="0"/>
                <w:i w:val="0"/>
                <w:color w:val="919191"/>
                <w:sz w:val="15"/>
              </w:rPr>
              <w:t>10</w:t>
            </w:r>
          </w:p>
        </w:tc>
        <w:tc>
          <w:tcPr>
            <w:tcW w:type="dxa" w:w="91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4550"/>
            <w:gridSpan w:val="5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24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722" w:firstLine="0"/>
              <w:jc w:val="right"/>
            </w:pP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 500</w:t>
            </w:r>
            <w:r>
              <w:rPr>
                <w:w w:val="95.04221810234917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C [30] </w:t>
            </w:r>
          </w:p>
        </w:tc>
      </w:tr>
      <w:tr>
        <w:trPr>
          <w:trHeight w:hRule="exact" w:val="70"/>
        </w:trPr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4550"/>
            <w:gridSpan w:val="5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13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4" w:val="left"/>
              </w:tabs>
              <w:autoSpaceDE w:val="0"/>
              <w:widowControl/>
              <w:spacing w:line="245" w:lineRule="auto" w:before="82" w:after="0"/>
              <w:ind w:left="82" w:right="1008" w:firstLine="0"/>
              <w:jc w:val="left"/>
            </w:pPr>
            <w:r>
              <w:tab/>
            </w:r>
            <w:r>
              <w:rPr>
                <w:w w:val="95.51799774169922"/>
                <w:rFonts w:ascii="Arial" w:hAnsi="Arial" w:eastAsia="Arial"/>
                <w:b w:val="0"/>
                <w:i w:val="0"/>
                <w:color w:val="919191"/>
                <w:sz w:val="10"/>
              </w:rPr>
              <w:t xml:space="preserve">-6 </w:t>
            </w:r>
            <w:r>
              <w:br/>
            </w:r>
            <w:r>
              <w:rPr>
                <w:w w:val="96.94400151570638"/>
                <w:rFonts w:ascii="Arial" w:hAnsi="Arial" w:eastAsia="Arial"/>
                <w:b w:val="0"/>
                <w:i w:val="0"/>
                <w:color w:val="919191"/>
                <w:sz w:val="15"/>
              </w:rPr>
              <w:t>10</w:t>
            </w:r>
          </w:p>
        </w:tc>
        <w:tc>
          <w:tcPr>
            <w:tcW w:type="dxa" w:w="24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688" w:firstLine="0"/>
              <w:jc w:val="right"/>
            </w:pP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 1020</w:t>
            </w:r>
            <w:r>
              <w:rPr>
                <w:w w:val="95.04221810234917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>C [32]</w:t>
            </w:r>
          </w:p>
        </w:tc>
      </w:tr>
      <w:tr>
        <w:trPr>
          <w:trHeight w:hRule="exact" w:val="50"/>
        </w:trPr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4550"/>
            <w:gridSpan w:val="5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3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910"/>
            <w:vMerge/>
            <w:tcBorders/>
          </w:tcPr>
          <w:p/>
        </w:tc>
        <w:tc>
          <w:tcPr>
            <w:tcW w:type="dxa" w:w="35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00" w:right="0" w:firstLine="0"/>
              <w:jc w:val="left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0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10"/>
            <w:vMerge/>
            <w:tcBorders/>
          </w:tcPr>
          <w:p/>
        </w:tc>
        <w:tc>
          <w:tcPr>
            <w:tcW w:type="dxa" w:w="5460"/>
            <w:gridSpan w:val="6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24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688" w:firstLine="0"/>
              <w:jc w:val="right"/>
            </w:pP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 1000</w:t>
            </w:r>
            <w:r>
              <w:rPr>
                <w:w w:val="95.04221810234917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>C [38]</w:t>
            </w:r>
          </w:p>
        </w:tc>
      </w:tr>
      <w:tr>
        <w:trPr>
          <w:trHeight w:hRule="exact" w:val="70"/>
        </w:trPr>
        <w:tc>
          <w:tcPr>
            <w:tcW w:type="dxa" w:w="910"/>
            <w:vMerge/>
            <w:tcBorders/>
          </w:tcPr>
          <w:p/>
        </w:tc>
        <w:tc>
          <w:tcPr>
            <w:tcW w:type="dxa" w:w="5460"/>
            <w:gridSpan w:val="6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9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-1</w:t>
            </w:r>
          </w:p>
        </w:tc>
        <w:tc>
          <w:tcPr>
            <w:tcW w:type="dxa" w:w="3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" w:after="0"/>
              <w:ind w:left="0" w:right="688" w:firstLine="0"/>
              <w:jc w:val="right"/>
            </w:pP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 1000</w:t>
            </w:r>
            <w:r>
              <w:rPr>
                <w:w w:val="95.04221810234917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102.17166741689046"/>
                <w:rFonts w:ascii="Arial,Bold" w:hAnsi="Arial,Bold" w:eastAsia="Arial,Bold"/>
                <w:b/>
                <w:i w:val="0"/>
                <w:color w:val="000000"/>
                <w:sz w:val="12"/>
              </w:rPr>
              <w:t>C [39]</w:t>
            </w:r>
          </w:p>
        </w:tc>
      </w:tr>
      <w:tr>
        <w:trPr>
          <w:trHeight w:hRule="exact" w:val="370"/>
        </w:trPr>
        <w:tc>
          <w:tcPr>
            <w:tcW w:type="dxa" w:w="910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2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-1</w:t>
            </w:r>
          </w:p>
        </w:tc>
        <w:tc>
          <w:tcPr>
            <w:tcW w:type="dxa" w:w="31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76" w:after="0"/>
              <w:ind w:left="340" w:right="0" w:firstLine="0"/>
              <w:jc w:val="left"/>
            </w:pP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 xml:space="preserve"> 1000</w:t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>C La-cap [34]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1820"/>
            <w:gridSpan w:val="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910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6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-2</w:t>
            </w:r>
          </w:p>
        </w:tc>
        <w:tc>
          <w:tcPr>
            <w:tcW w:type="dxa" w:w="31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" w:after="0"/>
              <w:ind w:left="288" w:right="1584" w:firstLine="0"/>
              <w:jc w:val="center"/>
            </w:pP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 xml:space="preserve"> 1035</w:t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>C La-cap [36]</w:t>
            </w:r>
            <w:r>
              <w:br/>
            </w: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 xml:space="preserve"> 600</w:t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>C no-cap [37]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42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5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-2</w:t>
            </w:r>
          </w:p>
        </w:tc>
      </w:tr>
      <w:tr>
        <w:trPr>
          <w:trHeight w:hRule="exact" w:val="100"/>
        </w:trPr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4550"/>
            <w:gridSpan w:val="5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42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0" w:val="left"/>
                <w:tab w:pos="484" w:val="left"/>
              </w:tabs>
              <w:autoSpaceDE w:val="0"/>
              <w:widowControl/>
              <w:spacing w:line="156" w:lineRule="exact" w:before="164" w:after="0"/>
              <w:ind w:left="50" w:right="288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-3 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(b) p-type Si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10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 xml:space="preserve">-4 </w:t>
            </w:r>
            <w:r>
              <w:br/>
            </w:r>
            <w:r>
              <w:tab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7"/>
              </w:rPr>
              <w:t>0.4 0.5 0.6 0.7 0.8 0.9 1.0 1.1 1.2 1.3</w:t>
            </w:r>
          </w:p>
        </w:tc>
      </w:tr>
      <w:tr>
        <w:trPr>
          <w:trHeight w:hRule="exact" w:val="380"/>
        </w:trPr>
        <w:tc>
          <w:tcPr>
            <w:tcW w:type="dxa" w:w="910"/>
            <w:vMerge/>
            <w:tcBorders/>
          </w:tcPr>
          <w:p/>
        </w:tc>
        <w:tc>
          <w:tcPr>
            <w:tcW w:type="dxa" w:w="21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70" w:lineRule="exact" w:before="0" w:after="0"/>
              <w:ind w:left="62" w:right="0" w:firstLine="0"/>
              <w:jc w:val="left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-3</w:t>
            </w:r>
            <w:r>
              <w:tab/>
            </w: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 xml:space="preserve"> 600</w:t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9"/>
              </w:rPr>
              <w:t>o</w:t>
            </w:r>
            <w:r>
              <w:rPr>
                <w:w w:val="97.51538496751053"/>
                <w:rFonts w:ascii="Arial,Bold" w:hAnsi="Arial,Bold" w:eastAsia="Arial,Bold"/>
                <w:b/>
                <w:i w:val="0"/>
                <w:color w:val="000000"/>
                <w:sz w:val="13"/>
              </w:rPr>
              <w:t>C La-cap [37]</w:t>
            </w:r>
          </w:p>
          <w:p>
            <w:pPr>
              <w:autoSpaceDN w:val="0"/>
              <w:autoSpaceDE w:val="0"/>
              <w:widowControl/>
              <w:spacing w:line="242" w:lineRule="exact" w:before="0" w:after="0"/>
              <w:ind w:left="512" w:right="0" w:firstLine="0"/>
              <w:jc w:val="left"/>
            </w:pPr>
            <w:r>
              <w:rPr>
                <w:w w:val="97.45111465454102"/>
                <w:rFonts w:ascii="Arial,Bold" w:hAnsi="Arial,Bold" w:eastAsia="Arial,Bold"/>
                <w:b/>
                <w:i w:val="0"/>
                <w:color w:val="000000"/>
                <w:sz w:val="18"/>
              </w:rPr>
              <w:t>(a) n-type Si</w:t>
            </w:r>
          </w:p>
          <w:p>
            <w:pPr>
              <w:autoSpaceDN w:val="0"/>
              <w:autoSpaceDE w:val="0"/>
              <w:widowControl/>
              <w:spacing w:line="270" w:lineRule="exact" w:before="0" w:after="0"/>
              <w:ind w:left="62" w:right="0" w:firstLine="0"/>
              <w:jc w:val="left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10</w:t>
            </w:r>
            <w:r>
              <w:rPr>
                <w:w w:val="103.18333307902019"/>
                <w:rFonts w:ascii="Arial,Bold" w:hAnsi="Arial,Bold" w:eastAsia="Arial,Bold"/>
                <w:b/>
                <w:i w:val="0"/>
                <w:color w:val="000000"/>
                <w:sz w:val="12"/>
              </w:rPr>
              <w:t>-4</w:t>
            </w:r>
          </w:p>
          <w:p>
            <w:pPr>
              <w:autoSpaceDN w:val="0"/>
              <w:tabs>
                <w:tab w:pos="778" w:val="left"/>
                <w:tab w:pos="1262" w:val="left"/>
                <w:tab w:pos="1742" w:val="left"/>
              </w:tabs>
              <w:autoSpaceDE w:val="0"/>
              <w:widowControl/>
              <w:spacing w:line="244" w:lineRule="exact" w:before="0" w:after="0"/>
              <w:ind w:left="298" w:right="0" w:firstLine="0"/>
              <w:jc w:val="left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0.3 </w:t>
            </w:r>
            <w:r>
              <w:tab/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0.4 </w:t>
            </w:r>
            <w:r>
              <w:tab/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0.5 </w:t>
            </w:r>
            <w:r>
              <w:tab/>
            </w: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0.6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96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0.7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96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0.8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96" w:after="0"/>
              <w:ind w:left="0" w:right="0" w:firstLine="0"/>
              <w:jc w:val="center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0.9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2730"/>
            <w:gridSpan w:val="3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910"/>
            <w:vMerge/>
            <w:tcBorders/>
          </w:tcPr>
          <w:p/>
        </w:tc>
        <w:tc>
          <w:tcPr>
            <w:tcW w:type="dxa" w:w="2730"/>
            <w:gridSpan w:val="3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910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28" w:after="0"/>
              <w:ind w:left="108" w:right="0" w:firstLine="0"/>
              <w:jc w:val="left"/>
            </w:pPr>
            <w:r>
              <w:rPr>
                <w:w w:val="98.271115620931"/>
                <w:rFonts w:ascii="Arial,Bold" w:hAnsi="Arial,Bold" w:eastAsia="Arial,Bold"/>
                <w:b/>
                <w:i w:val="0"/>
                <w:color w:val="000000"/>
                <w:sz w:val="18"/>
              </w:rPr>
              <w:t>1.0</w:t>
            </w:r>
          </w:p>
        </w:tc>
        <w:tc>
          <w:tcPr>
            <w:tcW w:type="dxa" w:w="2730"/>
            <w:gridSpan w:val="3"/>
            <w:vMerge/>
            <w:tcBorders/>
          </w:tcPr>
          <w:p/>
        </w:tc>
      </w:tr>
      <w:tr>
        <w:trPr>
          <w:trHeight w:hRule="exact" w:val="438"/>
        </w:trPr>
        <w:tc>
          <w:tcPr>
            <w:tcW w:type="dxa" w:w="910"/>
            <w:vMerge/>
            <w:tcBorders/>
          </w:tcPr>
          <w:p/>
        </w:tc>
        <w:tc>
          <w:tcPr>
            <w:tcW w:type="dxa" w:w="35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64" w:after="0"/>
              <w:ind w:left="0" w:right="75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3"/>
              </w:rPr>
              <w:t>EOT (nm)</w:t>
            </w:r>
          </w:p>
        </w:tc>
        <w:tc>
          <w:tcPr>
            <w:tcW w:type="dxa" w:w="910"/>
            <w:vMerge/>
            <w:tcBorders/>
          </w:tcPr>
          <w:p/>
        </w:tc>
        <w:tc>
          <w:tcPr>
            <w:tcW w:type="dxa" w:w="42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0" w:right="150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EOT (nm)</w:t>
            </w:r>
          </w:p>
        </w:tc>
      </w:tr>
    </w:tbl>
    <w:p>
      <w:pPr>
        <w:autoSpaceDN w:val="0"/>
        <w:autoSpaceDE w:val="0"/>
        <w:widowControl/>
        <w:spacing w:line="294" w:lineRule="exact" w:before="23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3.3. Effective Work Function Control </w:t>
      </w:r>
    </w:p>
    <w:p>
      <w:pPr>
        <w:autoSpaceDN w:val="0"/>
        <w:autoSpaceDE w:val="0"/>
        <w:widowControl/>
        <w:spacing w:line="286" w:lineRule="auto" w:before="300" w:after="0"/>
        <w:ind w:left="0" w:right="22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As discussed in Section 3.1.3, remote-scavenging process per se does not change the EWF of the gate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stack, which makes this technique applicable to both nFET and pFET if the EWF is independently tuned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by other knobs. In the case of gate-first process, La and Al cap layers on Hf-based high-κ gate dielectrics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are widely practiced to control the EWF for nFET and pFET, respectively [17,40]. The origin of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EWF change has been identified to be the electric dipoles located at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/high-κ interface, however,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exact mechanism of the interface dipole formation is still controversial [25,27,47,48]. </w:t>
      </w:r>
    </w:p>
    <w:p>
      <w:pPr>
        <w:sectPr>
          <w:pgSz w:w="11900" w:h="16840"/>
          <w:pgMar w:top="454" w:right="898" w:bottom="796" w:left="994" w:header="720" w:footer="720" w:gutter="0"/>
          <w:cols w:space="720" w:num="1" w:equalWidth="0"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4076700</wp:posOffset>
            </wp:positionH>
            <wp:positionV relativeFrom="page">
              <wp:posOffset>6946900</wp:posOffset>
            </wp:positionV>
            <wp:extent cx="1854200" cy="6985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8153400</wp:posOffset>
            </wp:positionV>
            <wp:extent cx="774700" cy="4826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8140700</wp:posOffset>
            </wp:positionV>
            <wp:extent cx="787400" cy="5207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5186680</wp:posOffset>
            </wp:positionH>
            <wp:positionV relativeFrom="page">
              <wp:posOffset>8511540</wp:posOffset>
            </wp:positionV>
            <wp:extent cx="756920" cy="908304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90830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489</w:t>
      </w:r>
    </w:p>
    <w:p>
      <w:pPr>
        <w:autoSpaceDN w:val="0"/>
        <w:autoSpaceDE w:val="0"/>
        <w:widowControl/>
        <w:spacing w:line="340" w:lineRule="exact" w:before="326" w:after="0"/>
        <w:ind w:left="0" w:right="2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When the La-(Al-) cap and remote-scavenging techniques are simultaneously employed, we need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consider the kinetics of both reactions. It was reported that the La-(Al-) cap requires at least 800 °C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diffuse through the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and reach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 [18,25]. After the La (Al) atoms reach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thermal budget as low as 300 °C is enough to activate the La- (Al-) induced dipoles [27]. Therefore,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diffusion of La (Al) atoms is the limiting factor for the interface dipole formation. On the other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hand, the remote scavenging reaction can happen in a much lower temperature range (400–600 </w:t>
      </w:r>
      <w:r>
        <w:rPr>
          <w:rFonts w:ascii="Symbol" w:hAnsi="Symbol" w:eastAsia="Symbol"/>
          <w:b w:val="0"/>
          <w:i w:val="0"/>
          <w:color w:val="000000"/>
          <w:sz w:val="24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C) if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sufficiently strong scavenging element is used as discussed in Section 3.1.5. Figure 7 shows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flow for the MOS capacitors using La-(Al-) caps in conjunction with remote IL scavenging.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Due to the difference of kinetics between the remote-scavenging and the interface dipole formation,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chronological order of the reactions is as follows: (1) The remote-scavenging happens during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Poly-Si deposition typically at 500–600 °C; (2) La (Al) atoms diffuse through the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 during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activation anneal typically at 1,000 °C or higher; (3) La-(Al-) induced dipole layers form at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bottom IL, as schematically illustrated in Figure 7. The corresponding EOT-V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data are shown in Figure 8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(after [19]). The IL thickness was varied by changing the scavenging metal (M) dose. As seen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Figure 8,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tuning by La-(Al-) caps and EOT scaling by remote-scavenging are compatible and can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be independently controlled. Thus, the chronological order of the reactions enabled IL 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without disruption of the interface dipole formation. However, the EWF controllability by the La-(Al)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caps is lost when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 is completely scavenged [49]. In addition, it was reported that complete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elimination of IL from a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stack causes disappearance of the interface dipoles originating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from Si-O-Hf bonds, resulting in disruptive shifts of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[50]. Therefore, leaving an ultra-thin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after scavenging may be the key to avoid a disruptive change of EWF and to allow tuning by interface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dipoles for CMOS integration using gate-first process. </w:t>
      </w:r>
    </w:p>
    <w:p>
      <w:pPr>
        <w:autoSpaceDN w:val="0"/>
        <w:autoSpaceDE w:val="0"/>
        <w:widowControl/>
        <w:spacing w:line="274" w:lineRule="auto" w:before="314" w:after="230"/>
        <w:ind w:left="562" w:right="584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7.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flow for MOS capacitors using La-(Al-) caps in conjunction with remote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 scavenging. The change in the gate dielectrics at the key steps is illustrated in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schematics. The corresponding electrical data are shown in Figure 8.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5.99999999999994" w:type="dxa"/>
      </w:tblPr>
      <w:tblGrid>
        <w:gridCol w:w="1429"/>
        <w:gridCol w:w="1429"/>
        <w:gridCol w:w="1429"/>
        <w:gridCol w:w="1429"/>
        <w:gridCol w:w="1429"/>
        <w:gridCol w:w="1429"/>
        <w:gridCol w:w="1429"/>
      </w:tblGrid>
      <w:tr>
        <w:trPr>
          <w:trHeight w:hRule="exact" w:val="642"/>
        </w:trPr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1168" w:after="0"/>
              <w:ind w:left="0" w:right="7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8"/>
              </w:rPr>
              <w:t>(i)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24257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42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70" w:after="0"/>
              <w:ind w:left="48" w:right="0" w:firstLine="0"/>
              <w:jc w:val="left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IL preparation</w:t>
            </w:r>
          </w:p>
        </w:tc>
        <w:tc>
          <w:tcPr>
            <w:tcW w:type="dxa" w:w="2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14" w:after="0"/>
              <w:ind w:left="758" w:right="432" w:hanging="9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(i) </w:t>
            </w:r>
            <w:r>
              <w:br/>
            </w:r>
            <w:r>
              <w:rPr>
                <w:w w:val="101.9643783569336"/>
                <w:rFonts w:ascii="Arial,Bold" w:hAnsi="Arial,Bold" w:eastAsia="Arial,Bold"/>
                <w:b/>
                <w:i w:val="0"/>
                <w:color w:val="FFFFFF"/>
                <w:sz w:val="16"/>
              </w:rPr>
              <w:t xml:space="preserve">La or Al cap </w:t>
            </w:r>
            <w:r>
              <w:br/>
            </w: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HfO</w:t>
            </w:r>
            <w:r>
              <w:rPr>
                <w:w w:val="104.57799911499023"/>
                <w:rFonts w:ascii="Arial,Bold" w:hAnsi="Arial,Bold" w:eastAsia="Arial,Bold"/>
                <w:b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2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96" w:after="0"/>
              <w:ind w:left="222" w:right="864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(ii)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>IL scavenging</w:t>
            </w:r>
          </w:p>
          <w:p>
            <w:pPr>
              <w:autoSpaceDN w:val="0"/>
              <w:autoSpaceDE w:val="0"/>
              <w:widowControl/>
              <w:spacing w:line="224" w:lineRule="exact" w:before="48" w:after="0"/>
              <w:ind w:left="340" w:right="0" w:firstLine="0"/>
              <w:jc w:val="lef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FFFFFF"/>
                <w:sz w:val="16"/>
              </w:rPr>
              <w:t>La or Al cap</w:t>
            </w:r>
          </w:p>
          <w:p>
            <w:pPr>
              <w:autoSpaceDN w:val="0"/>
              <w:autoSpaceDE w:val="0"/>
              <w:widowControl/>
              <w:spacing w:line="224" w:lineRule="exact" w:before="106" w:after="0"/>
              <w:ind w:left="322" w:right="0" w:firstLine="0"/>
              <w:jc w:val="lef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HfO</w:t>
            </w:r>
            <w:r>
              <w:rPr>
                <w:w w:val="104.57799911499023"/>
                <w:rFonts w:ascii="Arial,Bold" w:hAnsi="Arial,Bold" w:eastAsia="Arial,Bold"/>
                <w:b/>
                <w:i w:val="0"/>
                <w:color w:val="000000"/>
                <w:sz w:val="10"/>
              </w:rPr>
              <w:t>2</w:t>
            </w:r>
          </w:p>
        </w:tc>
      </w:tr>
      <w:tr>
        <w:trPr>
          <w:trHeight w:hRule="exact" w:val="560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68" w:after="0"/>
              <w:ind w:left="42" w:right="0" w:firstLine="0"/>
              <w:jc w:val="left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HfO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>2</w:t>
            </w: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 xml:space="preserve"> deposition</w:t>
            </w:r>
          </w:p>
        </w:tc>
        <w:tc>
          <w:tcPr>
            <w:tcW w:type="dxa" w:w="2858"/>
            <w:gridSpan w:val="2"/>
            <w:vMerge/>
            <w:tcBorders/>
          </w:tcPr>
          <w:p/>
        </w:tc>
        <w:tc>
          <w:tcPr>
            <w:tcW w:type="dxa" w:w="2858"/>
            <w:gridSpan w:val="2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48" w:right="0" w:firstLine="0"/>
              <w:jc w:val="left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La or Al cap deposition</w:t>
            </w:r>
          </w:p>
        </w:tc>
        <w:tc>
          <w:tcPr>
            <w:tcW w:type="dxa" w:w="4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" w:after="0"/>
              <w:ind w:left="726" w:right="0" w:firstLine="0"/>
              <w:jc w:val="lef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SiO</w:t>
            </w:r>
            <w:r>
              <w:rPr>
                <w:w w:val="104.57799911499023"/>
                <w:rFonts w:ascii="Arial,Bold" w:hAnsi="Arial,Bold" w:eastAsia="Arial,Bold"/>
                <w:b/>
                <w:i w:val="0"/>
                <w:color w:val="000000"/>
                <w:sz w:val="10"/>
              </w:rPr>
              <w:t>2</w:t>
            </w:r>
          </w:p>
        </w:tc>
      </w:tr>
      <w:tr>
        <w:trPr>
          <w:trHeight w:hRule="exact" w:val="599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8" w:after="0"/>
              <w:ind w:left="42" w:right="0" w:firstLine="0"/>
              <w:jc w:val="left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TiN deposition</w:t>
            </w:r>
          </w:p>
        </w:tc>
        <w:tc>
          <w:tcPr>
            <w:tcW w:type="dxa" w:w="28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4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3937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393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431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43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5"/>
        </w:trPr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580" w:after="0"/>
              <w:ind w:left="0" w:right="6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8"/>
              </w:rPr>
              <w:t>(ii)</w:t>
            </w:r>
          </w:p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90" w:after="0"/>
              <w:ind w:left="52" w:right="0" w:firstLine="0"/>
              <w:jc w:val="left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Scavenging metal dope</w:t>
            </w:r>
          </w:p>
        </w:tc>
        <w:tc>
          <w:tcPr>
            <w:tcW w:type="dxa" w:w="4287"/>
            <w:gridSpan w:val="3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</w:tr>
      <w:tr>
        <w:trPr>
          <w:trHeight w:hRule="exact" w:val="326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52" w:after="0"/>
              <w:ind w:left="0" w:right="62" w:firstLine="0"/>
              <w:jc w:val="righ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HfO</w:t>
            </w:r>
            <w:r>
              <w:rPr>
                <w:w w:val="104.57799911499023"/>
                <w:rFonts w:ascii="Arial,Bold" w:hAnsi="Arial,Bold" w:eastAsia="Arial,Bold"/>
                <w:b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4" w:after="0"/>
              <w:ind w:left="76" w:right="0" w:firstLine="0"/>
              <w:jc w:val="lef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Al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8" w:after="0"/>
              <w:ind w:left="0" w:right="6" w:firstLine="0"/>
              <w:jc w:val="righ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HfO</w:t>
            </w:r>
            <w:r>
              <w:rPr>
                <w:w w:val="104.57799911499023"/>
                <w:rFonts w:ascii="Arial,Bold" w:hAnsi="Arial,Bold" w:eastAsia="Arial,Bold"/>
                <w:b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94" w:right="0" w:firstLine="0"/>
              <w:jc w:val="lef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La</w:t>
            </w:r>
          </w:p>
        </w:tc>
      </w:tr>
      <w:tr>
        <w:trPr>
          <w:trHeight w:hRule="exact" w:val="430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82" w:after="0"/>
              <w:ind w:left="0" w:right="0" w:firstLine="0"/>
              <w:jc w:val="center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Poly-Si deposition (600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>o</w:t>
            </w: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C)</w:t>
            </w:r>
          </w:p>
        </w:tc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52" w:after="0"/>
              <w:ind w:left="60" w:right="0" w:firstLine="0"/>
              <w:jc w:val="left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P implantation</w:t>
            </w:r>
          </w:p>
        </w:tc>
        <w:tc>
          <w:tcPr>
            <w:tcW w:type="dxa" w:w="4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1166" w:firstLine="0"/>
              <w:jc w:val="right"/>
            </w:pPr>
            <w:r>
              <w:rPr>
                <w:w w:val="101.9643783569336"/>
                <w:rFonts w:ascii="Arial,Bold" w:hAnsi="Arial,Bold" w:eastAsia="Arial,Bold"/>
                <w:b/>
                <w:i w:val="0"/>
                <w:color w:val="000000"/>
                <w:sz w:val="16"/>
              </w:rPr>
              <w:t>La-silicate</w:t>
            </w:r>
          </w:p>
        </w:tc>
      </w:tr>
      <w:tr>
        <w:trPr>
          <w:trHeight w:hRule="exact" w:val="56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2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46" w:after="0"/>
              <w:ind w:left="11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(iii) Al diffusion and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>dipole formation</w:t>
            </w:r>
          </w:p>
        </w:tc>
        <w:tc>
          <w:tcPr>
            <w:tcW w:type="dxa" w:w="2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44" w:after="0"/>
              <w:ind w:left="30" w:right="432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 xml:space="preserve">(iii) La diffusion and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>dipole formation</w:t>
            </w:r>
          </w:p>
        </w:tc>
      </w:tr>
      <w:tr>
        <w:trPr>
          <w:trHeight w:hRule="exact" w:val="274"/>
        </w:trPr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262" w:after="0"/>
              <w:ind w:left="0" w:right="3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8"/>
              </w:rPr>
              <w:t>(iii)</w:t>
            </w:r>
          </w:p>
        </w:tc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2858"/>
            <w:gridSpan w:val="2"/>
            <w:vMerge/>
            <w:tcBorders/>
          </w:tcPr>
          <w:p/>
        </w:tc>
        <w:tc>
          <w:tcPr>
            <w:tcW w:type="dxa" w:w="2858"/>
            <w:gridSpan w:val="2"/>
            <w:vMerge/>
            <w:tcBorders/>
          </w:tcPr>
          <w:p/>
        </w:tc>
      </w:tr>
      <w:tr>
        <w:trPr>
          <w:trHeight w:hRule="exact" w:val="364"/>
        </w:trPr>
        <w:tc>
          <w:tcPr>
            <w:tcW w:type="dxa" w:w="1429"/>
            <w:vMerge/>
            <w:tcBorders/>
          </w:tcPr>
          <w:p/>
        </w:tc>
        <w:tc>
          <w:tcPr>
            <w:tcW w:type="dxa" w:w="1429"/>
            <w:vMerge/>
            <w:tcBorders/>
          </w:tcPr>
          <w:p/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34" w:after="0"/>
              <w:ind w:left="0" w:right="0" w:firstLine="0"/>
              <w:jc w:val="center"/>
            </w:pP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Activation anneal (1000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>o</w:t>
            </w:r>
            <w:r>
              <w:rPr>
                <w:w w:val="101.245639635169"/>
                <w:rFonts w:ascii="Arial,Bold" w:hAnsi="Arial,Bold" w:eastAsia="Arial,Bold"/>
                <w:b/>
                <w:i w:val="0"/>
                <w:color w:val="000000"/>
                <w:sz w:val="23"/>
              </w:rPr>
              <w:t>C)</w:t>
            </w:r>
          </w:p>
        </w:tc>
        <w:tc>
          <w:tcPr>
            <w:tcW w:type="dxa" w:w="2858"/>
            <w:gridSpan w:val="2"/>
            <w:vMerge/>
            <w:tcBorders/>
          </w:tcPr>
          <w:p/>
        </w:tc>
        <w:tc>
          <w:tcPr>
            <w:tcW w:type="dxa" w:w="285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40"/>
          <w:pgMar w:top="454" w:right="900" w:bottom="1168" w:left="994" w:header="720" w:footer="720" w:gutter="0"/>
          <w:cols w:space="720" w:num="1" w:equalWidth="0"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490</w:t>
      </w:r>
    </w:p>
    <w:p>
      <w:pPr>
        <w:autoSpaceDN w:val="0"/>
        <w:autoSpaceDE w:val="0"/>
        <w:widowControl/>
        <w:spacing w:line="276" w:lineRule="auto" w:before="400" w:after="0"/>
        <w:ind w:left="562" w:right="576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8.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EOT-V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plot for MOS capacitors prepared with process flow in Figure 7. The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fb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values were tuned toward a negative (positive) direction using La-(Al-) caps. The EOT values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were controlled by changing the amount of scavenging metal (M) dose in the TiN electrodes. </w:t>
      </w:r>
    </w:p>
    <w:p>
      <w:pPr>
        <w:autoSpaceDN w:val="0"/>
        <w:autoSpaceDE w:val="0"/>
        <w:widowControl/>
        <w:spacing w:line="240" w:lineRule="auto" w:before="240" w:after="0"/>
        <w:ind w:left="0" w:right="27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976880" cy="287147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2871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3" w:lineRule="auto" w:before="314" w:after="0"/>
        <w:ind w:left="0" w:right="0" w:firstLine="28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the case of gate-last process, EWF tuning for nFET and pFET is typically achieved by employing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dual metal gates with appropriate work functions [4,51]. Since gate-last process does not rely 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interface dipole for EWF adjustment, IL scavenging should not play a direct role on EWF setting.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However, it was recently reported that the EWFs of gate-last pFET stacks start to roll-off when EOT 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scaled below 0.8 nm [52,53]. Similar EWF roll-off behaviors were initially reported for gate-first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at a much thicker EOT regime (~3 nm) [54,55], motivating many people to move to gate-last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process to realize low threshold voltage pFETs. We found that the same phenomenon takes place for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gate-last process as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 thickness scales below 0.4 nm [37]. Based on our direct tunneling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current analysis of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dual-layer stacks using the transfer-matrix-approach [46,56], it is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suggested that the band offsets for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and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layers are reduced in the submonolayer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regime, which may be related to the existence of a suboxide transition region at the Si/SiO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interface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(~0.3 nm) [57]. Such degradation in film quality may facilitate oxygen vacancy generation in the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layer [54,58] and/or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 [55], resulting in the unfavorable EWF shift for pFET. Thus, leaving an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ultra-thin and robust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IL after scavenging is indispensable for EWF control of gate-last process as well. </w:t>
      </w:r>
    </w:p>
    <w:p>
      <w:pPr>
        <w:autoSpaceDN w:val="0"/>
        <w:autoSpaceDE w:val="0"/>
        <w:widowControl/>
        <w:spacing w:line="292" w:lineRule="exact" w:before="288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3.4. Implications for Reliability and Carrier Mobility </w:t>
      </w:r>
    </w:p>
    <w:p>
      <w:pPr>
        <w:autoSpaceDN w:val="0"/>
        <w:autoSpaceDE w:val="0"/>
        <w:widowControl/>
        <w:spacing w:line="286" w:lineRule="auto" w:before="302" w:after="0"/>
        <w:ind w:left="0" w:right="2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Other device parameters requiring close attention with aggressive EOT scaling are reliability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carrier mobility. We investigated impacts of remote IL scavenging on reliability using constant voltage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stress (CVS) and voltage ramp stress (VRS) [59,60].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dual-layer stacks with varying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thicknesses were prepared in both gate-first and gate-last processes for this analysis. The change in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device lifetimes, including positive bias temperature instability (PBTI), negative bias temperature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instability (NBTI), and time dependent dielectric breakdown (TDDB), are estimated and summarized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Figure 9 (after [61]). Note that the estimated lifetime trends for IL scaling are similar for gate-first </w:t>
      </w:r>
    </w:p>
    <w:p>
      <w:pPr>
        <w:sectPr>
          <w:pgSz w:w="11900" w:h="16840"/>
          <w:pgMar w:top="454" w:right="900" w:bottom="664" w:left="994" w:header="720" w:footer="720" w:gutter="0"/>
          <w:cols w:space="720" w:num="1" w:equalWidth="0"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491</w:t>
      </w:r>
    </w:p>
    <w:p>
      <w:pPr>
        <w:autoSpaceDN w:val="0"/>
        <w:autoSpaceDE w:val="0"/>
        <w:widowControl/>
        <w:spacing w:line="340" w:lineRule="exact" w:before="326" w:after="0"/>
        <w:ind w:left="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and gate-last processes, indicating that these trends arise from the fundamental materials properties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dual-layer stacks and do not depend much on the fabrication method [61]. As shown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Figure 9, the BTI lifetimes are predicted to decrease by 50–100</w:t>
      </w:r>
      <w:r>
        <w:rPr>
          <w:rFonts w:ascii="Symbol" w:hAnsi="Symbol" w:eastAsia="Symbol"/>
          <w:b w:val="0"/>
          <w:i w:val="0"/>
          <w:color w:val="000000"/>
          <w:sz w:val="24"/>
        </w:rPr>
        <w:t>×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for every 0.1 nm of IL scaling.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Drastic lifetime reductions also occur for TDDB. Therefore, calculated IL scaling, considering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reliability requirements, is needed for future CMOS nodes. </w:t>
      </w:r>
    </w:p>
    <w:p>
      <w:pPr>
        <w:autoSpaceDN w:val="0"/>
        <w:autoSpaceDE w:val="0"/>
        <w:widowControl/>
        <w:spacing w:line="340" w:lineRule="exact" w:before="2" w:after="0"/>
        <w:ind w:left="0" w:right="0" w:firstLine="28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implication of IL scaling for carrier mobility is another important factor for device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performance. Although a great deal of progress has been made across the community, electron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mobility values for HKMG stacks typically fall below the trend for conventional SiO(N)/Poly-Si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stacks. The degradation is attributed to intrinsic properties of high-κ, such as soft optical phonons [62],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fixed charges [63–65], surface roughness [19,64], and interface dipoles [66]. Figure 10 (a) illustrates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impacts of a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/TiN stack on electron mobilities at different effective fields (E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). In the case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of ideal thermal oxide gate dielectrics, the electron mobility is limited by Coulomb scattering from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substrate impurities (low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), phonon scattering from the Si substrate (middle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), and surface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roughness scattering from the Si/SiO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interface (high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[67]. It has been reported by many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researchers that introduction of high-κ dielectrics brings about additional degradation in each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eff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regime. In the low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regime, fixed charges in the high-κ layer or interface dipoles localized at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IL/high-κ interface cause remote Coulomb scattering (RCS) [63–66]. In the middle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regime,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Fischetti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predicted that soft optical phonons in high-κ layers can couple with carrier electrons,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resulting in remote phonon scattering (RPS) [62]. In the high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regime, either the fluctuation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permittivity of high-κ layers or the surface roughness at the IL/high-κ interface can cause remote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surface roughness scattering (r-SRS) [19,64]. All of these additional scattering mechanisms are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predicted to show strong dependences on the IL thickness. Therefore we studied the impacts of remote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 scavenging and La-(Al-) induced IL modification on electron mobility. </w:t>
      </w:r>
    </w:p>
    <w:p>
      <w:pPr>
        <w:autoSpaceDN w:val="0"/>
        <w:autoSpaceDE w:val="0"/>
        <w:widowControl/>
        <w:spacing w:line="278" w:lineRule="auto" w:before="316" w:after="0"/>
        <w:ind w:left="568" w:right="582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9.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Relative change of positive bias temperature instability (PBTI) and negative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bias temperature instability (NBTI) lifetime with gate oxide thickness change via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scavenging; 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Relative change of time dependent dielectric breakdown (TDDB) lifetime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 nFET and pFET with gate oxide thickness change via IL scavenging (after [61]). </w:t>
      </w:r>
    </w:p>
    <w:p>
      <w:pPr>
        <w:autoSpaceDN w:val="0"/>
        <w:autoSpaceDE w:val="0"/>
        <w:widowControl/>
        <w:spacing w:line="240" w:lineRule="auto" w:before="292" w:after="0"/>
        <w:ind w:left="17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83050" cy="2794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79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454" w:right="900" w:bottom="598" w:left="994" w:header="720" w:footer="720" w:gutter="0"/>
          <w:cols w:space="720" w:num="1" w:equalWidth="0"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2514600</wp:posOffset>
            </wp:positionV>
            <wp:extent cx="2108200" cy="18034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80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3606800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3429000</wp:posOffset>
            </wp:positionV>
            <wp:extent cx="254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3429000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3302000</wp:posOffset>
            </wp:positionV>
            <wp:extent cx="50800" cy="1016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3251200</wp:posOffset>
            </wp:positionV>
            <wp:extent cx="254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3251200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3213100</wp:posOffset>
            </wp:positionV>
            <wp:extent cx="1371600" cy="8509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5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3022600</wp:posOffset>
            </wp:positionV>
            <wp:extent cx="76200" cy="3937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93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492</w:t>
      </w:r>
    </w:p>
    <w:p>
      <w:pPr>
        <w:autoSpaceDN w:val="0"/>
        <w:autoSpaceDE w:val="0"/>
        <w:widowControl/>
        <w:spacing w:line="286" w:lineRule="auto" w:before="400" w:after="202"/>
        <w:ind w:left="568" w:right="642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10.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Impacts of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/TiN stack on electron mobilities at different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red curve is obtained from a typical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/TiN stack prepared with gate-first process;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Electron mobility limited by RPS and RCS (</w:t>
      </w:r>
      <w:r>
        <w:rPr>
          <w:rFonts w:ascii="Arial" w:hAnsi="Arial" w:eastAsia="Arial"/>
          <w:b w:val="0"/>
          <w:i w:val="0"/>
          <w:color w:val="000000"/>
          <w:sz w:val="24"/>
        </w:rPr>
        <w:t>μ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RPS + RCS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at 300 K as a function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estimated IL thickness at N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inv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of 3 × 10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−2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(after [34]). The data for remote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and La-(Al-) induced dipoles are included. The simulated dependence from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RPS theory [62] with ion impurity correction is also shown.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5.99999999999994" w:type="dxa"/>
      </w:tblPr>
      <w:tblGrid>
        <w:gridCol w:w="1678"/>
        <w:gridCol w:w="1678"/>
        <w:gridCol w:w="1678"/>
        <w:gridCol w:w="1678"/>
        <w:gridCol w:w="1678"/>
        <w:gridCol w:w="1678"/>
      </w:tblGrid>
      <w:tr>
        <w:trPr>
          <w:trHeight w:hRule="exact" w:val="368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46" w:after="0"/>
              <w:ind w:left="0" w:right="88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Electron Mobility</w:t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4.00000000000006" w:type="dxa"/>
            </w:tblPr>
            <w:tblGrid>
              <w:gridCol w:w="3500"/>
            </w:tblGrid>
            <w:tr>
              <w:trPr>
                <w:trHeight w:hRule="exact" w:val="2856"/>
              </w:trPr>
              <w:tc>
                <w:tcPr>
                  <w:tcW w:type="dxa" w:w="3362"/>
                  <w:tcBorders>
                    <w:start w:sz="10.767999649047852" w:val="single" w:color="#000000"/>
                    <w:top w:sz="10.767999649047852" w:val="single" w:color="#000000"/>
                    <w:end w:sz="10.767999649047852" w:val="single" w:color="#000000"/>
                    <w:bottom w:sz="10.76799964904785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46" w:after="10"/>
                    <w:ind w:left="0" w:right="1386" w:firstLine="0"/>
                    <w:jc w:val="right"/>
                  </w:pPr>
                  <w:r>
                    <w:rPr>
                      <w:w w:val="101.79882049560547"/>
                      <w:rFonts w:ascii="Arial" w:hAnsi="Arial" w:eastAsia="Arial"/>
                      <w:b w:val="0"/>
                      <w:i w:val="0"/>
                      <w:color w:val="000000"/>
                      <w:sz w:val="17"/>
                    </w:rPr>
                    <w:t>Substrate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.999999999999886" w:type="dxa"/>
                  </w:tblPr>
                  <w:tblGrid>
                    <w:gridCol w:w="336"/>
                    <w:gridCol w:w="336"/>
                    <w:gridCol w:w="336"/>
                    <w:gridCol w:w="336"/>
                    <w:gridCol w:w="336"/>
                    <w:gridCol w:w="336"/>
                    <w:gridCol w:w="336"/>
                    <w:gridCol w:w="336"/>
                    <w:gridCol w:w="336"/>
                    <w:gridCol w:w="336"/>
                  </w:tblGrid>
                  <w:tr>
                    <w:trPr>
                      <w:trHeight w:hRule="exact" w:val="244"/>
                    </w:trPr>
                    <w:tc>
                      <w:tcPr>
                        <w:tcW w:type="dxa" w:w="8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50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000000"/>
                            <w:sz w:val="17"/>
                          </w:rPr>
                          <w:t>Substrate</w:t>
                        </w:r>
                      </w:p>
                    </w:tc>
                    <w:tc>
                      <w:tcPr>
                        <w:tcW w:type="dxa" w:w="1800"/>
                        <w:gridSpan w:val="8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8" w:after="0"/>
                          <w:ind w:left="336" w:right="0" w:firstLine="0"/>
                          <w:jc w:val="left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000000"/>
                            <w:sz w:val="17"/>
                          </w:rPr>
                          <w:t>phonon scattering</w:t>
                        </w:r>
                      </w:p>
                    </w:tc>
                    <w:tc>
                      <w:tcPr>
                        <w:tcW w:type="dxa" w:w="6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02" w:lineRule="auto" w:before="354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000000"/>
                            <w:sz w:val="17"/>
                          </w:rPr>
                          <w:t>Si/SiO</w:t>
                        </w:r>
                        <w:r>
                          <w:rPr>
                            <w:rFonts w:ascii="Arial" w:hAnsi="Arial" w:eastAsia="Arial"/>
                            <w:b w:val="0"/>
                            <w:i w:val="0"/>
                            <w:color w:val="000000"/>
                            <w:sz w:val="1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hRule="exact" w:val="100"/>
                    </w:trPr>
                    <w:tc>
                      <w:tcPr>
                        <w:tcW w:type="dxa" w:w="8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000000"/>
                            <w:sz w:val="17"/>
                          </w:rPr>
                          <w:t>Coulomb</w:t>
                        </w:r>
                      </w:p>
                    </w:tc>
                    <w:tc>
                      <w:tcPr>
                        <w:tcW w:type="dxa" w:w="2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20" w:after="0"/>
                          <w:ind w:left="0" w:right="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01600" cy="38100"/>
                              <wp:docPr id="22" name="Picture 22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6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3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20" w:after="0"/>
                          <w:ind w:left="0" w:right="2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14300" cy="101600"/>
                              <wp:docPr id="23" name="Picture 23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3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50800" cy="25400"/>
                              <wp:docPr id="24" name="Picture 2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800" cy="254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9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25400"/>
                              <wp:docPr id="25" name="Picture 25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254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9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01600" cy="25400"/>
                              <wp:docPr id="26" name="Picture 2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600" cy="254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2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65100" cy="139700"/>
                              <wp:docPr id="27" name="Picture 2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00" cy="1397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8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25400"/>
                              <wp:docPr id="28" name="Picture 2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254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74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8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01600" cy="38100"/>
                              <wp:docPr id="29" name="Picture 29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6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406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26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30" name="Picture 30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20"/>
                    </w:trPr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406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6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25400"/>
                              <wp:docPr id="31" name="Picture 3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254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27000" cy="101600"/>
                              <wp:docPr id="32" name="Picture 32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80"/>
                    </w:trPr>
                    <w:tc>
                      <w:tcPr>
                        <w:tcW w:type="dxa" w:w="8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12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000000"/>
                            <w:sz w:val="17"/>
                          </w:rPr>
                          <w:t>scattering</w:t>
                        </w:r>
                      </w:p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60"/>
                    </w:trPr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54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854"/>
                        <w:gridSpan w:val="5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70" w:after="0"/>
                          <w:ind w:left="0" w:right="144" w:firstLine="0"/>
                          <w:jc w:val="right"/>
                        </w:pPr>
                        <w:r>
                          <w:rPr>
                            <w:rFonts w:ascii="Arial" w:hAnsi="Arial" w:eastAsia="Arial"/>
                            <w:b w:val="0"/>
                            <w:i w:val="0"/>
                            <w:color w:val="FF0000"/>
                            <w:sz w:val="22"/>
                          </w:rPr>
                          <w:t>RPS</w:t>
                        </w:r>
                      </w:p>
                    </w:tc>
                    <w:tc>
                      <w:tcPr>
                        <w:tcW w:type="dxa" w:w="406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0"/>
                    </w:trPr>
                    <w:tc>
                      <w:tcPr>
                        <w:tcW w:type="dxa" w:w="336"/>
                        <w:vMerge/>
                        <w:tcBorders/>
                      </w:tcPr>
                      <w:p/>
                    </w:tc>
                    <w:tc>
                      <w:tcPr>
                        <w:tcW w:type="dxa" w:w="54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0" w:right="28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76200" cy="101600"/>
                              <wp:docPr id="33" name="Picture 33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2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680"/>
                        <w:gridSpan w:val="5"/>
                        <w:vMerge/>
                        <w:tcBorders/>
                      </w:tcPr>
                      <w:p/>
                    </w:tc>
                    <w:tc>
                      <w:tcPr>
                        <w:tcW w:type="dxa" w:w="406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0" w:right="2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39700" cy="101600"/>
                              <wp:docPr id="34" name="Picture 3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7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40" w:after="0"/>
                          <w:ind w:left="38" w:right="0" w:firstLine="0"/>
                          <w:jc w:val="left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000000"/>
                            <w:sz w:val="17"/>
                          </w:rPr>
                          <w:t>SRS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33" w:lineRule="auto" w:before="46" w:after="0"/>
                    <w:ind w:left="0" w:right="50" w:firstLine="0"/>
                    <w:jc w:val="righ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FF0000"/>
                      <w:sz w:val="22"/>
                    </w:rPr>
                    <w:t>r-SRS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30" w:after="0"/>
                    <w:ind w:left="612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6200" cy="101600"/>
                        <wp:docPr id="35" name="Picture 3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" cy="1016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20" w:after="20"/>
                    <w:ind w:left="532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38100"/>
                        <wp:docPr id="36" name="Picture 3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.999999999999886" w:type="dxa"/>
                  </w:tblPr>
                  <w:tblGrid>
                    <w:gridCol w:w="1121"/>
                    <w:gridCol w:w="1121"/>
                    <w:gridCol w:w="1121"/>
                  </w:tblGrid>
                  <w:tr>
                    <w:trPr>
                      <w:trHeight w:hRule="exact" w:val="180"/>
                    </w:trPr>
                    <w:tc>
                      <w:tcPr>
                        <w:tcW w:type="dxa" w:w="12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0" w:right="68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76200" cy="101600"/>
                              <wp:docPr id="37" name="Picture 3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2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9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40" w:after="0"/>
                          <w:ind w:left="0" w:right="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66700" cy="88900"/>
                              <wp:docPr id="38" name="Picture 3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6700" cy="889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0" w:right="46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50800" cy="101600"/>
                              <wp:docPr id="39" name="Picture 39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8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100"/>
                    </w:trPr>
                    <w:tc>
                      <w:tcPr>
                        <w:tcW w:type="dxa" w:w="12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12" w:after="0"/>
                          <w:ind w:left="280" w:right="0" w:firstLine="0"/>
                          <w:jc w:val="left"/>
                        </w:pPr>
                        <w:r>
                          <w:rPr>
                            <w:rFonts w:ascii="Arial" w:hAnsi="Arial" w:eastAsia="Arial"/>
                            <w:b w:val="0"/>
                            <w:i w:val="0"/>
                            <w:color w:val="FF0000"/>
                            <w:sz w:val="22"/>
                          </w:rPr>
                          <w:t>RCS</w:t>
                        </w:r>
                      </w:p>
                    </w:tc>
                    <w:tc>
                      <w:tcPr>
                        <w:tcW w:type="dxa" w:w="1121"/>
                        <w:vMerge/>
                        <w:tcBorders/>
                      </w:tcPr>
                      <w:p/>
                    </w:tc>
                    <w:tc>
                      <w:tcPr>
                        <w:tcW w:type="dxa" w:w="1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0" w:right="42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40" name="Picture 40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160"/>
                    </w:trPr>
                    <w:tc>
                      <w:tcPr>
                        <w:tcW w:type="dxa" w:w="1121"/>
                        <w:vMerge/>
                        <w:tcBorders/>
                      </w:tcPr>
                      <w:p/>
                    </w:tc>
                    <w:tc>
                      <w:tcPr>
                        <w:tcW w:type="dxa" w:w="1121"/>
                        <w:vMerge/>
                        <w:tcBorders/>
                      </w:tcPr>
                      <w:p/>
                    </w:tc>
                    <w:tc>
                      <w:tcPr>
                        <w:tcW w:type="dxa" w:w="1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36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50800" cy="101600"/>
                              <wp:docPr id="41" name="Picture 4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800" cy="1016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648"/>
                    </w:trPr>
                    <w:tc>
                      <w:tcPr>
                        <w:tcW w:type="dxa" w:w="12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88" w:lineRule="exact" w:before="256" w:after="0"/>
                          <w:ind w:left="30" w:right="0" w:firstLine="0"/>
                          <w:jc w:val="left"/>
                        </w:pPr>
                        <w:r>
                          <w:rPr>
                            <w:rFonts w:ascii="Arial,Bold" w:hAnsi="Arial,Bold" w:eastAsia="Arial,Bold"/>
                            <w:b/>
                            <w:i w:val="0"/>
                            <w:color w:val="000000"/>
                            <w:sz w:val="28"/>
                          </w:rPr>
                          <w:t>(a)</w:t>
                        </w:r>
                      </w:p>
                    </w:tc>
                    <w:tc>
                      <w:tcPr>
                        <w:tcW w:type="dxa" w:w="1121"/>
                        <w:vMerge/>
                        <w:tcBorders/>
                      </w:tcPr>
                      <w:p/>
                    </w:tc>
                    <w:tc>
                      <w:tcPr>
                        <w:tcW w:type="dxa" w:w="1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02" w:lineRule="auto" w:before="372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FF0000"/>
                            <w:sz w:val="17"/>
                          </w:rPr>
                          <w:t>SiO</w:t>
                        </w:r>
                        <w:r>
                          <w:rPr>
                            <w:rFonts w:ascii="Arial" w:hAnsi="Arial" w:eastAsia="Arial"/>
                            <w:b w:val="0"/>
                            <w:i w:val="0"/>
                            <w:color w:val="FF0000"/>
                            <w:sz w:val="12"/>
                          </w:rPr>
                          <w:t>2</w:t>
                        </w: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FF0000"/>
                            <w:sz w:val="17"/>
                          </w:rPr>
                          <w:t>/HfO</w:t>
                        </w:r>
                        <w:r>
                          <w:rPr>
                            <w:rFonts w:ascii="Arial" w:hAnsi="Arial" w:eastAsia="Arial"/>
                            <w:b w:val="0"/>
                            <w:i w:val="0"/>
                            <w:color w:val="FF0000"/>
                            <w:sz w:val="12"/>
                          </w:rPr>
                          <w:t>2</w:t>
                        </w:r>
                        <w:r>
                          <w:rPr>
                            <w:w w:val="101.79882049560547"/>
                            <w:rFonts w:ascii="Arial" w:hAnsi="Arial" w:eastAsia="Arial"/>
                            <w:b w:val="0"/>
                            <w:i w:val="0"/>
                            <w:color w:val="FF0000"/>
                            <w:sz w:val="17"/>
                          </w:rPr>
                          <w:t>/TiN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40" w:after="0"/>
              <w:ind w:left="0" w:right="1110" w:firstLine="0"/>
              <w:jc w:val="right"/>
            </w:pP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>Mobility (cm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4"/>
              </w:rPr>
              <w:t>2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>/Vs)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0" w:firstLine="0"/>
              <w:jc w:val="center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350</w:t>
            </w:r>
          </w:p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248" w:after="0"/>
              <w:ind w:left="0" w:right="0" w:firstLine="0"/>
              <w:jc w:val="center"/>
            </w:pPr>
            <w:r>
              <w:rPr>
                <w:w w:val="102.67624855041504"/>
                <w:rFonts w:ascii="Symbol" w:hAnsi="Symbol" w:eastAsia="Symbol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RPS+RCS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>@N</w:t>
            </w:r>
            <w:r>
              <w:rPr>
                <w:w w:val="102.84333229064941"/>
                <w:rFonts w:ascii="Arial,Bold" w:hAnsi="Arial,Bold" w:eastAsia="Arial,Bold"/>
                <w:b/>
                <w:i w:val="0"/>
                <w:color w:val="000000"/>
                <w:sz w:val="12"/>
              </w:rPr>
              <w:t>inv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 3x10</w:t>
            </w:r>
            <w:r>
              <w:rPr>
                <w:w w:val="102.84333229064941"/>
                <w:rFonts w:ascii="Arial,Bold" w:hAnsi="Arial,Bold" w:eastAsia="Arial,Bold"/>
                <w:b/>
                <w:i w:val="0"/>
                <w:color w:val="000000"/>
                <w:sz w:val="12"/>
              </w:rPr>
              <w:t>12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>cm</w:t>
            </w:r>
            <w:r>
              <w:rPr>
                <w:w w:val="102.84333229064941"/>
                <w:rFonts w:ascii="Arial,Bold" w:hAnsi="Arial,Bold" w:eastAsia="Arial,Bold"/>
                <w:b/>
                <w:i w:val="0"/>
                <w:color w:val="000000"/>
                <w:sz w:val="12"/>
              </w:rPr>
              <w:t>-2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742" w:after="0"/>
              <w:ind w:left="44" w:right="0" w:firstLine="0"/>
              <w:jc w:val="left"/>
            </w:pPr>
            <w:r>
              <w:rPr>
                <w:w w:val="98.15882514504825"/>
                <w:rFonts w:ascii="Symbol" w:hAnsi="Symbol" w:eastAsia="Symbol"/>
                <w:b w:val="0"/>
                <w:i w:val="0"/>
                <w:color w:val="000000"/>
                <w:sz w:val="17"/>
              </w:rPr>
              <w:t>Δμ</w:t>
            </w:r>
            <w:r>
              <w:rPr>
                <w:w w:val="98.11333020528158"/>
                <w:rFonts w:ascii="Arial,Bold" w:hAnsi="Arial,Bold" w:eastAsia="Arial,Bold"/>
                <w:b/>
                <w:i w:val="0"/>
                <w:color w:val="000000"/>
                <w:sz w:val="12"/>
              </w:rPr>
              <w:t>RCS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>(HfO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2"/>
              </w:rPr>
              <w:t>2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00"/>
                <w:sz w:val="18"/>
              </w:rPr>
              <w:t>)</w:t>
            </w:r>
          </w:p>
        </w:tc>
      </w:tr>
      <w:tr>
        <w:trPr>
          <w:trHeight w:hRule="exact" w:val="220"/>
        </w:trPr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0" w:after="0"/>
              <w:ind w:left="0" w:right="0" w:firstLine="0"/>
              <w:jc w:val="center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300</w:t>
            </w:r>
          </w:p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" w:after="0"/>
              <w:ind w:left="10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FF"/>
                <w:sz w:val="17"/>
              </w:rPr>
              <w:t>RPS theory [62]</w:t>
            </w:r>
          </w:p>
        </w:tc>
        <w:tc>
          <w:tcPr>
            <w:tcW w:type="dxa" w:w="1678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90" w:after="0"/>
              <w:ind w:left="0" w:right="0" w:firstLine="0"/>
              <w:jc w:val="center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250</w:t>
            </w:r>
          </w:p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2" w:lineRule="exact" w:before="0" w:after="0"/>
              <w:ind w:left="0" w:right="0" w:firstLine="0"/>
              <w:jc w:val="center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200 </w:t>
            </w: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150</w:t>
            </w:r>
          </w:p>
        </w:tc>
        <w:tc>
          <w:tcPr>
            <w:tcW w:type="dxa" w:w="3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22" w:after="0"/>
              <w:ind w:left="0" w:right="920" w:firstLine="0"/>
              <w:jc w:val="right"/>
            </w:pPr>
            <w:r>
              <w:rPr>
                <w:w w:val="98.15882514504825"/>
                <w:rFonts w:ascii="Symbol" w:hAnsi="Symbol" w:eastAsia="Symbol"/>
                <w:b w:val="0"/>
                <w:i w:val="0"/>
                <w:color w:val="FF0000"/>
                <w:sz w:val="17"/>
              </w:rPr>
              <w:t>Δμ</w:t>
            </w:r>
            <w:r>
              <w:rPr>
                <w:w w:val="98.11333020528158"/>
                <w:rFonts w:ascii="Arial,Bold" w:hAnsi="Arial,Bold" w:eastAsia="Arial,Bold"/>
                <w:b/>
                <w:i w:val="0"/>
                <w:color w:val="FF0000"/>
                <w:sz w:val="12"/>
              </w:rPr>
              <w:t>RCS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FF0000"/>
                <w:sz w:val="18"/>
              </w:rPr>
              <w:t>(Al)</w:t>
            </w:r>
          </w:p>
        </w:tc>
      </w:tr>
      <w:tr>
        <w:trPr>
          <w:trHeight w:hRule="exact" w:val="1220"/>
        </w:trPr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1678"/>
            <w:vMerge/>
            <w:tcBorders/>
          </w:tcPr>
          <w:p/>
        </w:tc>
        <w:tc>
          <w:tcPr>
            <w:tcW w:type="dxa" w:w="43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6" w:val="left"/>
              </w:tabs>
              <w:autoSpaceDE w:val="0"/>
              <w:widowControl/>
              <w:spacing w:line="290" w:lineRule="exact" w:before="36" w:after="0"/>
              <w:ind w:left="96" w:right="0" w:firstLine="0"/>
              <w:jc w:val="left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100</w:t>
            </w:r>
            <w:r>
              <w:tab/>
            </w:r>
            <w:r>
              <w:rPr>
                <w:w w:val="98.46235163071576"/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 Ref. SiO</w:t>
            </w:r>
            <w:r>
              <w:rPr>
                <w:w w:val="98.11333020528158"/>
                <w:rFonts w:ascii="Arial,Bold" w:hAnsi="Arial,Bold" w:eastAsia="Arial,Bold"/>
                <w:b/>
                <w:i w:val="0"/>
                <w:color w:val="000000"/>
                <w:sz w:val="12"/>
              </w:rPr>
              <w:t>2</w:t>
            </w:r>
            <w:r>
              <w:rPr>
                <w:w w:val="98.46235163071576"/>
                <w:rFonts w:ascii="Arial,Bold" w:hAnsi="Arial,Bold" w:eastAsia="Arial,Bold"/>
                <w:b/>
                <w:i w:val="0"/>
                <w:color w:val="000000"/>
                <w:sz w:val="17"/>
              </w:rPr>
              <w:t>/HfO</w:t>
            </w:r>
            <w:r>
              <w:rPr>
                <w:w w:val="98.11333020528158"/>
                <w:rFonts w:ascii="Arial,Bold" w:hAnsi="Arial,Bold" w:eastAsia="Arial,Bold"/>
                <w:b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866" w:firstLine="0"/>
              <w:jc w:val="right"/>
            </w:pPr>
            <w:r>
              <w:rPr>
                <w:w w:val="98.46235163071576"/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 IL scavenging</w:t>
            </w:r>
          </w:p>
          <w:p>
            <w:pPr>
              <w:autoSpaceDN w:val="0"/>
              <w:tabs>
                <w:tab w:pos="626" w:val="left"/>
                <w:tab w:pos="2406" w:val="left"/>
              </w:tabs>
              <w:autoSpaceDE w:val="0"/>
              <w:widowControl/>
              <w:spacing w:line="254" w:lineRule="exact" w:before="0" w:after="0"/>
              <w:ind w:left="194" w:right="0" w:firstLine="0"/>
              <w:jc w:val="left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50 </w:t>
            </w:r>
            <w:r>
              <w:tab/>
            </w:r>
            <w:r>
              <w:rPr>
                <w:w w:val="98.15882514504825"/>
                <w:rFonts w:ascii="Symbol" w:hAnsi="Symbol" w:eastAsia="Symbol"/>
                <w:b w:val="0"/>
                <w:i w:val="0"/>
                <w:color w:val="0000FF"/>
                <w:sz w:val="17"/>
              </w:rPr>
              <w:t>Δμ</w:t>
            </w:r>
            <w:r>
              <w:rPr>
                <w:w w:val="98.11333020528158"/>
                <w:rFonts w:ascii="Arial,Bold" w:hAnsi="Arial,Bold" w:eastAsia="Arial,Bold"/>
                <w:b/>
                <w:i w:val="0"/>
                <w:color w:val="0000FF"/>
                <w:sz w:val="12"/>
              </w:rPr>
              <w:t>RCS</w:t>
            </w:r>
            <w:r>
              <w:rPr>
                <w:w w:val="101.6611099243164"/>
                <w:rFonts w:ascii="Arial,Bold" w:hAnsi="Arial,Bold" w:eastAsia="Arial,Bold"/>
                <w:b/>
                <w:i w:val="0"/>
                <w:color w:val="0000FF"/>
                <w:sz w:val="18"/>
              </w:rPr>
              <w:t>(La) ~ 0</w:t>
            </w:r>
            <w:r>
              <w:tab/>
            </w:r>
            <w:r>
              <w:rPr>
                <w:w w:val="98.46235163071576"/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 Ref. + La-dipole</w:t>
            </w:r>
          </w:p>
          <w:p>
            <w:pPr>
              <w:autoSpaceDN w:val="0"/>
              <w:tabs>
                <w:tab w:pos="546" w:val="left"/>
                <w:tab w:pos="2406" w:val="left"/>
              </w:tabs>
              <w:autoSpaceDE w:val="0"/>
              <w:widowControl/>
              <w:spacing w:line="254" w:lineRule="exact" w:before="0" w:after="0"/>
              <w:ind w:left="294" w:right="0" w:firstLine="0"/>
              <w:jc w:val="left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 </w:t>
            </w:r>
            <w:r>
              <w:tab/>
            </w:r>
            <w:r>
              <w:rPr>
                <w:w w:val="101.39925921404804"/>
                <w:rFonts w:ascii="Arial,Bold" w:hAnsi="Arial,Bold" w:eastAsia="Arial,Bold"/>
                <w:b/>
                <w:i w:val="0"/>
                <w:color w:val="000000"/>
                <w:sz w:val="27"/>
              </w:rPr>
              <w:t>(b)</w:t>
            </w:r>
            <w:r>
              <w:tab/>
            </w:r>
            <w:r>
              <w:rPr>
                <w:w w:val="98.46235163071576"/>
                <w:rFonts w:ascii="Arial,Bold" w:hAnsi="Arial,Bold" w:eastAsia="Arial,Bold"/>
                <w:b/>
                <w:i w:val="0"/>
                <w:color w:val="000000"/>
                <w:sz w:val="17"/>
              </w:rPr>
              <w:t xml:space="preserve"> Ref. + Al-dipole</w:t>
            </w:r>
          </w:p>
          <w:p>
            <w:pPr>
              <w:autoSpaceDN w:val="0"/>
              <w:tabs>
                <w:tab w:pos="1160" w:val="left"/>
                <w:tab w:pos="1980" w:val="left"/>
                <w:tab w:pos="2798" w:val="left"/>
                <w:tab w:pos="3616" w:val="left"/>
              </w:tabs>
              <w:autoSpaceDE w:val="0"/>
              <w:widowControl/>
              <w:spacing w:line="254" w:lineRule="exact" w:before="0" w:after="0"/>
              <w:ind w:left="340" w:right="0" w:firstLine="0"/>
              <w:jc w:val="left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0.0 </w:t>
            </w:r>
            <w:r>
              <w:tab/>
            </w: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0.2 </w:t>
            </w:r>
            <w:r>
              <w:tab/>
            </w: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0.4 </w:t>
            </w:r>
            <w:r>
              <w:tab/>
            </w: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0.6 </w:t>
            </w:r>
            <w:r>
              <w:tab/>
            </w: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0.8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894" w:right="0" w:firstLine="0"/>
              <w:jc w:val="left"/>
            </w:pPr>
            <w:r>
              <w:rPr>
                <w:w w:val="102.44777467515733"/>
                <w:rFonts w:ascii="Arial,Bold" w:hAnsi="Arial,Bold" w:eastAsia="Arial,Bold"/>
                <w:b/>
                <w:i w:val="0"/>
                <w:color w:val="000000"/>
                <w:sz w:val="18"/>
              </w:rPr>
              <w:t>Estimated IL Thickness (nm)</w:t>
            </w:r>
          </w:p>
        </w:tc>
      </w:tr>
      <w:tr>
        <w:trPr>
          <w:trHeight w:hRule="exact" w:val="384"/>
        </w:trPr>
        <w:tc>
          <w:tcPr>
            <w:tcW w:type="dxa" w:w="1678"/>
            <w:vMerge/>
            <w:tcBorders/>
          </w:tcPr>
          <w:p/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52" w:after="0"/>
              <w:ind w:left="0" w:right="106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Effective Field</w:t>
            </w:r>
          </w:p>
        </w:tc>
        <w:tc>
          <w:tcPr>
            <w:tcW w:type="dxa" w:w="1678"/>
            <w:vMerge/>
            <w:tcBorders/>
          </w:tcPr>
          <w:p/>
        </w:tc>
        <w:tc>
          <w:tcPr>
            <w:tcW w:type="dxa" w:w="5034"/>
            <w:gridSpan w:val="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40" w:lineRule="exact" w:before="246" w:after="0"/>
        <w:ind w:left="0" w:right="0" w:firstLine="28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We performed low temperature mobility measurements and decoupled the SRS component from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RPS and RCS components [19,34]. The RPS- and RCS-limited mobility (</w:t>
      </w:r>
      <w:r>
        <w:rPr>
          <w:rFonts w:ascii="Arial" w:hAnsi="Arial" w:eastAsia="Arial"/>
          <w:b w:val="0"/>
          <w:i w:val="0"/>
          <w:color w:val="000000"/>
          <w:sz w:val="24"/>
        </w:rPr>
        <w:t>μ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RPS+RCS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at inversion carrier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density (N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inv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3 </w:t>
      </w:r>
      <w:r>
        <w:rPr>
          <w:rFonts w:ascii="Symbol" w:hAnsi="Symbol" w:eastAsia="Symbol"/>
          <w:b w:val="0"/>
          <w:i w:val="0"/>
          <w:color w:val="000000"/>
          <w:sz w:val="24"/>
        </w:rPr>
        <w:t>×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10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−2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as a function of estimated IL thickness is shown in Figure 10(b)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(after [34]). Simulated IL dependence from the RPS theory [62] is shown in blue line.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experimental data for remote IL scavenging delineate a straight tradeoff line, which is slightly steeper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and shifted downwards from the prediction based on the RPS theory. The deviation is attributable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the additional RCS from the fixed charges [65] and/or interface dipoles [66] at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interface.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It is interesting to note that the trend line for the La-induced dipole is identical to that of the intrinsic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 scaling, indicating no additional RCS. In contrast, the Al-induced dipole brought about additional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RCS at a fixed IL thickness. This difference may originate from the silicate forming nature of La [68],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resulting in long-range and low density electric dipoles [27]. Thus, La-silicate IL is a promising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scaling knob (see Section 2) with no additional mobility degradation, although it is only suitable for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nFET due to the EWF shift toward the Si CBM (see Table 1). </w:t>
      </w:r>
    </w:p>
    <w:p>
      <w:pPr>
        <w:autoSpaceDN w:val="0"/>
        <w:autoSpaceDE w:val="0"/>
        <w:widowControl/>
        <w:spacing w:line="338" w:lineRule="exact" w:before="14" w:after="0"/>
        <w:ind w:left="0" w:right="8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On the other hand, the mobility degradation in the high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regime is solely limited by SRS [19,34].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Li and Ma predicted that roughness at the remote interface from the channel can degrade the carrier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mobility depending on the oxide thickness (T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) and the average deviation of T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(</w:t>
      </w:r>
      <w:r>
        <w:rPr>
          <w:rFonts w:ascii="Symbol" w:hAnsi="Symbol" w:eastAsia="Symbol"/>
          <w:b w:val="0"/>
          <w:i w:val="0"/>
          <w:color w:val="000000"/>
          <w:sz w:val="24"/>
        </w:rPr>
        <w:t>Δ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) [69]. We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speculate that r-SRS from the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interface is the origin of the mobility degradation, resulting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 strong IL-thickness dependence of high field electron mobility. Figure 11 shows high field electron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mobility as a function of EOT from literature data including remote IL scavenging [19,36], direct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scavenging using Hf [32], La-silicate IL with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[19,33], and single-layer La-silicate [20]. It should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be noted that all data fall on the same line with a slope of approximately 20 cm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/Vs per 0.1 nm scaling,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showing the universality of our IL thickness dependent mobility model in the ultra-thin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regime [19,34]. Moreover, negligible impact of La-induced dipoles on mobility is evidenced by the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convergence of the IL scavenging trend and the La-silicate trend. </w:t>
      </w:r>
    </w:p>
    <w:p>
      <w:pPr>
        <w:sectPr>
          <w:pgSz w:w="11900" w:h="16840"/>
          <w:pgMar w:top="454" w:right="840" w:bottom="556" w:left="994" w:header="720" w:footer="720" w:gutter="0"/>
          <w:cols w:space="720" w:num="1" w:equalWidth="0"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493</w:t>
      </w:r>
    </w:p>
    <w:p>
      <w:pPr>
        <w:autoSpaceDN w:val="0"/>
        <w:autoSpaceDE w:val="0"/>
        <w:widowControl/>
        <w:spacing w:line="286" w:lineRule="auto" w:before="400" w:after="148"/>
        <w:ind w:left="568" w:right="582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Figure 11.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 field electron mobility as a function of EOT from literature data including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remote IL scavenging [19,36], direct IL scavenging using Hf [32], La-silicate IL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[19,33], and single-layer La-silicate [20]. The mobility values are taken at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N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inv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= 1 × 10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−2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 [36] and at 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eff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= 1 MV/cm in all other work. Simulated contour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lines providing the same I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on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at L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min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16, 22, and 30 nm are shown for comparison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(after [75]).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6.0" w:type="dxa"/>
      </w:tblPr>
      <w:tblGrid>
        <w:gridCol w:w="1251"/>
        <w:gridCol w:w="1251"/>
        <w:gridCol w:w="1251"/>
        <w:gridCol w:w="1251"/>
        <w:gridCol w:w="1251"/>
        <w:gridCol w:w="1251"/>
        <w:gridCol w:w="1251"/>
        <w:gridCol w:w="1251"/>
      </w:tblGrid>
      <w:tr>
        <w:trPr>
          <w:trHeight w:hRule="exact" w:val="502"/>
        </w:trPr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350" w:lineRule="exact" w:before="130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High Field Electron Mobility </w:t>
            </w:r>
            <w:r>
              <w:rPr>
                <w:w w:val="101.58399963378906"/>
                <w:rFonts w:ascii="Arial,Bold" w:hAnsi="Arial,Bold" w:eastAsia="Arial,Bold"/>
                <w:b/>
                <w:i w:val="0"/>
                <w:color w:val="000000"/>
                <w:sz w:val="25"/>
              </w:rPr>
              <w:t>(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cm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4"/>
              </w:rPr>
              <w:t>2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/Vs</w:t>
            </w:r>
            <w:r>
              <w:rPr>
                <w:w w:val="101.58399963378906"/>
                <w:rFonts w:ascii="Arial,Bold" w:hAnsi="Arial,Bold" w:eastAsia="Arial,Bold"/>
                <w:b/>
                <w:i w:val="0"/>
                <w:color w:val="000000"/>
                <w:sz w:val="25"/>
              </w:rPr>
              <w:t>)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0" w:after="0"/>
              <w:ind w:left="0" w:right="26" w:firstLine="0"/>
              <w:jc w:val="right"/>
            </w:pPr>
            <w:r>
              <w:rPr>
                <w:w w:val="98.30599784851074"/>
                <w:rFonts w:ascii="Arial,Bold" w:hAnsi="Arial,Bold" w:eastAsia="Arial,Bold"/>
                <w:b/>
                <w:i w:val="0"/>
                <w:color w:val="000000"/>
                <w:sz w:val="20"/>
              </w:rPr>
              <w:t>300</w:t>
            </w:r>
          </w:p>
        </w:tc>
        <w:tc>
          <w:tcPr>
            <w:tcW w:type="dxa" w:w="5120"/>
            <w:gridSpan w:val="6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427"/>
              <w:gridCol w:w="427"/>
              <w:gridCol w:w="427"/>
              <w:gridCol w:w="427"/>
              <w:gridCol w:w="427"/>
              <w:gridCol w:w="427"/>
              <w:gridCol w:w="427"/>
              <w:gridCol w:w="427"/>
              <w:gridCol w:w="427"/>
              <w:gridCol w:w="427"/>
              <w:gridCol w:w="427"/>
              <w:gridCol w:w="427"/>
            </w:tblGrid>
            <w:tr>
              <w:trPr>
                <w:trHeight w:hRule="exact" w:val="294"/>
              </w:trPr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  <w:tc>
                <w:tcPr>
                  <w:tcW w:type="dxa" w:w="427"/>
                  <w:tcBorders>
                    <w:start w:sz="9.520000457763672" w:val="single" w:color="#000000"/>
                    <w:top w:sz="9.520000457763672" w:val="single" w:color="#000000"/>
                    <w:end w:sz="9.520000457763672" w:val="single" w:color="#000000"/>
                    <w:bottom w:sz="9.520000457763672" w:val="single" w:color="#000000"/>
                  </w:tcBorders>
                </w:tcPr>
                <w:p/>
              </w:tc>
            </w:tr>
          </w:tbl>
          <w:p/>
        </w:tc>
      </w:tr>
      <w:tr>
        <w:tc>
          <w:tcPr>
            <w:tcW w:type="dxa" w:w="1251"/>
            <w:vMerge/>
            <w:tcBorders/>
          </w:tcPr>
          <w:p/>
        </w:tc>
        <w:tc>
          <w:tcPr>
            <w:tcW w:type="dxa" w:w="1251"/>
          </w:tcPr>
          <w:p/>
        </w:tc>
        <w:tc>
          <w:tcPr>
            <w:tcW w:type="dxa" w:w="7506"/>
            <w:gridSpan w:val="6"/>
            <w:vMerge/>
            <w:tcBorders/>
          </w:tcPr>
          <w:p/>
        </w:tc>
      </w:tr>
      <w:tr>
        <w:tc>
          <w:tcPr>
            <w:tcW w:type="dxa" w:w="1251"/>
            <w:vMerge/>
            <w:tcBorders/>
          </w:tcPr>
          <w:p/>
        </w:tc>
        <w:tc>
          <w:tcPr>
            <w:tcW w:type="dxa" w:w="1251"/>
          </w:tcPr>
          <w:p/>
        </w:tc>
        <w:tc>
          <w:tcPr>
            <w:tcW w:type="dxa" w:w="7506"/>
            <w:gridSpan w:val="6"/>
            <w:vMerge/>
            <w:tcBorders/>
          </w:tcPr>
          <w:p/>
        </w:tc>
      </w:tr>
      <w:tr>
        <w:tc>
          <w:tcPr>
            <w:tcW w:type="dxa" w:w="1251"/>
            <w:vMerge/>
            <w:tcBorders/>
          </w:tcPr>
          <w:p/>
        </w:tc>
        <w:tc>
          <w:tcPr>
            <w:tcW w:type="dxa" w:w="1251"/>
          </w:tcPr>
          <w:p/>
        </w:tc>
        <w:tc>
          <w:tcPr>
            <w:tcW w:type="dxa" w:w="7506"/>
            <w:gridSpan w:val="6"/>
            <w:vMerge/>
            <w:tcBorders/>
          </w:tcPr>
          <w:p/>
        </w:tc>
      </w:tr>
      <w:tr>
        <w:tc>
          <w:tcPr>
            <w:tcW w:type="dxa" w:w="1251"/>
            <w:vMerge/>
            <w:tcBorders/>
          </w:tcPr>
          <w:p/>
        </w:tc>
        <w:tc>
          <w:tcPr>
            <w:tcW w:type="dxa" w:w="1251"/>
          </w:tcPr>
          <w:p/>
        </w:tc>
        <w:tc>
          <w:tcPr>
            <w:tcW w:type="dxa" w:w="7506"/>
            <w:gridSpan w:val="6"/>
            <w:vMerge/>
            <w:tcBorders/>
          </w:tcPr>
          <w:p/>
        </w:tc>
      </w:tr>
      <w:tr>
        <w:tc>
          <w:tcPr>
            <w:tcW w:type="dxa" w:w="1251"/>
            <w:vMerge/>
            <w:tcBorders/>
          </w:tcPr>
          <w:p/>
        </w:tc>
        <w:tc>
          <w:tcPr>
            <w:tcW w:type="dxa" w:w="1251"/>
          </w:tcPr>
          <w:p/>
        </w:tc>
        <w:tc>
          <w:tcPr>
            <w:tcW w:type="dxa" w:w="7506"/>
            <w:gridSpan w:val="6"/>
            <w:vMerge/>
            <w:tcBorders/>
          </w:tcPr>
          <w:p/>
        </w:tc>
      </w:tr>
      <w:tr>
        <w:tc>
          <w:tcPr>
            <w:tcW w:type="dxa" w:w="1251"/>
            <w:vMerge/>
            <w:tcBorders/>
          </w:tcPr>
          <w:p/>
        </w:tc>
        <w:tc>
          <w:tcPr>
            <w:tcW w:type="dxa" w:w="1251"/>
          </w:tcPr>
          <w:p/>
        </w:tc>
        <w:tc>
          <w:tcPr>
            <w:tcW w:type="dxa" w:w="1251"/>
          </w:tcPr>
          <w:p/>
        </w:tc>
        <w:tc>
          <w:tcPr>
            <w:tcW w:type="dxa" w:w="1251"/>
          </w:tcPr>
          <w:p/>
        </w:tc>
        <w:tc>
          <w:tcPr>
            <w:tcW w:type="dxa" w:w="1251"/>
          </w:tcPr>
          <w:p/>
        </w:tc>
        <w:tc>
          <w:tcPr>
            <w:tcW w:type="dxa" w:w="1251"/>
          </w:tcPr>
          <w:p/>
        </w:tc>
        <w:tc>
          <w:tcPr>
            <w:tcW w:type="dxa" w:w="1251"/>
          </w:tcPr>
          <w:p/>
        </w:tc>
        <w:tc>
          <w:tcPr>
            <w:tcW w:type="dxa" w:w="1251"/>
          </w:tcPr>
          <w:p/>
        </w:tc>
      </w:tr>
    </w:tbl>
    <w:p>
      <w:pPr>
        <w:sectPr>
          <w:pgSz w:w="11900" w:h="16840"/>
          <w:pgMar w:top="454" w:right="900" w:bottom="606" w:left="994" w:header="720" w:footer="720" w:gutter="0"/>
          <w:cols w:space="720" w:num="1" w:equalWidth="0"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494</w:t>
      </w:r>
    </w:p>
    <w:p>
      <w:pPr>
        <w:autoSpaceDN w:val="0"/>
        <w:autoSpaceDE w:val="0"/>
        <w:widowControl/>
        <w:spacing w:line="283" w:lineRule="auto" w:before="400" w:after="0"/>
        <w:ind w:left="0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indicates that it is indeed possible to improve the short-channel device performance by employing IL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scaling in conjunction with aggressive L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scaling in future nodes albeit with some electron mobility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degradation. The key to realize performance improvement going in this direction is to follow the ideal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IL scaling trend by optimizing the IL scavenging process and/or by employing a silicate IL which does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not cause additional carrier scattering (e.g., La-silicate). </w:t>
      </w:r>
    </w:p>
    <w:p>
      <w:pPr>
        <w:autoSpaceDN w:val="0"/>
        <w:autoSpaceDE w:val="0"/>
        <w:widowControl/>
        <w:spacing w:line="288" w:lineRule="auto" w:before="76" w:after="0"/>
        <w:ind w:left="0" w:right="22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Although, IL scaling can provide performance improvement, extreme IL scaling (e.g., zero-IL) ends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up with loss of EWF control both in gate-first and gate-last processes (see Section 3.3) and with severe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penalty in reliability (see Section 3.4). Therefore, a highly controllable IL scavenging technique which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can adjust the IL thickness to the optimum point where both performance and reliability requirements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are satisfied is required. Such IL thickness control has been demonstrated for remote IL scavenging by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changing the scavenging metal dose in the TiN electrodes [19,34,37] or by adjusting the TiN thickness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with the in-situ Si cap [35,36]. These are encouraging techniques to extend Hf-based high-κ dielectrics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toward the end of the CMOS roadmap. </w:t>
      </w:r>
    </w:p>
    <w:p>
      <w:pPr>
        <w:autoSpaceDN w:val="0"/>
        <w:autoSpaceDE w:val="0"/>
        <w:widowControl/>
        <w:spacing w:line="230" w:lineRule="auto" w:before="316" w:after="0"/>
        <w:ind w:left="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4. Conclusions </w:t>
      </w:r>
    </w:p>
    <w:p>
      <w:pPr>
        <w:autoSpaceDN w:val="0"/>
        <w:autoSpaceDE w:val="0"/>
        <w:widowControl/>
        <w:spacing w:line="290" w:lineRule="auto" w:before="314" w:after="0"/>
        <w:ind w:left="0" w:right="2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EOT scaling into the sub-nm regime has been accomplished by various approaches. La-based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higher-κ materials and La-silicate IL with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showed aggressive EOT values (0.5–0.8 nm), but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large EWF shifts toward the Si CBM, limiting their application to nFET. Further exploration for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pFET-compatible higher-κ materials is needed. Meanwhile, IL scavenging is a promising approach to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extend Hf-based high-κ dielectrics to future nodes. Remote-scavenging techniques enable EOT scaling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below 0.5 nm. The key considerations for IL scavenging are (1) IL growth condition; (2) Choice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scavenging element; (3) Location of scavenging element; (4) Choice of high-κ material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(5) Maximum process temperature. Careful materials and process choice based on these considerations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is indispensable. Mobility-EOT trends in the literature suggest that short-channel performance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improvement is attainable with aggressive EOT scaling via IL scavenging or La-silicate formation.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However, extreme IL scaling is accompanied with loss of EWF control and with severe penalty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reliability. Therefore, highly precise IL thickness control in an ultra-thin IL regime (&lt;0.5 nm) will be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key technology to satisfy both performance and reliability requirements for future CMOS devices. </w:t>
      </w:r>
    </w:p>
    <w:p>
      <w:pPr>
        <w:autoSpaceDN w:val="0"/>
        <w:autoSpaceDE w:val="0"/>
        <w:widowControl/>
        <w:spacing w:line="230" w:lineRule="auto" w:before="316" w:after="0"/>
        <w:ind w:left="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Acknowledgments </w:t>
      </w:r>
    </w:p>
    <w:p>
      <w:pPr>
        <w:autoSpaceDN w:val="0"/>
        <w:autoSpaceDE w:val="0"/>
        <w:widowControl/>
        <w:spacing w:line="278" w:lineRule="auto" w:before="310" w:after="0"/>
        <w:ind w:left="0" w:right="22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author acknowledges useful discussions with M.M. Frank, E.A. Cartier, C. Choi (now at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Hanyang University), J. Rozen, N.D. Sathaye, K.V.R.M. Murali and V. Narayanan of IBM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K. Choi and A. Kerber of GLOBALFOUNDRIES. This work was performed by the Research Alliance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Teams at various IBM Research and Development facilities. </w:t>
      </w:r>
    </w:p>
    <w:p>
      <w:pPr>
        <w:autoSpaceDN w:val="0"/>
        <w:autoSpaceDE w:val="0"/>
        <w:widowControl/>
        <w:spacing w:line="230" w:lineRule="auto" w:before="318" w:after="0"/>
        <w:ind w:left="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 xml:space="preserve">References </w:t>
      </w:r>
    </w:p>
    <w:p>
      <w:pPr>
        <w:autoSpaceDN w:val="0"/>
        <w:tabs>
          <w:tab w:pos="460" w:val="left"/>
        </w:tabs>
        <w:autoSpaceDE w:val="0"/>
        <w:widowControl/>
        <w:spacing w:line="348" w:lineRule="exact" w:before="228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Dennard, R.H.; Gaensslen, F.H.; Yu, H.-N.; Rideout, V.L.; Bassou, E.; LeBlanc, A.R. Design of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ion-implanted MOSFET’s with very small physical dimensions.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IEEE J. Solid-State Circuits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1974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256–268. </w:t>
      </w:r>
    </w:p>
    <w:p>
      <w:pPr>
        <w:sectPr>
          <w:pgSz w:w="11900" w:h="16840"/>
          <w:pgMar w:top="454" w:right="898" w:bottom="808" w:left="994" w:header="720" w:footer="720" w:gutter="0"/>
          <w:cols w:space="720" w:num="1" w:equalWidth="0">
            <w:col w:w="10008" w:space="0"/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495</w:t>
      </w:r>
    </w:p>
    <w:p>
      <w:pPr>
        <w:autoSpaceDN w:val="0"/>
        <w:tabs>
          <w:tab w:pos="460" w:val="left"/>
        </w:tabs>
        <w:autoSpaceDE w:val="0"/>
        <w:widowControl/>
        <w:spacing w:line="368" w:lineRule="exact" w:before="28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Buchanan, D.A. Scaling the gate dielectric: Materials, integration, and reliability.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IBM J. Res.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Develop.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1999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245–264.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Wilk, G.D.; Wallace, R.M.; Anthony, J.M. High-κ gate dielectrics: Current status and materials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properties considerations.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J. Appl. Phys.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89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5243–5275. </w:t>
      </w:r>
    </w:p>
    <w:p>
      <w:pPr>
        <w:autoSpaceDN w:val="0"/>
        <w:tabs>
          <w:tab w:pos="460" w:val="left"/>
        </w:tabs>
        <w:autoSpaceDE w:val="0"/>
        <w:widowControl/>
        <w:spacing w:line="336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Mistry, K.; Allen, C.; Auth, C.; Beattie, B.; Bergstrom, D.; Bost, M.; Buehler, M.; Cappelani, A.;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Chau, R.; Choi, C.H.;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 45 nm logic technology with High-κ + metal gate transistors,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strained silicon, 9 Cu interconnect layers, 193 nm dry patterning, and 100% Pb-free packaging. </w:t>
      </w:r>
    </w:p>
    <w:p>
      <w:pPr>
        <w:autoSpaceDN w:val="0"/>
        <w:autoSpaceDE w:val="0"/>
        <w:widowControl/>
        <w:spacing w:line="328" w:lineRule="exact" w:before="26" w:after="0"/>
        <w:ind w:left="4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10–12 December 2007; pp. 247–250. </w:t>
      </w:r>
    </w:p>
    <w:p>
      <w:pPr>
        <w:autoSpaceDN w:val="0"/>
        <w:tabs>
          <w:tab w:pos="460" w:val="left"/>
        </w:tabs>
        <w:autoSpaceDE w:val="0"/>
        <w:widowControl/>
        <w:spacing w:line="344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Greene, B.; Liang, Q.; Amarnath, K.; Wang, Y.; Schaeffer, J.; Cai, M.; Liang, Y.; Saroop, S.;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Cheng, J.; Rotondaro, A.;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High performance 32 nm SOI CMOS with high-κ/metal gate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0.149 μm² SRAM and ultra low-κ back end with eleven levels of copper.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VLSI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Kyoto, Japan, 15–18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2009; pp. 140–141. </w:t>
      </w:r>
    </w:p>
    <w:p>
      <w:pPr>
        <w:autoSpaceDN w:val="0"/>
        <w:tabs>
          <w:tab w:pos="460" w:val="left"/>
        </w:tabs>
        <w:autoSpaceDE w:val="0"/>
        <w:widowControl/>
        <w:spacing w:line="336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Kirsch, P.D.; Quevedo-Lopez, M.A.; Krishnan, S.A.; Lee, B.H.; Pant, G.; Kim, M.J.;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Wallace, R.M.; Gnade, B.E. Mobility and charge trapping comparison for crystalline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amorphous HfON and HfSiON gate dielectrics.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89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242909:1–242909:3.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Ando, T.; Hirano, T.; Tai, K.; Yamaguchi, S.; Yoshida, S.; Iwamoto, H.; Kadomura, S.; Watanabe, H.</w:t>
      </w:r>
    </w:p>
    <w:p>
      <w:pPr>
        <w:autoSpaceDN w:val="0"/>
        <w:autoSpaceDE w:val="0"/>
        <w:widowControl/>
        <w:spacing w:line="340" w:lineRule="exact" w:before="14" w:after="0"/>
        <w:ind w:left="4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Low threshold voltage and high mobility nMOSFET Using Hf-Si/HfO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stack fabricated by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gate-last process.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Jpn. J. Appl. Phys.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016502:1–016502:6. </w:t>
      </w:r>
    </w:p>
    <w:p>
      <w:pPr>
        <w:autoSpaceDN w:val="0"/>
        <w:tabs>
          <w:tab w:pos="460" w:val="left"/>
        </w:tabs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8.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Robertson, J. Maximizing performance for higher K gate dielectrics.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J. Appl. Phys.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 104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124111–124117.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9.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Hegde, R.I.; Triyoso, D.H.; Tobin, P.J.; Kalpat, S.; Ramon, M.E.; Tseng, H.H.; Schaeffer, J.K.;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Luckowski, E.; Taylor, W.J.; Capasso, C.C.;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Microstructure modified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using Zr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addition with TaxCy gate for improved device performance and reliability.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4–7 December 2005;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pp. 35–38.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1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10. Kita, K.; Kyuno, K.; Toriumi, A. Permittivity increase of yttrium-doped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through structural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phase transformation.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2005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86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102906:1–102906:3.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11. Tomida, K.; Kita, K.; Toriumi, A. Dielectric constant enhancement due to Si incorporation into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89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142902:1–142902:3.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12. Schlom, D.G.; Haenni, J.H. A thermodynamic approach to selecting alternative gate dielectrics.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MRS Bull.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27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198–204. </w:t>
      </w:r>
    </w:p>
    <w:p>
      <w:pPr>
        <w:autoSpaceDN w:val="0"/>
        <w:autoSpaceDE w:val="0"/>
        <w:widowControl/>
        <w:spacing w:line="336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13. Edge, L.F.; Vo, T.; Paruchuri, V.K.; Iijima, R.; Bruley, J.; Jordan-Sweet, J.; Linder, B.P.;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Kellock, A.J.; Tsunoda, T.; Shinde, S.R. Materials and electrical characterization of physical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vapor deposited La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Lu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1−x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thin films on 300 mm silicon.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122905:1–122905:3. </w:t>
      </w:r>
    </w:p>
    <w:p>
      <w:pPr>
        <w:autoSpaceDN w:val="0"/>
        <w:autoSpaceDE w:val="0"/>
        <w:widowControl/>
        <w:spacing w:line="344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14. Dubourdieu, C.; Cartier, E.; Bruley, J.; Hopstaken, M.; Frank, M.M.; Narayanan, V. High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temperature (1,000 °C) compatible Y-La-Si-O silicate gate dielectric in direct contact with Si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7.7 Å equivalent oxide thickness.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252901:1–252901:3. </w:t>
      </w:r>
    </w:p>
    <w:p>
      <w:pPr>
        <w:sectPr>
          <w:pgSz w:w="11900" w:h="16840"/>
          <w:pgMar w:top="454" w:right="900" w:bottom="1018" w:left="994" w:header="720" w:footer="720" w:gutter="0"/>
          <w:cols w:space="720" w:num="1" w:equalWidth="0">
            <w:col w:w="10006" w:space="0"/>
            <w:col w:w="10008" w:space="0"/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496</w:t>
      </w:r>
    </w:p>
    <w:p>
      <w:pPr>
        <w:autoSpaceDN w:val="0"/>
        <w:autoSpaceDE w:val="0"/>
        <w:widowControl/>
        <w:spacing w:line="264" w:lineRule="auto" w:before="400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15. Suzuki, M.; Tomita, M.; Yamaguchi, T.; Fukushima, N. Ultra-thin (EOT = 3 Å) and low leakage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dielectrics of La-alminate directly on Si substrate fabricated by high temperature deposition. </w:t>
      </w:r>
    </w:p>
    <w:p>
      <w:pPr>
        <w:autoSpaceDN w:val="0"/>
        <w:autoSpaceDE w:val="0"/>
        <w:widowControl/>
        <w:spacing w:line="326" w:lineRule="exact" w:before="28" w:after="0"/>
        <w:ind w:left="4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 December 2005; pp. 433–436. </w:t>
      </w:r>
    </w:p>
    <w:p>
      <w:pPr>
        <w:autoSpaceDN w:val="0"/>
        <w:autoSpaceDE w:val="0"/>
        <w:widowControl/>
        <w:spacing w:line="344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16. Arimura, H.; Brown, S.L.; Callegari, A.; Kellock, A.;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Bruley, J.; Copel, M.; Watanabe, H.;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Narayanan, V.; Ando, T. Maximized benefit of La-Al-O higher-k gate dielectrics by optimizing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La/Al atomic ratio.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32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288–290. </w:t>
      </w:r>
    </w:p>
    <w:p>
      <w:pPr>
        <w:autoSpaceDN w:val="0"/>
        <w:autoSpaceDE w:val="0"/>
        <w:widowControl/>
        <w:spacing w:line="338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17. Narayanan, V.; Paruchuri, V.K.; Bojarczuk, N.A.; Linder, B.P.; Doris, B.; Kim, Y.H.; Zafar, S.;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Stathis, J.; Brown, S.; Arnold, J.;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Band-edge high-performance high-κ/metal gate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n-MOSFETs using cap layers containing group IIA and IIIB elements with gate-first processing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for 45 nm and beyond.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Honololu, HA, USA,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13–17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2006; pp. 224–225.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12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18. Copel, M.; Guha, S.; Bojarczuk, N.; Cartier, E.; Narayanan, V.; Paruchuri, V. Interaction of La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3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capping layers with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Appl. Phys. Lett.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95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212903:1–212903:3. </w:t>
      </w:r>
    </w:p>
    <w:p>
      <w:pPr>
        <w:autoSpaceDN w:val="0"/>
        <w:autoSpaceDE w:val="0"/>
        <w:widowControl/>
        <w:spacing w:line="340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19. Ando, T.; Frank, M.M.; Choi, K.; Choi, C.; Bruley, J.; Hopstaken, M.; Copel, M.; Cartier, E.;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Kerber, A.; Callegari, A.; Lacey, D.; Brown, S.; Yang, Q.; Narayanan, V. Understanding mobility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mechanisms in extremely scaled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(EOT 0.42 nm) using remote interfacial layer scavenging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technique and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-tuning dipoles with gate-first process.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IEEE International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7–9 December 2009; pp. 423–426.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20. Kawanago, T.; Lee, Y.; Kakushima, K.; Ahmet, P.; Tsutsui, K.; Nishiyama, A.; Sugii, N.;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Natori, K.; Hattori, T.; Iwai, H. EOT of 0.62 nm and high electron mobility in La-silicate/Si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structure based nMOSFETs achieved by utilizing metal-inserted poly-Si stacks and annealing at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 temperature.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Trans. Electron Devices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59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269–276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21. Marchiori, C.; Frank, M.M.; Bruley, J.; Narayanan, V.; Fompeyrine, J. Epitaxial SrO interfacial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layers for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–Si gate stack scaling.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052908-1–052908-3. </w:t>
      </w:r>
    </w:p>
    <w:p>
      <w:pPr>
        <w:autoSpaceDN w:val="0"/>
        <w:autoSpaceDE w:val="0"/>
        <w:widowControl/>
        <w:spacing w:line="340" w:lineRule="exact" w:before="0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22. Frank, M.M.; Marchiori, C.; Bruley, J.; Fompeyrine, J.; Narayanan, V. Epitaxial strontium oxide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layers on silicon for gate-first and gate-last TiN/HfO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stack scaling.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Microelectron. Eng.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88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1312–1316.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23. Yamamoto, Y.; Kita, K.; Kyuno, K.; Toriumi, A. Study of La-induced flat band voltage shift in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metal/HfLaO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/Si capacitors.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Jpn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J. Appl. Phys.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7251–7255. </w:t>
      </w:r>
    </w:p>
    <w:p>
      <w:pPr>
        <w:autoSpaceDN w:val="0"/>
        <w:autoSpaceDE w:val="0"/>
        <w:widowControl/>
        <w:spacing w:line="230" w:lineRule="auto" w:before="6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24. Iwamoto, K.; Kamimuta, Y.; Ogawa, A.; Watanabe, Y.; Migata, S.; Nabatame, T.; Toriumi, A. </w:t>
      </w:r>
    </w:p>
    <w:p>
      <w:pPr>
        <w:autoSpaceDN w:val="0"/>
        <w:autoSpaceDE w:val="0"/>
        <w:widowControl/>
        <w:spacing w:line="340" w:lineRule="exact" w:before="0" w:after="0"/>
        <w:ind w:left="460" w:right="24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Experimental evidence for the flatband voltage shift of high-κ metal-oxide-semiconductor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devices due to the dipole formation at the high-k/SiO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interface.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132907:1–132907:3. </w:t>
      </w:r>
    </w:p>
    <w:p>
      <w:pPr>
        <w:autoSpaceDN w:val="0"/>
        <w:tabs>
          <w:tab w:pos="460" w:val="left"/>
        </w:tabs>
        <w:autoSpaceDE w:val="0"/>
        <w:widowControl/>
        <w:spacing w:line="348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25. Jagannathan, H.; Narayanan, V.; Brown, S. Engineering high dielectric constant materials for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band-edge CMOS applications.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ECS Trans.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16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19–26. </w:t>
      </w:r>
    </w:p>
    <w:p>
      <w:pPr>
        <w:autoSpaceDN w:val="0"/>
        <w:autoSpaceDE w:val="0"/>
        <w:widowControl/>
        <w:spacing w:line="340" w:lineRule="exact" w:before="0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26. Suzuki, M.; Koyama, M.; Kinoshita, A. Effect of composition in ternary La-Al-O films 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flat-band voltage for application to dual high-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k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Gate dielectric technology.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Jpn. J. Appl. Phys.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05DA03:1–05DA03:4.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27. Arimura, H.; Haight, R.; Brown, S.L.; Kellock, A.; Callegari, A.; Copel, M.; Watanabe, H.;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Narayanan, V.; Ando, T. Temperature-dependent La- and Al-induced dipole behavior monitored by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femtosecond pump/probe photoelectron spectroscopy.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132902:1–132902:3. </w:t>
      </w:r>
    </w:p>
    <w:p>
      <w:pPr>
        <w:sectPr>
          <w:pgSz w:w="11900" w:h="16840"/>
          <w:pgMar w:top="454" w:right="898" w:bottom="508" w:left="994" w:header="720" w:footer="720" w:gutter="0"/>
          <w:cols w:space="720" w:num="1" w:equalWidth="0">
            <w:col w:w="10008" w:space="0"/>
            <w:col w:w="10006" w:space="0"/>
            <w:col w:w="10008" w:space="0"/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497</w:t>
      </w:r>
    </w:p>
    <w:p>
      <w:pPr>
        <w:autoSpaceDN w:val="0"/>
        <w:autoSpaceDE w:val="0"/>
        <w:widowControl/>
        <w:spacing w:line="278" w:lineRule="auto" w:before="40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28. Rozen, J.; Ando, T.; Brown, S.L.; Bruley, J.; Cartier, E.; Kellock, A.J.; Narayanan, V. Work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function control and equivalent oxide thickness scaling below 9 Å in a LaAlO-silicate interfacial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layer/HfO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stack compatible with gate last processing. Presented at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2011 IEEE Semiconductor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Interface Specialists Conference, Arlington, VA, USA, 6–8 December 2011. </w:t>
      </w:r>
    </w:p>
    <w:p>
      <w:pPr>
        <w:autoSpaceDN w:val="0"/>
        <w:autoSpaceDE w:val="0"/>
        <w:widowControl/>
        <w:spacing w:line="344" w:lineRule="exact" w:before="0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29. Kim, H.; McIntyre, P.C.; Chui, C.O.; Saraswat, K.C.; Stemmer, S. Engineering chemically abrupt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high-k metal oxide/silicon interfaces using an oxygen-gettering metal overlayer.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J. Appl. Phys.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2004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3467–3472. </w:t>
      </w:r>
    </w:p>
    <w:p>
      <w:pPr>
        <w:autoSpaceDN w:val="0"/>
        <w:autoSpaceDE w:val="0"/>
        <w:widowControl/>
        <w:spacing w:line="340" w:lineRule="exact" w:before="0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30. Choi, C.; Kang, C.Y.; Rhee, S.J.; Abkar, M.S.; Krishna, S.A.; Zhang, M.; Kim, H.; Lee, T.; Zhu, F.;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Ok, I.; Koveshnikov, S.; Lee, J.C. Fabrication of TaN-gated ultra-thin MOSFETs(EOT &lt; 1.0 nm)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with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using a novel oxygen scavenging process for sub 65 nm application.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Kyoto, Japan, 14–18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2005; pp. 208–209. </w:t>
      </w:r>
    </w:p>
    <w:p>
      <w:pPr>
        <w:autoSpaceDN w:val="0"/>
        <w:autoSpaceDE w:val="0"/>
        <w:widowControl/>
        <w:spacing w:line="332" w:lineRule="exact" w:before="8" w:after="0"/>
        <w:ind w:left="460" w:right="24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31. Choi, C.; Lee, J.C. Scaling equivalent oxide thickness with flat band voltage (</w:t>
      </w:r>
      <w:r>
        <w:rPr>
          <w:rFonts w:ascii="TimesNewRoman" w:hAnsi="TimesNewRoman" w:eastAsia="TimesNewRoman"/>
          <w:b w:val="0"/>
          <w:i w:val="0"/>
          <w:color w:val="0E0E0E"/>
          <w:sz w:val="24"/>
        </w:rPr>
        <w:t>V</w:t>
      </w:r>
      <w:r>
        <w:rPr>
          <w:rFonts w:ascii="TimesNewRoman" w:hAnsi="TimesNewRoman" w:eastAsia="TimesNewRoman"/>
          <w:b w:val="0"/>
          <w:i w:val="0"/>
          <w:color w:val="0E0E0E"/>
          <w:sz w:val="16"/>
        </w:rPr>
        <w:t>FB</w:t>
      </w:r>
      <w:r>
        <w:rPr>
          <w:rFonts w:ascii="TimesNewRoman" w:hAnsi="TimesNewRoman" w:eastAsia="TimesNewRoman"/>
          <w:b w:val="0"/>
          <w:i w:val="0"/>
          <w:color w:val="0E0E0E"/>
          <w:sz w:val="24"/>
        </w:rPr>
        <w:t>)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modulation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using in situ Ti and Hf interposed in a metal/high-k gate stack.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J. Appl. Phys.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108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064107:1–064107:4. </w:t>
      </w:r>
    </w:p>
    <w:p>
      <w:pPr>
        <w:autoSpaceDN w:val="0"/>
        <w:autoSpaceDE w:val="0"/>
        <w:widowControl/>
        <w:spacing w:line="344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32. Huang, J.; Heh, D.; Sivasubramani, P.; Kirsch, P.D.; Bersuker, G.; Gilmer, D.C.;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Quevedo-Lopez, M.A.; Hussain, M.M.; Majhi, P.; Lysaght, P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;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 et al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Gate first high-k/metal gate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stacks with zero SiOx interface achieving EOT = 0.59 nm for 16 nm application.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of 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Kyoto, Japan, 15–18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2009; pp. 34–35. </w:t>
      </w:r>
    </w:p>
    <w:p>
      <w:pPr>
        <w:autoSpaceDN w:val="0"/>
        <w:autoSpaceDE w:val="0"/>
        <w:widowControl/>
        <w:spacing w:line="338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33. Choi, K.; Jagannathan, H.; Choi, C.; Edge, L.; Ando, T.; Frank,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M.;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Jamison, P.; Wang, M.;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Cartier, E.; Zafar, S.;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Extremely scaled gate-first high-k/metal gate stack with EOT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0.55 nm using novel interfacial layer scavenging techniques for 22 nm technology node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beyond.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Kyoto, Japan, 15–18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2009;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pp. 138–139. </w:t>
      </w:r>
    </w:p>
    <w:p>
      <w:pPr>
        <w:autoSpaceDN w:val="0"/>
        <w:autoSpaceDE w:val="0"/>
        <w:widowControl/>
        <w:spacing w:line="344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34. Ando, T.; Copel, M.; Bruley, J.; Frank, M.M.; Watanabe, H.; Narayanan, V. Physical origins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mobility degradation in extremely scaled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stacks with la and al induced dipoles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132904:1–132904:3. </w:t>
      </w:r>
    </w:p>
    <w:p>
      <w:pPr>
        <w:autoSpaceDN w:val="0"/>
        <w:autoSpaceDE w:val="0"/>
        <w:widowControl/>
        <w:spacing w:line="340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35. Ragnarsson, L.Å.; Li, Z.; Tseng, J.; Schram, T.; Rohr, E.; Cho, M.J.; Kauerauf, T.; Conard, T.;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Okuno, Y.; Parvais, B.;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Ultra low-EOT (5 Å) gate-first and gate-last high performance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CMOS achieved by gate-electrode optimization.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IEEE International Electron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Baltimore, MA, USA, 7–9 December 2009; pp. 663–666.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36. Ragnarsson, L.Å.; Chiarella, T.; Togo, M.; Schram, T.; Absil, P,; Hoffmann, T. Ultrathin EOT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high-κ/metal gate devices for future technologies: Challenges, achievements and perspectives.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Microelectron. Eng.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88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1317–1322. </w:t>
      </w:r>
    </w:p>
    <w:p>
      <w:pPr>
        <w:autoSpaceDN w:val="0"/>
        <w:autoSpaceDE w:val="0"/>
        <w:widowControl/>
        <w:spacing w:line="278" w:lineRule="auto" w:before="6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37. Ando, T.; Cartier, E.; Bruley, J.; Choi, K.; Narayanan, V.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Origin of effective work function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roll-off behavior for replacement gate process studied by low-temperature interfacial layer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scavenging technique. Presented at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the 2011 IEEE Semiconductor Interface Specialists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Conference,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Arlington, VA, USA, 6–8 December 2011.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38. Takahashi, M.; Ogawa, A.; Hirano, A.; Kamimuta, Y.; Watanabe, Y.; Iwamoto, K.; Migita, S.;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Yasuda, N.; Ota, H.; Nabatame, T.; Toriumi, A. Gate-first processed FUSI/HfO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/HfSiO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/Si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MOSFETs with EOT = 0.5 nm—Interfacial layer formation by cycle-by-cycle deposition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annealing.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USA, 10–12 December 2007; pp. 523–526. </w:t>
      </w:r>
    </w:p>
    <w:p>
      <w:pPr>
        <w:sectPr>
          <w:pgSz w:w="11900" w:h="16840"/>
          <w:pgMar w:top="454" w:right="898" w:bottom="516" w:left="994" w:header="720" w:footer="720" w:gutter="0"/>
          <w:cols w:space="720" w:num="1" w:equalWidth="0">
            <w:col w:w="10008" w:space="0"/>
            <w:col w:w="10008" w:space="0"/>
            <w:col w:w="10006" w:space="0"/>
            <w:col w:w="10008" w:space="0"/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498</w:t>
      </w:r>
    </w:p>
    <w:p>
      <w:pPr>
        <w:autoSpaceDN w:val="0"/>
        <w:autoSpaceDE w:val="0"/>
        <w:widowControl/>
        <w:spacing w:line="340" w:lineRule="exact" w:before="340" w:after="0"/>
        <w:ind w:left="460" w:right="24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39. Migita, S.; Morita, Y.; Mizubayashi, W.; Ota, H. Preparation of epitaxial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film (EOT = 0.5 nm)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on Si substrate using atomic-layer deposition of amorphous film and rapid thermal crystallization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(RTC) in an abrupt temperature gradient.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IEEE International Electron Devices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San Francisco, CA, USA, 6–8 December 2010; pp. 269–272. </w:t>
      </w:r>
    </w:p>
    <w:p>
      <w:pPr>
        <w:autoSpaceDN w:val="0"/>
        <w:autoSpaceDE w:val="0"/>
        <w:widowControl/>
        <w:spacing w:line="336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40. Jung, H.S.; Lee, J.H.; Han, S.K.; Kim, Y.S.; Lim, H.J.; Kim, M.J.; Doh, S.J.; Yu, M.Y.; Lee, N.I.;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Lee, H.L.;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 highly manufacturable mips (metal inserted poly-Si stack) technology with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novel threshold voltage control.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Kyoto, Japan,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14–18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2005; pp. 232–233. </w:t>
      </w:r>
    </w:p>
    <w:p>
      <w:pPr>
        <w:autoSpaceDN w:val="0"/>
        <w:tabs>
          <w:tab w:pos="460" w:val="left"/>
        </w:tabs>
        <w:autoSpaceDE w:val="0"/>
        <w:widowControl/>
        <w:spacing w:line="346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41. Hubbard, K.J.; Schlom, D.G. Thermodynamic stability of binary oxides in contact with silicon.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J. Mater. Res.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1996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2757–2776. </w:t>
      </w:r>
    </w:p>
    <w:p>
      <w:pPr>
        <w:autoSpaceDN w:val="0"/>
        <w:autoSpaceDE w:val="0"/>
        <w:widowControl/>
        <w:spacing w:line="336" w:lineRule="exact" w:before="0" w:after="0"/>
        <w:ind w:left="460" w:right="24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42. Gusev, E.P.; Buchanan, D.A.; Cartier, E.; Kumar, A.; DiMaria, D.; Guha, S.; Callegari, A.;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Zafar, S.; Jamison, P.C.; Neumayer, D.A.;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Ultrathin high-K gate stacks for advanced CMOS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devices.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3–5 December 2001; pp. 451–454. </w:t>
      </w:r>
    </w:p>
    <w:p>
      <w:pPr>
        <w:autoSpaceDN w:val="0"/>
        <w:autoSpaceDE w:val="0"/>
        <w:widowControl/>
        <w:spacing w:line="340" w:lineRule="exact" w:before="2" w:after="0"/>
        <w:ind w:left="460" w:right="24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43. Narayanan, V.; Maitra, K.; Linder, B.P.; Paruchuri, V.K.; Gusev, E.P.; Jamison, P.; Frank, M.M.;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Steen, M.L.; La Tulipe, D.; Arnold, J.;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Process optimization for high electron mobility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nMOSFETs with aggressively scaled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/metal stacks.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27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591–594. </w:t>
      </w:r>
    </w:p>
    <w:p>
      <w:pPr>
        <w:autoSpaceDN w:val="0"/>
        <w:tabs>
          <w:tab w:pos="460" w:val="left"/>
        </w:tabs>
        <w:autoSpaceDE w:val="0"/>
        <w:widowControl/>
        <w:spacing w:line="346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44. Guha, S.; Narayanan, V. Oxygen vacancies in high dielectric constant oxide-semiconductor films.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Phys. Rev. Lett.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196101:1–196101:4.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45. Kerber, A.; Cartier, E.A. Reliability challenges for CMOS technology qualifications with hafnium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oxide/titanium nitride gate stacks.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Trans. Device Mater. Rel.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147–161. </w:t>
      </w:r>
    </w:p>
    <w:p>
      <w:pPr>
        <w:autoSpaceDN w:val="0"/>
        <w:autoSpaceDE w:val="0"/>
        <w:widowControl/>
        <w:spacing w:line="336" w:lineRule="exact" w:before="0" w:after="0"/>
        <w:ind w:left="460" w:right="24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46. Ando, T.; Sathaye, N.D.; Murali, K.V.R.M.; Cartier, E.A. On the electron and hole tunneling in a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stack with extreme interfacial-layer scaling.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32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865–867. </w:t>
      </w:r>
    </w:p>
    <w:p>
      <w:pPr>
        <w:autoSpaceDN w:val="0"/>
        <w:tabs>
          <w:tab w:pos="460" w:val="left"/>
        </w:tabs>
        <w:autoSpaceDE w:val="0"/>
        <w:widowControl/>
        <w:spacing w:line="342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47. Kirsch, P.D.; Sivasubramani, P.; Huang, J.; Young, C.D.; Quevedo-Lopez, M.A.; Wen, H.C.;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Alshareef, H.; Choi, K.; Park, C.S.; Freeman, K.;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Dipole model explaining high-k/metal gate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field effect transistor threshold voltage tuning.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092901:1–092901:3.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48. Kita, K.; Toriumi, A. Origin of electric dipoles formed at high-k/SiO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interface.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Appl. Phys. Lett.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94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132902:1–132902:3. </w:t>
      </w:r>
    </w:p>
    <w:p>
      <w:pPr>
        <w:autoSpaceDN w:val="0"/>
        <w:autoSpaceDE w:val="0"/>
        <w:widowControl/>
        <w:spacing w:line="230" w:lineRule="auto" w:before="6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49. Jagannathan, H.; Watanabe, K.; Sunamura, H.; Ariyoshi, K.; Allegret-Maret, S.; Paruchuri, V.K. </w:t>
      </w:r>
    </w:p>
    <w:p>
      <w:pPr>
        <w:autoSpaceDN w:val="0"/>
        <w:autoSpaceDE w:val="0"/>
        <w:widowControl/>
        <w:spacing w:line="274" w:lineRule="auto" w:before="74" w:after="0"/>
        <w:ind w:left="460" w:right="24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Impact of extreme scaling on cap layer induced dipoles in high-k metal gate stacks. Presented at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the 2011 IEEE Semiconductor Interface Specialists Conference,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Arlington, VA, USA, 6–8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December 2011. </w:t>
      </w:r>
    </w:p>
    <w:p>
      <w:pPr>
        <w:autoSpaceDN w:val="0"/>
        <w:tabs>
          <w:tab w:pos="460" w:val="left"/>
        </w:tabs>
        <w:autoSpaceDE w:val="0"/>
        <w:widowControl/>
        <w:spacing w:line="348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50. Miyata, N.; Yasuda, T.; Abe, Y. Kelvin probe study on formation of electric dipole at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direct-contact HfO2/Si interfaces.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J. Appl. Phys.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110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074115:1–074115:8. </w:t>
      </w:r>
    </w:p>
    <w:p>
      <w:pPr>
        <w:autoSpaceDN w:val="0"/>
        <w:autoSpaceDE w:val="0"/>
        <w:widowControl/>
        <w:spacing w:line="340" w:lineRule="exact" w:before="0" w:after="0"/>
        <w:ind w:left="460" w:right="24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51. Yamaguchi, S.; Tai, K.; Hirano, T.; Ando, T.; Hiyama, S.; Wang, J.; Hagimoto, Y.; Nagahama, Y.;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Kato, T.; Nagano, K.;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High Performance Dual Metal Gate CMOS with High Mobility and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Low Threshold Voltage Applicable to Bulk CMOS Technology.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VLSI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Honololu, HA, USA, 13–17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2006; pp. 152–153. </w:t>
      </w:r>
    </w:p>
    <w:p>
      <w:pPr>
        <w:sectPr>
          <w:pgSz w:w="11900" w:h="16840"/>
          <w:pgMar w:top="454" w:right="896" w:bottom="848" w:left="994" w:header="720" w:footer="720" w:gutter="0"/>
          <w:cols w:space="720" w:num="1" w:equalWidth="0">
            <w:col w:w="10010" w:space="0"/>
            <w:col w:w="10008" w:space="0"/>
            <w:col w:w="10008" w:space="0"/>
            <w:col w:w="10006" w:space="0"/>
            <w:col w:w="10008" w:space="0"/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499</w:t>
      </w:r>
    </w:p>
    <w:p>
      <w:pPr>
        <w:autoSpaceDN w:val="0"/>
        <w:autoSpaceDE w:val="0"/>
        <w:widowControl/>
        <w:spacing w:line="344" w:lineRule="exact" w:before="322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52. Hyun, S.; Han, J.H.; Park, H.B.; Na, H.J.; Son, H.J.; Lee, H.Y.; Hong, H.S.; Lee, H.L.; Song, J.;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Kim, J.J.;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Aggressively scaled high-k last metal gate stack with low variability for 20 nm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logic high performance and low power applications.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VLSI Technology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, Kyoto, Japan, 13–17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2011; pp. 32–33. </w:t>
      </w:r>
    </w:p>
    <w:p>
      <w:pPr>
        <w:autoSpaceDN w:val="0"/>
        <w:autoSpaceDE w:val="0"/>
        <w:widowControl/>
        <w:spacing w:line="336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53. Veloso, A.; Ragnarsson, L.Å.; Cho, M.J.; Devriendt, K.; Kellens, K.; Sebaai, F.; Suhard, S.;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Brus, S.; Crabbe, Y.; Schram, T.;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Gate-last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vs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gate-first technology for aggressively scaled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EOT Logic/RF CMOS.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Kyoto, Japan,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13–17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2011; pp. 34–35. </w:t>
      </w:r>
    </w:p>
    <w:p>
      <w:pPr>
        <w:autoSpaceDN w:val="0"/>
        <w:autoSpaceDE w:val="0"/>
        <w:widowControl/>
        <w:spacing w:line="336" w:lineRule="exact" w:before="18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54. Akiyama, K.; Wang, W.; Mizubayashi, W.; Ikeda, M.; Ota, H.; Nabatame, T.; Toriumi, A. V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FB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roll-off in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stack after high temperature annealing process—A crucial role of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out-diffused oxygen from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to Si.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VLSI Technology Symposium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Kyoto,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Japan, 12–16 June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2007; pp. 72–73. </w:t>
      </w:r>
    </w:p>
    <w:p>
      <w:pPr>
        <w:autoSpaceDN w:val="0"/>
        <w:autoSpaceDE w:val="0"/>
        <w:widowControl/>
        <w:spacing w:line="344" w:lineRule="exact" w:before="0" w:after="30"/>
        <w:ind w:left="480" w:right="20" w:hanging="48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55. Bersuker, G.; Park, C.S.; Wen, H.C.; Choi, K.; Price, J.; Lysaght, P.; Tseng, H.H.; Sharia, O.;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Demkov, A.; Ryan, J.T.; Lenahan, P. Origin of the flatband-voltage roll-off phenomenon in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metal/high-κ gate stacks.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Trans. Electron Devices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57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2047–2056.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01"/>
        <w:gridCol w:w="1001"/>
        <w:gridCol w:w="1001"/>
        <w:gridCol w:w="1001"/>
        <w:gridCol w:w="1001"/>
        <w:gridCol w:w="1001"/>
        <w:gridCol w:w="1001"/>
        <w:gridCol w:w="1001"/>
        <w:gridCol w:w="1001"/>
        <w:gridCol w:w="1001"/>
      </w:tblGrid>
      <w:tr>
        <w:trPr>
          <w:trHeight w:hRule="exact" w:val="326"/>
        </w:trPr>
        <w:tc>
          <w:tcPr>
            <w:tcW w:type="dxa" w:w="1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56. Pandey,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R.K.;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Murali, 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K.V.R.M.;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Furkay,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S.S.;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Oldiges,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P.J.;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Nowak,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13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E.J. </w:t>
            </w:r>
          </w:p>
        </w:tc>
      </w:tr>
    </w:tbl>
    <w:p>
      <w:pPr>
        <w:autoSpaceDN w:val="0"/>
        <w:autoSpaceDE w:val="0"/>
        <w:widowControl/>
        <w:spacing w:line="332" w:lineRule="exact" w:before="0" w:after="0"/>
        <w:ind w:left="4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Crystallographic-orientation-dependent gate-induced drain leakage in nanoscale MOSFETs.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IEEE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Trans. Electron Devices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57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2098–2105.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57. Yang, H.; Niimi, H.; Keister, J.W.; Lucovsky, G.; Rowe, J.E. The effects of interfacial sub-oxide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transition regions and monolayer level nitridation on tunneling currents in silicon devices.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IEEE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21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76–78.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58. Akasaka, Y.; Nakamura, G.; Shiraishi, K.; Umezawa, N.; Yamabe, K.; Ogawa, O.; Lee, M.;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Amiaka, T.; Kasuya, T.; Watanabe, H.;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Modified oxygen vacancy induced fermi level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pinning model extendable to P-metal pinning.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Jpn. J. Appl. Phys.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45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L1289–L1292.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59. Kerber, A.; Pantisano, L.; Veloso, A.; Groeseneken, G.; Kerber, M. Reliability screening of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high-κ dielectrics based on voltage ramp stress.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Microelectron. Reliab.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513–517.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60. Kerber, A.; Krishnan, S.A.; Cartier, E.A. Voltage ramp stress for bias temperature instability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testing of metal-gate/high-κ stacks.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30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1347–1349.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61. Cartier, E.; Kerber, A.; Ando, T.; Frank, M.M.; Choi, K.; Krishnan, S.; Linder, B.; Zhao, K.;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Monsieur, F.; Stathis, J.; Narayanan, V. Fundamental aspects of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-based high-κ metal gate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stack reliability and implications on tinv-scaling.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IEEE International Electron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5–7 December 2011; pp. 18.4.1–18.4.4.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62. Fischetti, M.V.; Neumayer, D.A.; Cartier, E.A. Effective electron mobility in Si inversion layers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metal-oxide-semiconductor systems with a high-κ insulator: The role of remote phonon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scattering.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J. Appl. Phys.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90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4587–4608. </w:t>
      </w:r>
    </w:p>
    <w:p>
      <w:pPr>
        <w:autoSpaceDN w:val="0"/>
        <w:autoSpaceDE w:val="0"/>
        <w:widowControl/>
        <w:spacing w:line="336" w:lineRule="exact" w:before="0" w:after="0"/>
        <w:ind w:left="460" w:right="22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63. Yamaguchi, T.; Iijima, R.; Ino, T.; Nishiyama, A.; Satake, H.; Fukushima, N. Additional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scattering effects for mobility degradation in Hf-silicate gate MISFETs.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8–10 December 2002;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pp. 621–624. </w:t>
      </w:r>
    </w:p>
    <w:p>
      <w:pPr>
        <w:autoSpaceDN w:val="0"/>
        <w:autoSpaceDE w:val="0"/>
        <w:widowControl/>
        <w:spacing w:line="230" w:lineRule="auto" w:before="72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64. Saito, S.; Hisamoto, D.; Kimura, S.; Hiratani, M. Unified mobility model for high-κ gate stacks. </w:t>
      </w:r>
    </w:p>
    <w:p>
      <w:pPr>
        <w:autoSpaceDN w:val="0"/>
        <w:autoSpaceDE w:val="0"/>
        <w:widowControl/>
        <w:spacing w:line="328" w:lineRule="exact" w:before="26" w:after="0"/>
        <w:ind w:left="4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8–10 December 2003; pp. 797–800. </w:t>
      </w:r>
    </w:p>
    <w:p>
      <w:pPr>
        <w:sectPr>
          <w:pgSz w:w="11900" w:h="16840"/>
          <w:pgMar w:top="454" w:right="900" w:bottom="516" w:left="994" w:header="720" w:footer="720" w:gutter="0"/>
          <w:cols w:space="720" w:num="1" w:equalWidth="0">
            <w:col w:w="10006" w:space="0"/>
            <w:col w:w="10010" w:space="0"/>
            <w:col w:w="10008" w:space="0"/>
            <w:col w:w="10008" w:space="0"/>
            <w:col w:w="10006" w:space="0"/>
            <w:col w:w="10008" w:space="0"/>
            <w:col w:w="10006" w:space="0"/>
            <w:col w:w="10066" w:space="0"/>
            <w:col w:w="10006" w:space="0"/>
            <w:col w:w="10006" w:space="0"/>
            <w:col w:w="10006" w:space="0"/>
            <w:col w:w="10008" w:space="0"/>
            <w:col w:w="10006" w:space="0"/>
            <w:col w:w="10006" w:space="0"/>
            <w:col w:w="10006" w:space="0"/>
            <w:col w:w="10008" w:space="0"/>
            <w:col w:w="10006" w:space="0"/>
            <w:col w:w="10008" w:space="0"/>
            <w:col w:w="10006" w:space="0"/>
            <w:col w:w="10008" w:space="0"/>
            <w:col w:w="10008" w:space="0"/>
            <w:col w:w="100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4"/>
        <w:ind w:left="0" w:right="0"/>
      </w:pPr>
    </w:p>
    <w:p>
      <w:pPr>
        <w:autoSpaceDN w:val="0"/>
        <w:tabs>
          <w:tab w:pos="9566" w:val="left"/>
        </w:tabs>
        <w:autoSpaceDE w:val="0"/>
        <w:widowControl/>
        <w:spacing w:line="294" w:lineRule="exact" w:before="0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Materials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2012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500</w:t>
      </w:r>
    </w:p>
    <w:p>
      <w:pPr>
        <w:autoSpaceDN w:val="0"/>
        <w:autoSpaceDE w:val="0"/>
        <w:widowControl/>
        <w:spacing w:line="346" w:lineRule="exact" w:before="32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65. Ando, T.; Shimura, T.; Watanabe, H.; Hirano, T.; Yoshida, S.; Tai, K.; Yamaguchi, S.; Iwamoto, H.;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Kadomura, S.; Toyoda, S.;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. Mechanism of carrier mobility degradation induced by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crystallization of HfO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dielectrics.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Appl. Phys. Express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2009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071402:1–071402:3. </w:t>
      </w:r>
    </w:p>
    <w:p>
      <w:pPr>
        <w:autoSpaceDN w:val="0"/>
        <w:autoSpaceDE w:val="0"/>
        <w:widowControl/>
        <w:spacing w:line="340" w:lineRule="exact" w:before="0" w:after="0"/>
        <w:ind w:left="460" w:right="20" w:hanging="4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66. Ota, H.; Hirano, A.; Watanabe, Y.; Yasuda, N.; Iwamoto, K.; Akiyama, K.; Okada, K.; Migita, S.;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Nabatame, T.; Toriumi, A. Intrinsic origin of electron mobility reduction in high-κ MOSFETs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from remote phonon to bottom interface dipole scattering.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IEEE International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10–12 December 2007; pp. 65–68. </w:t>
      </w:r>
    </w:p>
    <w:p>
      <w:pPr>
        <w:autoSpaceDN w:val="0"/>
        <w:autoSpaceDE w:val="0"/>
        <w:widowControl/>
        <w:spacing w:line="340" w:lineRule="exact" w:before="0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67. Takagi, S.; Toriumi, A.; Iwase, M.; Tango, H. On the universality of inversion layer mobility in Si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MOSFET’s: Part I—Effects of substrate impurity concentration.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IEEE Trans. Electron Devices 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1994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41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2257–2362.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68. Copel, M.; Cartier, E.; Ross, F.M. Formation of a stratified lanthanum silicate dielectric by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reaction with Si(001).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Appl. Phys.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78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1607–1609.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69. Li, J.; Ma, T.P. Scattering of silicon inversion layer electrons by metal/oxide interface roughness.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J. Appl. Phys.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1987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62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4212–4215.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70. Takagi, S.; Irisawa, T.; Tezuka, T.; Numata, T.; Nakaharai, S.; Hirashita, N.; Moriyama, Y.;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Usuda, K.; Toyoda, E.; Dissanayake, S.;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et al.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Carrier-transport-enhanced channel CMOS for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improved power consumption and performance.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Trans. Electron Devices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2008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55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21–39.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71. Saitoh, M.; Uchida, K. Universal relationship between low-field mobility and high-field carrier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velocity in high-κ and SiO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gate dielectric MOSFETs. 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Proceedings of IEEE International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11–13 December 2006; pp. 261–264. </w:t>
      </w:r>
    </w:p>
    <w:p>
      <w:pPr>
        <w:autoSpaceDN w:val="0"/>
        <w:tabs>
          <w:tab w:pos="460" w:val="left"/>
        </w:tabs>
        <w:autoSpaceDE w:val="0"/>
        <w:widowControl/>
        <w:spacing w:line="326" w:lineRule="exact" w:before="14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72. Natori, K. Ballistic metal-oxide-semiconductor field effect transistor.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J. Appl. Phys.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1994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76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4879–4890. </w:t>
      </w:r>
    </w:p>
    <w:p>
      <w:pPr>
        <w:autoSpaceDN w:val="0"/>
        <w:tabs>
          <w:tab w:pos="460" w:val="left"/>
        </w:tabs>
        <w:autoSpaceDE w:val="0"/>
        <w:widowControl/>
        <w:spacing w:line="348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73. Lochtefeld, A.; Antoniadis, D.A. On experimental determination of carrier velocity in deeply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scaled NMOS: How close to the thermal limit?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IEEE 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22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95–97. </w:t>
      </w:r>
    </w:p>
    <w:p>
      <w:pPr>
        <w:autoSpaceDN w:val="0"/>
        <w:tabs>
          <w:tab w:pos="460" w:val="left"/>
        </w:tabs>
        <w:autoSpaceDE w:val="0"/>
        <w:widowControl/>
        <w:spacing w:line="340" w:lineRule="exact" w:before="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74. Lundstrom, M.S. On the mobility versus drain current relation for a nanoscale MOSFET.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 xml:space="preserve">IEEE </w:t>
      </w:r>
      <w:r>
        <w:tab/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Electron Device Lett.</w:t>
      </w:r>
      <w:r>
        <w:rPr>
          <w:rFonts w:ascii="TimesNewRoman,Bold" w:hAnsi="TimesNewRoman,Bold" w:eastAsia="TimesNewRoman,Bold"/>
          <w:b/>
          <w:i w:val="0"/>
          <w:color w:val="000000"/>
          <w:sz w:val="24"/>
        </w:rPr>
        <w:t>2001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22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293–295. </w:t>
      </w:r>
    </w:p>
    <w:p>
      <w:pPr>
        <w:autoSpaceDN w:val="0"/>
        <w:autoSpaceDE w:val="0"/>
        <w:widowControl/>
        <w:spacing w:line="269" w:lineRule="auto" w:before="62" w:after="0"/>
        <w:ind w:left="460" w:right="0" w:hanging="4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75. Tatsumura, K.; Goto, M.; Kawanaka, S.; Kinoshita, A. Correlation between low-field mobility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and high-field carrier velocity in quasi-ballistic-transport MISFETs scaled down to L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 = 30 nm. </w:t>
      </w:r>
    </w:p>
    <w:p>
      <w:pPr>
        <w:autoSpaceDN w:val="0"/>
        <w:autoSpaceDE w:val="0"/>
        <w:widowControl/>
        <w:spacing w:line="328" w:lineRule="exact" w:before="12" w:after="0"/>
        <w:ind w:left="4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In </w:t>
      </w:r>
      <w:r>
        <w:rPr>
          <w:rFonts w:ascii="TimesNewRoman,Italic" w:hAnsi="TimesNewRoman,Italic" w:eastAsia="TimesNewRoman,Italic"/>
          <w:b w:val="0"/>
          <w:i/>
          <w:color w:val="000000"/>
          <w:sz w:val="24"/>
        </w:rPr>
        <w:t>Proceedings of IEEE International Electron Devices Meeting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, Washington, DC, USA,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7–9 December 2007; pp. 1–4. </w:t>
      </w:r>
    </w:p>
    <w:p>
      <w:pPr>
        <w:autoSpaceDN w:val="0"/>
        <w:autoSpaceDE w:val="0"/>
        <w:widowControl/>
        <w:spacing w:line="276" w:lineRule="auto" w:before="312" w:after="0"/>
        <w:ind w:left="0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© 2012 by the authors; licensee MDPI, Basel, Switzerland. This article is an open access article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distributed under the terms and conditions of the Creative Commons Attribution license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(http://creativecommons.org/licenses/by/3.0/). </w:t>
      </w:r>
    </w:p>
    <w:sectPr w:rsidR="00FC693F" w:rsidRPr="0006063C" w:rsidSect="00034616">
      <w:pgSz w:w="11900" w:h="16840"/>
      <w:pgMar w:top="454" w:right="900" w:bottom="1440" w:left="994" w:header="720" w:footer="720" w:gutter="0"/>
      <w:cols w:space="720" w:num="1" w:equalWidth="0">
        <w:col w:w="10006" w:space="0"/>
        <w:col w:w="10006" w:space="0"/>
        <w:col w:w="10010" w:space="0"/>
        <w:col w:w="10008" w:space="0"/>
        <w:col w:w="10008" w:space="0"/>
        <w:col w:w="10006" w:space="0"/>
        <w:col w:w="10008" w:space="0"/>
        <w:col w:w="10006" w:space="0"/>
        <w:col w:w="10066" w:space="0"/>
        <w:col w:w="10006" w:space="0"/>
        <w:col w:w="10006" w:space="0"/>
        <w:col w:w="10006" w:space="0"/>
        <w:col w:w="10008" w:space="0"/>
        <w:col w:w="10006" w:space="0"/>
        <w:col w:w="10006" w:space="0"/>
        <w:col w:w="10006" w:space="0"/>
        <w:col w:w="10008" w:space="0"/>
        <w:col w:w="10006" w:space="0"/>
        <w:col w:w="10008" w:space="0"/>
        <w:col w:w="10006" w:space="0"/>
        <w:col w:w="10008" w:space="0"/>
        <w:col w:w="10008" w:space="0"/>
        <w:col w:w="100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