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4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762000</wp:posOffset>
            </wp:positionH>
            <wp:positionV relativeFrom="page">
              <wp:posOffset>2286000</wp:posOffset>
            </wp:positionV>
            <wp:extent cx="4343400" cy="304800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04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4669790</wp:posOffset>
            </wp:positionH>
            <wp:positionV relativeFrom="page">
              <wp:posOffset>3131820</wp:posOffset>
            </wp:positionV>
            <wp:extent cx="2503169" cy="634176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03169" cy="63417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228600</wp:posOffset>
            </wp:positionH>
            <wp:positionV relativeFrom="page">
              <wp:posOffset>3009900</wp:posOffset>
            </wp:positionV>
            <wp:extent cx="7493000" cy="2667000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493000" cy="2667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4114800</wp:posOffset>
            </wp:positionH>
            <wp:positionV relativeFrom="page">
              <wp:posOffset>8661400</wp:posOffset>
            </wp:positionV>
            <wp:extent cx="3060700" cy="800100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800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6661150</wp:posOffset>
            </wp:positionH>
            <wp:positionV relativeFrom="page">
              <wp:posOffset>8713470</wp:posOffset>
            </wp:positionV>
            <wp:extent cx="480059" cy="637403"/>
            <wp:wrapNone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0059" cy="63740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auto" w:before="396" w:after="100"/>
        <w:ind w:left="120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943100" cy="254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2540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198.0" w:type="dxa"/>
      </w:tblPr>
      <w:tblGrid>
        <w:gridCol w:w="2825"/>
        <w:gridCol w:w="2825"/>
        <w:gridCol w:w="2825"/>
        <w:gridCol w:w="2825"/>
      </w:tblGrid>
      <w:tr>
        <w:trPr>
          <w:trHeight w:hRule="exact" w:val="494"/>
        </w:trPr>
        <w:tc>
          <w:tcPr>
            <w:tcW w:type="dxa" w:w="8716"/>
            <w:tcBorders>
              <w:bottom w:sz="8.0" w:val="single" w:color="#27903A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54"/>
            <w:tcBorders>
              <w:bottom w:sz="8.0" w:val="single" w:color="#27903A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12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62559" cy="162559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559" cy="16255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00"/>
            <w:tcBorders>
              <w:bottom w:sz="8.0" w:val="single" w:color="#27903A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53670" cy="162559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670" cy="16255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10"/>
            <w:tcBorders>
              <w:bottom w:sz="8.0" w:val="single" w:color="#27903A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53670" cy="162559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670" cy="16255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220"/>
        </w:trPr>
        <w:tc>
          <w:tcPr>
            <w:tcW w:type="dxa" w:w="8716"/>
            <w:tcBorders>
              <w:top w:sz="8.0" w:val="single" w:color="#27903A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" w:after="0"/>
              <w:ind w:left="0" w:right="0" w:firstLine="0"/>
              <w:jc w:val="left"/>
            </w:pPr>
            <w:r>
              <w:rPr>
                <w:rFonts w:ascii="AdvOT46dcae81" w:hAnsi="AdvOT46dcae81" w:eastAsia="AdvOT46dcae81"/>
                <w:b w:val="0"/>
                <w:i w:val="0"/>
                <w:color w:val="27903A"/>
                <w:sz w:val="16"/>
              </w:rPr>
              <w:t>www.acsami.org</w:t>
            </w:r>
          </w:p>
        </w:tc>
        <w:tc>
          <w:tcPr>
            <w:tcW w:type="dxa" w:w="1364"/>
            <w:gridSpan w:val="3"/>
            <w:tcBorders>
              <w:top w:sz="8.0" w:val="single" w:color="#27903A"/>
            </w:tcBorders>
            <w:shd w:fill="27903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" w:after="0"/>
              <w:ind w:left="0" w:right="0" w:firstLine="0"/>
              <w:jc w:val="center"/>
            </w:pPr>
            <w:r>
              <w:rPr>
                <w:rFonts w:ascii="AdvOT46dcae81" w:hAnsi="AdvOT46dcae81" w:eastAsia="AdvOT46dcae81"/>
                <w:b w:val="0"/>
                <w:i w:val="0"/>
                <w:color w:val="FFFFFF"/>
                <w:sz w:val="16"/>
              </w:rPr>
              <w:t>Research Article</w:t>
            </w:r>
          </w:p>
        </w:tc>
      </w:tr>
    </w:tbl>
    <w:p>
      <w:pPr>
        <w:autoSpaceDN w:val="0"/>
        <w:autoSpaceDE w:val="0"/>
        <w:widowControl/>
        <w:spacing w:line="378" w:lineRule="exact" w:before="306" w:after="188"/>
        <w:ind w:left="1198" w:right="288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34"/>
        </w:rPr>
        <w:t>E</w:t>
      </w:r>
      <w:r>
        <w:rPr>
          <w:rFonts w:ascii="fb" w:hAnsi="fb" w:eastAsia="fb"/>
          <w:b w:val="0"/>
          <w:i w:val="0"/>
          <w:color w:val="000000"/>
          <w:sz w:val="34"/>
        </w:rPr>
        <w:t>ff</w:t>
      </w:r>
      <w:r>
        <w:rPr>
          <w:rFonts w:ascii="AdvOTce3d9a73" w:hAnsi="AdvOTce3d9a73" w:eastAsia="AdvOTce3d9a73"/>
          <w:b w:val="0"/>
          <w:i w:val="0"/>
          <w:color w:val="000000"/>
          <w:sz w:val="34"/>
        </w:rPr>
        <w:t xml:space="preserve">ects of TiN Top Electrode Texturing on Ferroelectricity in </w:t>
      </w:r>
      <w:r>
        <w:rPr>
          <w:rFonts w:ascii="AdvOTce3d9a73" w:hAnsi="AdvOTce3d9a73" w:eastAsia="AdvOTce3d9a73"/>
          <w:b w:val="0"/>
          <w:i w:val="0"/>
          <w:color w:val="000000"/>
          <w:sz w:val="34"/>
        </w:rPr>
        <w:t>Hf</w:t>
      </w:r>
      <w:r>
        <w:rPr>
          <w:rFonts w:ascii="AdvOTce3d9a73" w:hAnsi="AdvOTce3d9a73" w:eastAsia="AdvOTce3d9a73"/>
          <w:b w:val="0"/>
          <w:i w:val="0"/>
          <w:color w:val="000000"/>
          <w:sz w:val="23"/>
        </w:rPr>
        <w:t>1</w:t>
      </w:r>
      <w:r>
        <w:rPr>
          <w:rFonts w:ascii="22" w:hAnsi="22" w:eastAsia="22"/>
          <w:b w:val="0"/>
          <w:i w:val="0"/>
          <w:color w:val="000000"/>
          <w:sz w:val="23"/>
        </w:rPr>
        <w:t>−</w:t>
      </w:r>
      <w:r>
        <w:rPr>
          <w:rFonts w:ascii="AdvOT56309c18.I" w:hAnsi="AdvOT56309c18.I" w:eastAsia="AdvOT56309c18.I"/>
          <w:b w:val="0"/>
          <w:i w:val="0"/>
          <w:color w:val="000000"/>
          <w:sz w:val="23"/>
        </w:rPr>
        <w:t>x</w:t>
      </w:r>
      <w:r>
        <w:rPr>
          <w:rFonts w:ascii="AdvOTce3d9a73" w:hAnsi="AdvOTce3d9a73" w:eastAsia="AdvOTce3d9a73"/>
          <w:b w:val="0"/>
          <w:i w:val="0"/>
          <w:color w:val="000000"/>
          <w:sz w:val="34"/>
        </w:rPr>
        <w:t>Zr</w:t>
      </w:r>
      <w:r>
        <w:rPr>
          <w:rFonts w:ascii="AdvOT56309c18.I" w:hAnsi="AdvOT56309c18.I" w:eastAsia="AdvOT56309c18.I"/>
          <w:b w:val="0"/>
          <w:i w:val="0"/>
          <w:color w:val="000000"/>
          <w:sz w:val="23"/>
        </w:rPr>
        <w:t>x</w:t>
      </w:r>
      <w:r>
        <w:rPr>
          <w:rFonts w:ascii="AdvOTce3d9a73" w:hAnsi="AdvOTce3d9a73" w:eastAsia="AdvOTce3d9a73"/>
          <w:b w:val="0"/>
          <w:i w:val="0"/>
          <w:color w:val="000000"/>
          <w:sz w:val="34"/>
        </w:rPr>
        <w:t>O</w:t>
      </w:r>
      <w:r>
        <w:rPr>
          <w:rFonts w:ascii="AdvOTce3d9a73" w:hAnsi="AdvOTce3d9a73" w:eastAsia="AdvOTce3d9a73"/>
          <w:b w:val="0"/>
          <w:i w:val="0"/>
          <w:color w:val="000000"/>
          <w:sz w:val="23"/>
        </w:rPr>
        <w:t xml:space="preserve">2 </w:t>
      </w:r>
      <w:r>
        <w:br/>
      </w:r>
      <w:r>
        <w:rPr>
          <w:rFonts w:ascii="AdvOTd369e91e" w:hAnsi="AdvOTd369e91e" w:eastAsia="AdvOTd369e91e"/>
          <w:b w:val="0"/>
          <w:i w:val="0"/>
          <w:color w:val="000000"/>
          <w:sz w:val="26"/>
        </w:rPr>
        <w:hyperlink r:id="rId13" w:history="1">
          <w:r>
            <w:rPr>
              <w:rStyle w:val="Hyperlink"/>
            </w:rPr>
            <w:t>Robin Athle,</w:t>
          </w:r>
        </w:hyperlink>
      </w:r>
      <w:r>
        <w:rPr>
          <w:rFonts w:ascii="AdvOT8608a8d1" w:hAnsi="AdvOT8608a8d1" w:eastAsia="AdvOT8608a8d1"/>
          <w:b w:val="0"/>
          <w:i w:val="0"/>
          <w:color w:val="1B4BA0"/>
          <w:sz w:val="26"/>
        </w:rPr>
        <w:t>*</w:t>
      </w:r>
      <w:r>
        <w:rPr>
          <w:rFonts w:ascii="AdvOTd369e91e" w:hAnsi="AdvOTd369e91e" w:eastAsia="AdvOTd369e91e"/>
          <w:b w:val="0"/>
          <w:i w:val="0"/>
          <w:color w:val="000000"/>
          <w:sz w:val="26"/>
        </w:rPr>
        <w:hyperlink r:id="rId14" w:history="1">
          <w:r>
            <w:rPr>
              <w:rStyle w:val="Hyperlink"/>
            </w:rPr>
            <w:t xml:space="preserve"> Anton E. O. Persson,</w:t>
          </w:r>
        </w:hyperlink>
      </w:r>
      <w:r>
        <w:rPr>
          <w:rFonts w:ascii="AdvOTd369e91e" w:hAnsi="AdvOTd369e91e" w:eastAsia="AdvOTd369e91e"/>
          <w:b w:val="0"/>
          <w:i w:val="0"/>
          <w:color w:val="000000"/>
          <w:sz w:val="26"/>
        </w:rPr>
        <w:hyperlink r:id="rId15" w:history="1">
          <w:r>
            <w:rPr>
              <w:rStyle w:val="Hyperlink"/>
            </w:rPr>
            <w:t xml:space="preserve"> Austin Irish,</w:t>
          </w:r>
        </w:hyperlink>
      </w:r>
      <w:r>
        <w:rPr>
          <w:rFonts w:ascii="AdvOTd369e91e" w:hAnsi="AdvOTd369e91e" w:eastAsia="AdvOTd369e91e"/>
          <w:b w:val="0"/>
          <w:i w:val="0"/>
          <w:color w:val="000000"/>
          <w:sz w:val="26"/>
        </w:rPr>
        <w:hyperlink r:id="rId16" w:history="1">
          <w:r>
            <w:rPr>
              <w:rStyle w:val="Hyperlink"/>
            </w:rPr>
            <w:t xml:space="preserve"> Heera Menon,</w:t>
          </w:r>
        </w:hyperlink>
      </w:r>
      <w:r>
        <w:rPr>
          <w:rFonts w:ascii="AdvOTd369e91e" w:hAnsi="AdvOTd369e91e" w:eastAsia="AdvOTd369e91e"/>
          <w:b w:val="0"/>
          <w:i w:val="0"/>
          <w:color w:val="000000"/>
          <w:sz w:val="26"/>
        </w:rPr>
        <w:hyperlink r:id="rId17" w:history="1">
          <w:r>
            <w:rPr>
              <w:rStyle w:val="Hyperlink"/>
            </w:rPr>
            <w:t xml:space="preserve"> Rainer Timm,</w:t>
          </w:r>
        </w:hyperlink>
      </w:r>
      <w:r>
        <w:rPr>
          <w:rFonts w:ascii="AdvOTd369e91e" w:hAnsi="AdvOTd369e91e" w:eastAsia="AdvOTd369e91e"/>
          <w:b w:val="0"/>
          <w:i w:val="0"/>
          <w:color w:val="000000"/>
          <w:sz w:val="26"/>
        </w:rPr>
        <w:hyperlink r:id="rId18" w:history="1">
          <w:r>
            <w:rPr>
              <w:rStyle w:val="Hyperlink"/>
            </w:rPr>
            <w:t xml:space="preserve"> and Mattias Borg</w:t>
          </w:r>
        </w:hyperlink>
      </w:r>
      <w:r>
        <w:rPr>
          <w:rFonts w:ascii="AdvOT8608a8d1" w:hAnsi="AdvOT8608a8d1" w:eastAsia="AdvOT8608a8d1"/>
          <w:b w:val="0"/>
          <w:i w:val="0"/>
          <w:color w:val="1B4BA0"/>
          <w:sz w:val="26"/>
        </w:rPr>
        <w:t>*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42"/>
        <w:gridCol w:w="942"/>
        <w:gridCol w:w="942"/>
        <w:gridCol w:w="942"/>
        <w:gridCol w:w="942"/>
        <w:gridCol w:w="942"/>
        <w:gridCol w:w="942"/>
        <w:gridCol w:w="942"/>
        <w:gridCol w:w="942"/>
        <w:gridCol w:w="942"/>
        <w:gridCol w:w="942"/>
        <w:gridCol w:w="942"/>
      </w:tblGrid>
      <w:tr>
        <w:trPr>
          <w:trHeight w:hRule="exact" w:val="594"/>
        </w:trPr>
        <w:tc>
          <w:tcPr>
            <w:tcW w:type="dxa" w:w="1198"/>
            <w:tcBorders>
              <w:bottom w:sz="4.0" w:val="single" w:color="#1B4BA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4682"/>
            <w:gridSpan w:val="4"/>
            <w:tcBorders>
              <w:bottom w:sz="4.0" w:val="single" w:color="#1B4BA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60" w:after="0"/>
              <w:ind w:left="474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000000"/>
                <w:sz w:val="17"/>
              </w:rPr>
              <w:t>Cite This:</w:t>
            </w:r>
            <w:r>
              <w:rPr>
                <w:rFonts w:ascii="AdvOT65f8a23b.I" w:hAnsi="AdvOT65f8a23b.I" w:eastAsia="AdvOT65f8a23b.I"/>
                <w:b w:val="0"/>
                <w:i w:val="0"/>
                <w:color w:val="1B4BA0"/>
                <w:sz w:val="17"/>
              </w:rPr>
              <w:t xml:space="preserve"> </w:t>
            </w:r>
            <w:r>
              <w:rPr>
                <w:rFonts w:ascii="AdvOT65f8a23b.I" w:hAnsi="AdvOT65f8a23b.I" w:eastAsia="AdvOT65f8a23b.I"/>
                <w:b w:val="0"/>
                <w:i w:val="0"/>
                <w:color w:val="1B4BA0"/>
                <w:sz w:val="17"/>
              </w:rPr>
              <w:hyperlink r:id="rId19" w:history="1">
                <w:r>
                  <w:rPr>
                    <w:rStyle w:val="Hyperlink"/>
                  </w:rPr>
                  <w:t>ACS Appl. Mater. Interfaces</w:t>
                </w:r>
              </w:hyperlink>
            </w:r>
            <w:r>
              <w:rPr>
                <w:rFonts w:ascii="AdvOT46dcae81" w:hAnsi="AdvOT46dcae81" w:eastAsia="AdvOT46dcae81"/>
                <w:b w:val="0"/>
                <w:i w:val="0"/>
                <w:color w:val="1B4BA0"/>
                <w:sz w:val="17"/>
              </w:rPr>
              <w:hyperlink r:id="rId19" w:history="1">
                <w:r>
                  <w:rPr>
                    <w:rStyle w:val="Hyperlink"/>
                  </w:rPr>
                  <w:t xml:space="preserve"> 2021, 13, 11089</w:t>
                </w:r>
              </w:hyperlink>
            </w:r>
            <w:r>
              <w:rPr>
                <w:rFonts w:ascii="AdvOT46dcae81" w:hAnsi="AdvOT46dcae81" w:eastAsia="AdvOT46dcae81"/>
                <w:b w:val="0"/>
                <w:i w:val="0"/>
                <w:color w:val="1B4BA0"/>
                <w:sz w:val="17"/>
              </w:rPr>
              <w:hyperlink r:id="rId19" w:history="1">
                <w:r>
                  <w:rPr>
                    <w:rStyle w:val="Hyperlink"/>
                  </w:rPr>
                  <w:t>−</w:t>
                </w:r>
              </w:hyperlink>
            </w:r>
            <w:r>
              <w:rPr>
                <w:rFonts w:ascii="AdvOT46dcae81" w:hAnsi="AdvOT46dcae81" w:eastAsia="AdvOT46dcae81"/>
                <w:b w:val="0"/>
                <w:i w:val="0"/>
                <w:color w:val="1B4BA0"/>
                <w:sz w:val="17"/>
              </w:rPr>
              <w:hyperlink r:id="rId19" w:history="1">
                <w:r>
                  <w:rPr>
                    <w:rStyle w:val="Hyperlink"/>
                  </w:rPr>
                  <w:t>11095</w:t>
                </w:r>
              </w:hyperlink>
            </w:r>
          </w:p>
        </w:tc>
        <w:tc>
          <w:tcPr>
            <w:tcW w:type="dxa" w:w="5398"/>
            <w:gridSpan w:val="7"/>
            <w:tcBorders>
              <w:bottom w:sz="4.0" w:val="single" w:color="#1B4BA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60" w:after="0"/>
              <w:ind w:left="1038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1B4BA0"/>
                <w:sz w:val="18"/>
              </w:rPr>
              <w:hyperlink r:id="rId20" w:history="1">
                <w:r>
                  <w:rPr>
                    <w:rStyle w:val="Hyperlink"/>
                  </w:rPr>
                  <w:t>Read Online</w:t>
                </w:r>
              </w:hyperlink>
            </w:r>
          </w:p>
        </w:tc>
      </w:tr>
      <w:tr>
        <w:trPr>
          <w:trHeight w:hRule="exact" w:val="524"/>
        </w:trPr>
        <w:tc>
          <w:tcPr>
            <w:tcW w:type="dxa" w:w="1198"/>
            <w:vMerge w:val="restart"/>
            <w:tcBorders>
              <w:top w:sz="4.0" w:val="single" w:color="#1B4BA0"/>
            </w:tcBorders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2" w:after="0"/>
              <w:ind w:left="4320" w:right="576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 xml:space="preserve">Downloaded via 73.106.214.190 on April 4, 2021 at 05:29:51 (UTC). </w:t>
            </w:r>
            <w:r>
              <w:br/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See https://pubs.acs.org/sharingguidelines for options on how to legitimately share published articles.</w:t>
            </w:r>
          </w:p>
        </w:tc>
        <w:tc>
          <w:tcPr>
            <w:tcW w:type="dxa" w:w="1390"/>
            <w:tcBorders>
              <w:top w:sz="4.0" w:val="single" w:color="#1B4BA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6" w:lineRule="exact" w:before="56" w:after="0"/>
              <w:ind w:left="0" w:right="0" w:firstLine="0"/>
              <w:jc w:val="left"/>
            </w:pPr>
            <w:r>
              <w:rPr>
                <w:rFonts w:ascii="AdvTTa424a9ea" w:hAnsi="AdvTTa424a9ea" w:eastAsia="AdvTTa424a9ea"/>
                <w:b w:val="0"/>
                <w:i w:val="0"/>
                <w:color w:val="4294D0"/>
                <w:sz w:val="30"/>
              </w:rPr>
              <w:t>ACCESS</w:t>
            </w:r>
          </w:p>
        </w:tc>
        <w:tc>
          <w:tcPr>
            <w:tcW w:type="dxa" w:w="720"/>
            <w:tcBorders>
              <w:top w:sz="4.0" w:val="single" w:color="#1B4BA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78" w:after="0"/>
              <w:ind w:left="0" w:right="6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52400" cy="1270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27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680"/>
            <w:gridSpan w:val="3"/>
            <w:tcBorders>
              <w:top w:sz="4.0" w:val="single" w:color="#1B4BA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168" w:after="0"/>
              <w:ind w:left="68" w:right="0" w:firstLine="0"/>
              <w:jc w:val="left"/>
            </w:pPr>
            <w:r>
              <w:rPr>
                <w:rFonts w:ascii="AdvTT7b58c9e2" w:hAnsi="AdvTT7b58c9e2" w:eastAsia="AdvTT7b58c9e2"/>
                <w:b w:val="0"/>
                <w:i w:val="0"/>
                <w:color w:val="000000"/>
                <w:sz w:val="16"/>
              </w:rPr>
              <w:hyperlink r:id="rId22" w:history="1">
                <w:r>
                  <w:rPr>
                    <w:rStyle w:val="Hyperlink"/>
                  </w:rPr>
                  <w:t>Metrics &amp; More</w:t>
                </w:r>
              </w:hyperlink>
            </w:r>
          </w:p>
        </w:tc>
        <w:tc>
          <w:tcPr>
            <w:tcW w:type="dxa" w:w="2320"/>
            <w:gridSpan w:val="4"/>
            <w:tcBorders>
              <w:top w:sz="4.0" w:val="single" w:color="#1B4BA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168" w:after="0"/>
              <w:ind w:left="26" w:right="0" w:firstLine="0"/>
              <w:jc w:val="left"/>
            </w:pPr>
            <w:r>
              <w:rPr>
                <w:rFonts w:ascii="AdvTT7b58c9e2" w:hAnsi="AdvTT7b58c9e2" w:eastAsia="AdvTT7b58c9e2"/>
                <w:b w:val="0"/>
                <w:i w:val="0"/>
                <w:color w:val="000000"/>
                <w:sz w:val="16"/>
              </w:rPr>
              <w:hyperlink r:id="rId23" w:history="1">
                <w:r>
                  <w:rPr>
                    <w:rStyle w:val="Hyperlink"/>
                  </w:rPr>
                  <w:t>Article Recommendations</w:t>
                </w:r>
              </w:hyperlink>
            </w:r>
          </w:p>
        </w:tc>
        <w:tc>
          <w:tcPr>
            <w:tcW w:type="dxa" w:w="760"/>
            <w:tcBorders>
              <w:top w:sz="4.0" w:val="single" w:color="#1B4BA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50" w:after="0"/>
              <w:ind w:left="0" w:right="34" w:firstLine="0"/>
              <w:jc w:val="right"/>
            </w:pPr>
            <w:r>
              <w:rPr>
                <w:rFonts w:ascii="AdvPi3" w:hAnsi="AdvPi3" w:eastAsia="AdvPi3"/>
                <w:b w:val="0"/>
                <w:i w:val="0"/>
                <w:color w:val="000000"/>
                <w:sz w:val="25"/>
              </w:rPr>
              <w:t>*</w:t>
            </w:r>
          </w:p>
        </w:tc>
        <w:tc>
          <w:tcPr>
            <w:tcW w:type="dxa" w:w="2210"/>
            <w:tcBorders>
              <w:top w:sz="4.0" w:val="single" w:color="#1B4BA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168" w:after="0"/>
              <w:ind w:left="36" w:right="0" w:firstLine="0"/>
              <w:jc w:val="left"/>
            </w:pPr>
            <w:r>
              <w:rPr>
                <w:rFonts w:ascii="AdvTT7b58c9e2" w:hAnsi="AdvTT7b58c9e2" w:eastAsia="AdvTT7b58c9e2"/>
                <w:b w:val="0"/>
                <w:i w:val="0"/>
                <w:color w:val="000000"/>
                <w:sz w:val="16"/>
              </w:rPr>
              <w:hyperlink r:id="rId24" w:history="1">
                <w:r>
                  <w:rPr>
                    <w:rStyle w:val="Hyperlink"/>
                  </w:rPr>
                  <w:t>Supporting Information</w:t>
                </w:r>
              </w:hyperlink>
            </w:r>
          </w:p>
        </w:tc>
      </w:tr>
      <w:tr>
        <w:trPr>
          <w:trHeight w:hRule="exact" w:val="3760"/>
        </w:trPr>
        <w:tc>
          <w:tcPr>
            <w:tcW w:type="dxa" w:w="942"/>
            <w:vMerge/>
            <w:tcBorders>
              <w:top w:sz="4.0" w:val="single" w:color="#1B4BA0"/>
            </w:tcBorders>
          </w:tcPr>
          <w:p/>
        </w:tc>
        <w:tc>
          <w:tcPr>
            <w:tcW w:type="dxa" w:w="10080"/>
            <w:gridSpan w:val="11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34" w:after="0"/>
              <w:ind w:left="0" w:right="4112" w:firstLine="0"/>
              <w:jc w:val="both"/>
            </w:pPr>
            <w:r>
              <w:rPr>
                <w:rFonts w:ascii="AdvOT51c1769e" w:hAnsi="AdvOT51c1769e" w:eastAsia="AdvOT51c1769e"/>
                <w:b w:val="0"/>
                <w:i w:val="0"/>
                <w:color w:val="27903A"/>
                <w:sz w:val="20"/>
              </w:rPr>
              <w:t>ABSTRACT: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Ferroelectric memories based on hafnium oxide are an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attractive alternative to conventional memory technologies due to their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scalability and energy e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>ffi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ciency. However, there are still many open questions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regarding the optimal material stack and processing conditions for reliable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device performance. Here, we report on the impact of the sputtering process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conditions of the commonly used TiN top electrode on the ferroelectric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properties of Hf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1</w:t>
            </w:r>
            <w:r>
              <w:rPr>
                <w:w w:val="103.07692014254057"/>
                <w:rFonts w:ascii="22" w:hAnsi="22" w:eastAsia="22"/>
                <w:b w:val="0"/>
                <w:i w:val="0"/>
                <w:color w:val="000000"/>
                <w:sz w:val="13"/>
              </w:rPr>
              <w:t>−</w:t>
            </w:r>
            <w:r>
              <w:rPr>
                <w:w w:val="103.07692014254057"/>
                <w:rFonts w:ascii="AdvOT02ce3bbb.I" w:hAnsi="AdvOT02ce3bbb.I" w:eastAsia="AdvOT02ce3bbb.I"/>
                <w:b w:val="0"/>
                <w:i w:val="0"/>
                <w:color w:val="000000"/>
                <w:sz w:val="13"/>
              </w:rPr>
              <w:t>x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Zr</w:t>
            </w:r>
            <w:r>
              <w:rPr>
                <w:w w:val="103.07692014254057"/>
                <w:rFonts w:ascii="AdvOT02ce3bbb.I" w:hAnsi="AdvOT02ce3bbb.I" w:eastAsia="AdvOT02ce3bbb.I"/>
                <w:b w:val="0"/>
                <w:i w:val="0"/>
                <w:color w:val="000000"/>
                <w:sz w:val="13"/>
              </w:rPr>
              <w:t>x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. By manipulating the deposition pressure and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chemistry, we control the preferential orientation of the TiN grains between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(111) and (002). We observe that (111) textured TiN is superior to (002)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texturing for achieving high remanent polarization (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>P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r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). Furthermore, we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nd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that additional nitrogen supply during TiN deposition leads to &gt;5</w:t>
            </w:r>
            <w:r>
              <w:rPr>
                <w:rFonts w:ascii="AdvOT8608a8d1" w:hAnsi="AdvOT8608a8d1" w:eastAsia="AdvOT8608a8d1"/>
                <w:b w:val="0"/>
                <w:i w:val="0"/>
                <w:color w:val="000000"/>
                <w:sz w:val="20"/>
              </w:rPr>
              <w:t>×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greater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endurance, possibly by limiting the scavenging of oxygen from the Hf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1</w:t>
            </w:r>
            <w:r>
              <w:rPr>
                <w:w w:val="103.07692014254057"/>
                <w:rFonts w:ascii="22" w:hAnsi="22" w:eastAsia="22"/>
                <w:b w:val="0"/>
                <w:i w:val="0"/>
                <w:color w:val="000000"/>
                <w:sz w:val="13"/>
              </w:rPr>
              <w:t>−</w:t>
            </w:r>
            <w:r>
              <w:rPr>
                <w:w w:val="103.07692014254057"/>
                <w:rFonts w:ascii="AdvOT02ce3bbb.I" w:hAnsi="AdvOT02ce3bbb.I" w:eastAsia="AdvOT02ce3bbb.I"/>
                <w:b w:val="0"/>
                <w:i w:val="0"/>
                <w:color w:val="000000"/>
                <w:sz w:val="13"/>
              </w:rPr>
              <w:t>x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Zr</w:t>
            </w:r>
            <w:r>
              <w:rPr>
                <w:w w:val="103.07692014254057"/>
                <w:rFonts w:ascii="AdvOT02ce3bbb.I" w:hAnsi="AdvOT02ce3bbb.I" w:eastAsia="AdvOT02ce3bbb.I"/>
                <w:b w:val="0"/>
                <w:i w:val="0"/>
                <w:color w:val="000000"/>
                <w:sz w:val="13"/>
              </w:rPr>
              <w:t>x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 xml:space="preserve">2 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>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lm. These results help explain the large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 xml:space="preserve"> P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r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variation reported in the literature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for Hf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1</w:t>
            </w:r>
            <w:r>
              <w:rPr>
                <w:w w:val="103.07692014254057"/>
                <w:rFonts w:ascii="22" w:hAnsi="22" w:eastAsia="22"/>
                <w:b w:val="0"/>
                <w:i w:val="0"/>
                <w:color w:val="000000"/>
                <w:sz w:val="13"/>
              </w:rPr>
              <w:t>−</w:t>
            </w:r>
            <w:r>
              <w:rPr>
                <w:w w:val="103.07692014254057"/>
                <w:rFonts w:ascii="AdvOT02ce3bbb.I" w:hAnsi="AdvOT02ce3bbb.I" w:eastAsia="AdvOT02ce3bbb.I"/>
                <w:b w:val="0"/>
                <w:i w:val="0"/>
                <w:color w:val="000000"/>
                <w:sz w:val="13"/>
              </w:rPr>
              <w:t>x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Zr</w:t>
            </w:r>
            <w:r>
              <w:rPr>
                <w:w w:val="103.07692014254057"/>
                <w:rFonts w:ascii="AdvOT02ce3bbb.I" w:hAnsi="AdvOT02ce3bbb.I" w:eastAsia="AdvOT02ce3bbb.I"/>
                <w:b w:val="0"/>
                <w:i w:val="0"/>
                <w:color w:val="000000"/>
                <w:sz w:val="13"/>
              </w:rPr>
              <w:t>x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/TiN and highlights the necessity of tuning the top electrode of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the ferroelectric stack for successful device implementation.</w:t>
            </w:r>
          </w:p>
          <w:p>
            <w:pPr>
              <w:autoSpaceDN w:val="0"/>
              <w:autoSpaceDE w:val="0"/>
              <w:widowControl/>
              <w:spacing w:line="260" w:lineRule="exact" w:before="24" w:after="0"/>
              <w:ind w:left="0" w:right="0" w:firstLine="0"/>
              <w:jc w:val="left"/>
            </w:pPr>
            <w:r>
              <w:rPr>
                <w:rFonts w:ascii="AdvOT51c1769e" w:hAnsi="AdvOT51c1769e" w:eastAsia="AdvOT51c1769e"/>
                <w:b w:val="0"/>
                <w:i w:val="0"/>
                <w:color w:val="27903A"/>
                <w:sz w:val="20"/>
              </w:rPr>
              <w:t>KEYWORDS: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 xml:space="preserve"> hafnium oxide, III</w:t>
            </w:r>
            <w:r>
              <w:rPr>
                <w:rFonts w:ascii="22" w:hAnsi="22" w:eastAsia="22"/>
                <w:b w:val="0"/>
                <w:i w:val="0"/>
                <w:color w:val="000000"/>
                <w:sz w:val="20"/>
              </w:rPr>
              <w:t>−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>V, ferroelectric FET, ferroelectric tunnel junction, thin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>lms, CMOS integration</w:t>
            </w:r>
          </w:p>
        </w:tc>
      </w:tr>
      <w:tr>
        <w:trPr>
          <w:trHeight w:hRule="exact" w:val="3000"/>
        </w:trPr>
        <w:tc>
          <w:tcPr>
            <w:tcW w:type="dxa" w:w="942"/>
            <w:vMerge/>
            <w:tcBorders>
              <w:top w:sz="4.0" w:val="single" w:color="#1B4BA0"/>
            </w:tcBorders>
          </w:tcPr>
          <w:p/>
        </w:tc>
        <w:tc>
          <w:tcPr>
            <w:tcW w:type="dxa" w:w="479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490" w:after="0"/>
              <w:ind w:left="0" w:right="0" w:firstLine="0"/>
              <w:jc w:val="left"/>
            </w:pPr>
            <w:r>
              <w:rPr>
                <w:rFonts w:ascii="25" w:hAnsi="25" w:eastAsia="25"/>
                <w:b w:val="0"/>
                <w:i w:val="0"/>
                <w:color w:val="27903A"/>
                <w:sz w:val="64"/>
              </w:rPr>
              <w:t>■</w:t>
            </w:r>
            <w:r>
              <w:rPr>
                <w:rFonts w:ascii="AdvOTce3d9a73" w:hAnsi="AdvOTce3d9a73" w:eastAsia="AdvOTce3d9a73"/>
                <w:b w:val="0"/>
                <w:i w:val="0"/>
                <w:color w:val="27903A"/>
                <w:sz w:val="21"/>
              </w:rPr>
              <w:t xml:space="preserve">INTRODUCTION </w:t>
            </w:r>
            <w:r>
              <w:br/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Ferroelectricity in HfO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has since its discovery in 2011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1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been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attracting strong interest for applications in nonvolatile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memories and negative-capacitance transistors due to its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strong remanent polarization (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>P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r</w:t>
            </w:r>
            <w:r>
              <w:rPr>
                <w:rFonts w:ascii="22" w:hAnsi="22" w:eastAsia="22"/>
                <w:b w:val="0"/>
                <w:i w:val="0"/>
                <w:color w:val="000000"/>
                <w:sz w:val="20"/>
              </w:rPr>
              <w:t xml:space="preserve"> ∼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20</w:t>
            </w:r>
            <w:r>
              <w:rPr>
                <w:rFonts w:ascii="22" w:hAnsi="22" w:eastAsia="22"/>
                <w:b w:val="0"/>
                <w:i w:val="0"/>
                <w:color w:val="000000"/>
                <w:sz w:val="20"/>
              </w:rPr>
              <w:t>−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30</w:t>
            </w:r>
            <w:r>
              <w:rPr>
                <w:rFonts w:ascii="03" w:hAnsi="03" w:eastAsia="03"/>
                <w:b w:val="0"/>
                <w:i w:val="0"/>
                <w:color w:val="000000"/>
                <w:sz w:val="20"/>
              </w:rPr>
              <w:t xml:space="preserve"> μ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C/cm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) and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high coercive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eld (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>E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c</w:t>
            </w:r>
            <w:r>
              <w:rPr>
                <w:rFonts w:ascii="22" w:hAnsi="22" w:eastAsia="22"/>
                <w:b w:val="0"/>
                <w:i w:val="0"/>
                <w:color w:val="000000"/>
                <w:sz w:val="20"/>
              </w:rPr>
              <w:t xml:space="preserve"> ∼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1</w:t>
            </w:r>
            <w:r>
              <w:rPr>
                <w:rFonts w:ascii="22" w:hAnsi="22" w:eastAsia="22"/>
                <w:b w:val="0"/>
                <w:i w:val="0"/>
                <w:color w:val="000000"/>
                <w:sz w:val="20"/>
              </w:rPr>
              <w:t>−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2 MV/cm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), as well as being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compatible with and already used in complementary metal-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oxide semiconductor technology. In addition, ferroelectric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(FE) HfO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can exhibit memristive behavior in ferroelectric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tunnel junctions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(FTJs) and ferroelectric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eld e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>ff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ect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transistors (FeFETs),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3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which indicates its potential for</w:t>
            </w:r>
          </w:p>
        </w:tc>
        <w:tc>
          <w:tcPr>
            <w:tcW w:type="dxa" w:w="529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430" w:after="0"/>
              <w:ind w:left="490" w:right="0" w:firstLine="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appropriate TE can thus enhance the FE properties of HfO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.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There has since been extensive research exploring various TEs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such as Pt,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6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Mo,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7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W,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8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TaN,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9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and RuO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,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10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but reactively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sputtered TiN is prominent.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1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000000"/>
                <w:sz w:val="14"/>
              </w:rPr>
              <w:t>,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2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000000"/>
                <w:sz w:val="14"/>
              </w:rPr>
              <w:t>,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5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000000"/>
                <w:sz w:val="14"/>
              </w:rPr>
              <w:t>,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11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Even so, reports are scarce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on the e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>ff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ect of varying its microstructure. Deposition</w:t>
            </w:r>
          </w:p>
          <w:p>
            <w:pPr>
              <w:autoSpaceDN w:val="0"/>
              <w:autoSpaceDE w:val="0"/>
              <w:widowControl/>
              <w:spacing w:line="238" w:lineRule="exact" w:before="0" w:after="0"/>
              <w:ind w:left="490" w:right="0" w:firstLine="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conditions such as plasma power, pressure, and gas mixture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can strongly in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>fl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uence the microstructure of metals deposited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by reactive sputtering, which in turn can a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>ff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ect the strain in the 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>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lm.</w:t>
            </w:r>
          </w:p>
          <w:p>
            <w:pPr>
              <w:autoSpaceDN w:val="0"/>
              <w:autoSpaceDE w:val="0"/>
              <w:widowControl/>
              <w:spacing w:line="224" w:lineRule="exact" w:before="6" w:after="0"/>
              <w:ind w:left="67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In this work, we study the impact of processing conditions</w:t>
            </w:r>
          </w:p>
          <w:p>
            <w:pPr>
              <w:autoSpaceDN w:val="0"/>
              <w:autoSpaceDE w:val="0"/>
              <w:widowControl/>
              <w:spacing w:line="224" w:lineRule="exact" w:before="2" w:after="0"/>
              <w:ind w:left="49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for reactively sputtered TiN, when used as a TE for FE</w:t>
            </w:r>
          </w:p>
        </w:tc>
      </w:tr>
      <w:tr>
        <w:trPr>
          <w:trHeight w:hRule="exact" w:val="2060"/>
        </w:trPr>
        <w:tc>
          <w:tcPr>
            <w:tcW w:type="dxa" w:w="942"/>
            <w:vMerge/>
            <w:tcBorders>
              <w:top w:sz="4.0" w:val="single" w:color="#1B4BA0"/>
            </w:tcBorders>
          </w:tcPr>
          <w:p/>
        </w:tc>
        <w:tc>
          <w:tcPr>
            <w:tcW w:type="dxa" w:w="4790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exact" w:before="0" w:after="0"/>
              <w:ind w:left="0" w:right="0" w:firstLine="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application in neuromorphic computation. The ferroelectricity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in HfO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is believed to originate from a noncentrosymmetric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orthorhombic phase (o-phase)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 xml:space="preserve"> Pca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2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1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, formed when a thin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HfO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lm is crystallized under the appropriate stress and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annealing conditions. It has been demonstrated that a tensile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in-plane stress in the HfO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induces a transition from the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tetragonal phase (t-phase) to the preferred o-phase, thus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leading to ferroelectricity.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4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This is commonly achieved by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doping the HfO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and has been accomplished with a wide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variety of dopants, with Zr being the most common due to its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wide range of doping concentrations, yielding FE properties.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 xml:space="preserve">5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Apart from suitable doping, Bo</w:t>
            </w:r>
            <w:r>
              <w:rPr>
                <w:rFonts w:ascii="03" w:hAnsi="03" w:eastAsia="03"/>
                <w:b w:val="0"/>
                <w:i w:val="0"/>
                <w:color w:val="000000"/>
                <w:sz w:val="20"/>
              </w:rPr>
              <w:t>̈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scke et al. highlighted the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importance of the top electrode (TE) and its capping ability in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achieving the o-phase.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1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It is believed that similar to the</w:t>
            </w:r>
          </w:p>
        </w:tc>
        <w:tc>
          <w:tcPr>
            <w:tcW w:type="dxa" w:w="529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34" w:after="0"/>
              <w:ind w:left="490" w:right="0" w:firstLine="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Hf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1</w:t>
            </w:r>
            <w:r>
              <w:rPr>
                <w:w w:val="103.07692014254057"/>
                <w:rFonts w:ascii="22" w:hAnsi="22" w:eastAsia="22"/>
                <w:b w:val="0"/>
                <w:i w:val="0"/>
                <w:color w:val="000000"/>
                <w:sz w:val="13"/>
              </w:rPr>
              <w:t>−</w:t>
            </w:r>
            <w:r>
              <w:rPr>
                <w:w w:val="103.07692014254057"/>
                <w:rFonts w:ascii="AdvOT02ce3bbb.I" w:hAnsi="AdvOT02ce3bbb.I" w:eastAsia="AdvOT02ce3bbb.I"/>
                <w:b w:val="0"/>
                <w:i w:val="0"/>
                <w:color w:val="000000"/>
                <w:sz w:val="13"/>
              </w:rPr>
              <w:t>x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Zr</w:t>
            </w:r>
            <w:r>
              <w:rPr>
                <w:w w:val="103.07692014254057"/>
                <w:rFonts w:ascii="AdvOT02ce3bbb.I" w:hAnsi="AdvOT02ce3bbb.I" w:eastAsia="AdvOT02ce3bbb.I"/>
                <w:b w:val="0"/>
                <w:i w:val="0"/>
                <w:color w:val="000000"/>
                <w:sz w:val="13"/>
              </w:rPr>
              <w:t>x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. By employing a combination of electrical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characterization and grazing incidence X-ray di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>ff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raction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(GIXRD), we reveal the importance of (111) textured TiN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in achieving FE Hf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1</w:t>
            </w:r>
            <w:r>
              <w:rPr>
                <w:w w:val="103.07692014254057"/>
                <w:rFonts w:ascii="22" w:hAnsi="22" w:eastAsia="22"/>
                <w:b w:val="0"/>
                <w:i w:val="0"/>
                <w:color w:val="000000"/>
                <w:sz w:val="13"/>
              </w:rPr>
              <w:t>−</w:t>
            </w:r>
            <w:r>
              <w:rPr>
                <w:w w:val="103.07692014254057"/>
                <w:rFonts w:ascii="AdvOT02ce3bbb.I" w:hAnsi="AdvOT02ce3bbb.I" w:eastAsia="AdvOT02ce3bbb.I"/>
                <w:b w:val="0"/>
                <w:i w:val="0"/>
                <w:color w:val="000000"/>
                <w:sz w:val="13"/>
              </w:rPr>
              <w:t>x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Zr</w:t>
            </w:r>
            <w:r>
              <w:rPr>
                <w:w w:val="103.07692014254057"/>
                <w:rFonts w:ascii="AdvOT02ce3bbb.I" w:hAnsi="AdvOT02ce3bbb.I" w:eastAsia="AdvOT02ce3bbb.I"/>
                <w:b w:val="0"/>
                <w:i w:val="0"/>
                <w:color w:val="000000"/>
                <w:sz w:val="13"/>
              </w:rPr>
              <w:t>x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. We further use X-ray photo-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electron spectroscopy (XPS) and near-edge X-ray absorption 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>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ne structure to strengthen our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ndings. A deepened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understanding of the impact of the TE will provide improved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reproducibility and performance of HfO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-based FE devices.</w:t>
            </w:r>
          </w:p>
        </w:tc>
      </w:tr>
      <w:tr>
        <w:trPr>
          <w:trHeight w:hRule="exact" w:val="360"/>
        </w:trPr>
        <w:tc>
          <w:tcPr>
            <w:tcW w:type="dxa" w:w="942"/>
            <w:vMerge/>
            <w:tcBorders>
              <w:top w:sz="4.0" w:val="single" w:color="#1B4BA0"/>
            </w:tcBorders>
          </w:tcPr>
          <w:p/>
        </w:tc>
        <w:tc>
          <w:tcPr>
            <w:tcW w:type="dxa" w:w="4710"/>
            <w:gridSpan w:val="5"/>
            <w:vMerge/>
            <w:tcBorders/>
          </w:tcPr>
          <w:p/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156" w:after="0"/>
              <w:ind w:left="0" w:right="0" w:firstLine="0"/>
              <w:jc w:val="right"/>
            </w:pPr>
            <w:r>
              <w:rPr>
                <w:rFonts w:ascii="AdvOT51c1769e" w:hAnsi="AdvOT51c1769e" w:eastAsia="AdvOT51c1769e"/>
                <w:b w:val="0"/>
                <w:i w:val="0"/>
                <w:color w:val="27903A"/>
                <w:sz w:val="18"/>
              </w:rPr>
              <w:t>Received:</w:t>
            </w:r>
          </w:p>
        </w:tc>
        <w:tc>
          <w:tcPr>
            <w:tcW w:type="dxa" w:w="411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156" w:after="0"/>
              <w:ind w:left="18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January 26, 2021</w:t>
            </w:r>
          </w:p>
        </w:tc>
      </w:tr>
      <w:tr>
        <w:trPr>
          <w:trHeight w:hRule="exact" w:val="220"/>
        </w:trPr>
        <w:tc>
          <w:tcPr>
            <w:tcW w:type="dxa" w:w="942"/>
            <w:vMerge/>
            <w:tcBorders>
              <w:top w:sz="4.0" w:val="single" w:color="#1B4BA0"/>
            </w:tcBorders>
          </w:tcPr>
          <w:p/>
        </w:tc>
        <w:tc>
          <w:tcPr>
            <w:tcW w:type="dxa" w:w="4710"/>
            <w:gridSpan w:val="5"/>
            <w:vMerge/>
            <w:tcBorders/>
          </w:tcPr>
          <w:p/>
        </w:tc>
        <w:tc>
          <w:tcPr>
            <w:tcW w:type="dxa" w:w="1282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16" w:after="0"/>
              <w:ind w:left="0" w:right="76" w:firstLine="0"/>
              <w:jc w:val="right"/>
            </w:pPr>
            <w:r>
              <w:rPr>
                <w:rFonts w:ascii="AdvOT51c1769e" w:hAnsi="AdvOT51c1769e" w:eastAsia="AdvOT51c1769e"/>
                <w:b w:val="0"/>
                <w:i w:val="0"/>
                <w:color w:val="27903A"/>
                <w:sz w:val="18"/>
              </w:rPr>
              <w:t>Accepted:</w:t>
            </w:r>
          </w:p>
        </w:tc>
        <w:tc>
          <w:tcPr>
            <w:tcW w:type="dxa" w:w="4008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16" w:after="0"/>
              <w:ind w:left="78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February 14, 2021</w:t>
            </w:r>
          </w:p>
        </w:tc>
      </w:tr>
      <w:tr>
        <w:trPr>
          <w:trHeight w:hRule="exact" w:val="510"/>
        </w:trPr>
        <w:tc>
          <w:tcPr>
            <w:tcW w:type="dxa" w:w="942"/>
            <w:vMerge/>
            <w:tcBorders>
              <w:top w:sz="4.0" w:val="single" w:color="#1B4BA0"/>
            </w:tcBorders>
          </w:tcPr>
          <w:p/>
        </w:tc>
        <w:tc>
          <w:tcPr>
            <w:tcW w:type="dxa" w:w="4710"/>
            <w:gridSpan w:val="5"/>
            <w:vMerge/>
            <w:tcBorders/>
          </w:tcPr>
          <w:p/>
        </w:tc>
        <w:tc>
          <w:tcPr>
            <w:tcW w:type="dxa" w:w="529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16" w:after="0"/>
              <w:ind w:left="490" w:right="0" w:firstLine="0"/>
              <w:jc w:val="left"/>
            </w:pPr>
            <w:r>
              <w:rPr>
                <w:rFonts w:ascii="AdvOT51c1769e" w:hAnsi="AdvOT51c1769e" w:eastAsia="AdvOT51c1769e"/>
                <w:b w:val="0"/>
                <w:i w:val="0"/>
                <w:color w:val="27903A"/>
                <w:sz w:val="18"/>
              </w:rPr>
              <w:t>Published: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 February 24, 2021</w:t>
            </w:r>
          </w:p>
        </w:tc>
      </w:tr>
      <w:tr>
        <w:trPr>
          <w:trHeight w:hRule="exact" w:val="530"/>
        </w:trPr>
        <w:tc>
          <w:tcPr>
            <w:tcW w:type="dxa" w:w="942"/>
            <w:vMerge/>
            <w:tcBorders>
              <w:top w:sz="4.0" w:val="single" w:color="#1B4BA0"/>
            </w:tcBorders>
          </w:tcPr>
          <w:p/>
        </w:tc>
        <w:tc>
          <w:tcPr>
            <w:tcW w:type="dxa" w:w="10080"/>
            <w:gridSpan w:val="11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0" w:after="0"/>
              <w:ind w:left="0" w:right="5184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addition of dopants, the TE induces stress on the underlying </w:t>
            </w:r>
            <w:r>
              <w:br/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Hf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1</w:t>
            </w:r>
            <w:r>
              <w:rPr>
                <w:w w:val="103.07692014254057"/>
                <w:rFonts w:ascii="22" w:hAnsi="22" w:eastAsia="22"/>
                <w:b w:val="0"/>
                <w:i w:val="0"/>
                <w:color w:val="000000"/>
                <w:sz w:val="13"/>
              </w:rPr>
              <w:t>−</w:t>
            </w:r>
            <w:r>
              <w:rPr>
                <w:w w:val="103.07692014254057"/>
                <w:rFonts w:ascii="AdvOT02ce3bbb.I" w:hAnsi="AdvOT02ce3bbb.I" w:eastAsia="AdvOT02ce3bbb.I"/>
                <w:b w:val="0"/>
                <w:i w:val="0"/>
                <w:color w:val="000000"/>
                <w:sz w:val="13"/>
              </w:rPr>
              <w:t>x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Zr</w:t>
            </w:r>
            <w:r>
              <w:rPr>
                <w:w w:val="103.07692014254057"/>
                <w:rFonts w:ascii="AdvOT02ce3bbb.I" w:hAnsi="AdvOT02ce3bbb.I" w:eastAsia="AdvOT02ce3bbb.I"/>
                <w:b w:val="0"/>
                <w:i w:val="0"/>
                <w:color w:val="000000"/>
                <w:sz w:val="13"/>
              </w:rPr>
              <w:t>x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lm during annealing. The choice of an</w:t>
            </w:r>
          </w:p>
        </w:tc>
      </w:tr>
      <w:tr>
        <w:trPr>
          <w:trHeight w:hRule="exact" w:val="560"/>
        </w:trPr>
        <w:tc>
          <w:tcPr>
            <w:tcW w:type="dxa" w:w="942"/>
            <w:vMerge/>
            <w:tcBorders>
              <w:top w:sz="4.0" w:val="single" w:color="#1B4BA0"/>
            </w:tcBorders>
          </w:tcPr>
          <w:p/>
        </w:tc>
        <w:tc>
          <w:tcPr>
            <w:tcW w:type="dxa" w:w="251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0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473200" cy="2921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3200" cy="2921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16" w:lineRule="exact" w:before="104" w:after="0"/>
              <w:ind w:left="624" w:right="0" w:hanging="392"/>
              <w:jc w:val="left"/>
            </w:pPr>
            <w:r>
              <w:rPr>
                <w:w w:val="96.92307985745944"/>
                <w:rFonts w:ascii="AdvOT46dcae81" w:hAnsi="AdvOT46dcae81" w:eastAsia="AdvOT46dcae81"/>
                <w:b w:val="0"/>
                <w:i w:val="0"/>
                <w:color w:val="000000"/>
                <w:sz w:val="13"/>
              </w:rPr>
              <w:t xml:space="preserve">© 2021 The Authors. Published by </w:t>
            </w:r>
            <w:r>
              <w:rPr>
                <w:w w:val="96.92307985745944"/>
                <w:rFonts w:ascii="AdvOT46dcae81" w:hAnsi="AdvOT46dcae81" w:eastAsia="AdvOT46dcae81"/>
                <w:b w:val="0"/>
                <w:i w:val="0"/>
                <w:color w:val="000000"/>
                <w:sz w:val="13"/>
              </w:rPr>
              <w:t>American Chemical Society</w:t>
            </w:r>
          </w:p>
        </w:tc>
        <w:tc>
          <w:tcPr>
            <w:tcW w:type="dxa" w:w="2386"/>
            <w:gridSpan w:val="4"/>
            <w:tcBorders>
              <w:end w:sz="4.0" w:val="single" w:color="#1B4BA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294" w:after="0"/>
              <w:ind w:left="156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000000"/>
                <w:sz w:val="15"/>
              </w:rPr>
              <w:t>11089</w:t>
            </w:r>
          </w:p>
        </w:tc>
        <w:tc>
          <w:tcPr>
            <w:tcW w:type="dxa" w:w="3012"/>
            <w:gridSpan w:val="3"/>
            <w:tcBorders>
              <w:start w:sz="4.0" w:val="single" w:color="#1B4BA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168" w:after="0"/>
              <w:ind w:left="432" w:right="0" w:firstLine="430"/>
              <w:jc w:val="left"/>
            </w:pPr>
            <w:r>
              <w:rPr>
                <w:rFonts w:ascii="AdvOT46dcae81" w:hAnsi="AdvOT46dcae81" w:eastAsia="AdvOT46dcae81"/>
                <w:b w:val="0"/>
                <w:i w:val="0"/>
                <w:color w:val="1B4BA0"/>
                <w:sz w:val="12"/>
              </w:rPr>
              <w:hyperlink r:id="rId26" w:history="1">
                <w:r>
                  <w:rPr>
                    <w:rStyle w:val="Hyperlink"/>
                  </w:rPr>
                  <w:t xml:space="preserve">https://dx.doi.org/10.1021/acsami.1c01734 </w:t>
                </w:r>
              </w:hyperlink>
            </w:r>
            <w:r>
              <w:rPr>
                <w:rFonts w:ascii="AdvOT65f8a23b.I" w:hAnsi="AdvOT65f8a23b.I" w:eastAsia="AdvOT65f8a23b.I"/>
                <w:b w:val="0"/>
                <w:i w:val="0"/>
                <w:color w:val="000000"/>
                <w:sz w:val="12"/>
              </w:rPr>
              <w:t>ACS App</w:t>
            </w:r>
            <w:r>
              <w:rPr>
                <w:rFonts w:ascii="AdvOT65f8a23b.I" w:hAnsi="AdvOT65f8a23b.I" w:eastAsia="AdvOT65f8a23b.I"/>
                <w:b w:val="0"/>
                <w:i w:val="0"/>
                <w:color w:val="000000"/>
                <w:sz w:val="12"/>
              </w:rPr>
              <w:hyperlink r:id="rId26" w:history="1">
                <w:r>
                  <w:rPr>
                    <w:rStyle w:val="Hyperlink"/>
                  </w:rPr>
                  <w:t>l. Mater. Interfaces</w:t>
                </w:r>
              </w:hyperlink>
            </w:r>
            <w:r>
              <w:rPr>
                <w:rFonts w:ascii="AdvOT46dcae81" w:hAnsi="AdvOT46dcae81" w:eastAsia="AdvOT46dcae81"/>
                <w:b w:val="0"/>
                <w:i w:val="0"/>
                <w:color w:val="000000"/>
                <w:sz w:val="12"/>
              </w:rPr>
              <w:hyperlink r:id="rId26" w:history="1">
                <w:r>
                  <w:rPr>
                    <w:rStyle w:val="Hyperlink"/>
                  </w:rPr>
                  <w:t xml:space="preserve"> 2021, 13, 11089</w:t>
                </w:r>
              </w:hyperlink>
            </w:r>
            <w:r>
              <w:rPr>
                <w:rFonts w:ascii="22" w:hAnsi="22" w:eastAsia="22"/>
                <w:b w:val="0"/>
                <w:i w:val="0"/>
                <w:color w:val="000000"/>
                <w:sz w:val="12"/>
              </w:rPr>
              <w:hyperlink r:id="rId26" w:history="1">
                <w:r>
                  <w:rPr>
                    <w:rStyle w:val="Hyperlink"/>
                  </w:rPr>
                  <w:t>−</w:t>
                </w:r>
              </w:hyperlink>
            </w:r>
            <w:r>
              <w:rPr>
                <w:rFonts w:ascii="AdvOT46dcae81" w:hAnsi="AdvOT46dcae81" w:eastAsia="AdvOT46dcae81"/>
                <w:b w:val="0"/>
                <w:i w:val="0"/>
                <w:color w:val="000000"/>
                <w:sz w:val="12"/>
              </w:rPr>
              <w:hyperlink r:id="rId26" w:history="1">
                <w:r>
                  <w:rPr>
                    <w:rStyle w:val="Hyperlink"/>
                  </w:rPr>
                  <w:t>11095</w:t>
                </w:r>
              </w:hyperlink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509" w:h="16367"/>
          <w:pgMar w:top="420" w:right="1198" w:bottom="274" w:left="12" w:header="720" w:footer="720" w:gutter="0"/>
          <w:cols w:space="720" w:num="1" w:equalWidth="0">
            <w:col w:w="1129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443"/>
        <w:gridCol w:w="1443"/>
        <w:gridCol w:w="1443"/>
        <w:gridCol w:w="1443"/>
        <w:gridCol w:w="1443"/>
        <w:gridCol w:w="1443"/>
        <w:gridCol w:w="1443"/>
      </w:tblGrid>
      <w:tr>
        <w:trPr>
          <w:trHeight w:hRule="exact" w:val="230"/>
        </w:trPr>
        <w:tc>
          <w:tcPr>
            <w:tcW w:type="dxa" w:w="480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8" w:lineRule="exact" w:before="0" w:after="0"/>
              <w:ind w:left="0" w:right="1584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27903A"/>
                <w:sz w:val="20"/>
              </w:rPr>
              <w:t>ACS Applied Materials &amp; Interfaces</w:t>
            </w:r>
            <w:r>
              <w:rPr>
                <w:rFonts w:ascii="25" w:hAnsi="25" w:eastAsia="25"/>
                <w:b w:val="0"/>
                <w:i w:val="0"/>
                <w:color w:val="27903A"/>
                <w:sz w:val="64"/>
              </w:rPr>
              <w:t>■</w:t>
            </w:r>
            <w:r>
              <w:rPr>
                <w:rFonts w:ascii="AdvOTce3d9a73" w:hAnsi="AdvOTce3d9a73" w:eastAsia="AdvOTce3d9a73"/>
                <w:b w:val="0"/>
                <w:i w:val="0"/>
                <w:color w:val="27903A"/>
                <w:sz w:val="21"/>
              </w:rPr>
              <w:t>EXPERIMENTAL SECTION</w:t>
            </w:r>
          </w:p>
          <w:p>
            <w:pPr>
              <w:autoSpaceDN w:val="0"/>
              <w:autoSpaceDE w:val="0"/>
              <w:widowControl/>
              <w:spacing w:line="234" w:lineRule="exact" w:before="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Metal</w:t>
            </w:r>
            <w:r>
              <w:rPr>
                <w:rFonts w:ascii="22" w:hAnsi="22" w:eastAsia="22"/>
                <w:b w:val="0"/>
                <w:i w:val="0"/>
                <w:color w:val="000000"/>
                <w:sz w:val="18"/>
              </w:rPr>
              <w:t>−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insulator</w:t>
            </w:r>
            <w:r>
              <w:rPr>
                <w:rFonts w:ascii="22" w:hAnsi="22" w:eastAsia="22"/>
                <w:b w:val="0"/>
                <w:i w:val="0"/>
                <w:color w:val="000000"/>
                <w:sz w:val="18"/>
              </w:rPr>
              <w:t>−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semiconductor (MIS) capacitors were fabricated on</w:t>
            </w:r>
          </w:p>
          <w:p>
            <w:pPr>
              <w:autoSpaceDN w:val="0"/>
              <w:autoSpaceDE w:val="0"/>
              <w:widowControl/>
              <w:spacing w:line="254" w:lineRule="exact" w:before="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an InAs(100) substrate (</w:t>
            </w:r>
            <w:r>
              <w:rPr>
                <w:rFonts w:ascii="03" w:hAnsi="03" w:eastAsia="03"/>
                <w:b w:val="0"/>
                <w:i w:val="0"/>
                <w:color w:val="000000"/>
                <w:sz w:val="18"/>
              </w:rPr>
              <w:t>ρ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 = 3</w:t>
            </w:r>
            <w:r>
              <w:rPr>
                <w:rFonts w:ascii="AdvOT8608a8d1" w:hAnsi="AdvOT8608a8d1" w:eastAsia="AdvOT8608a8d1"/>
                <w:b w:val="0"/>
                <w:i w:val="0"/>
                <w:color w:val="000000"/>
                <w:sz w:val="18"/>
              </w:rPr>
              <w:t xml:space="preserve"> ×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 10</w:t>
            </w:r>
            <w:r>
              <w:rPr>
                <w:rFonts w:ascii="22" w:hAnsi="22" w:eastAsia="22"/>
                <w:b w:val="0"/>
                <w:i w:val="0"/>
                <w:color w:val="000000"/>
                <w:sz w:val="12"/>
              </w:rPr>
              <w:t>−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t>4</w:t>
            </w:r>
            <w:r>
              <w:rPr>
                <w:rFonts w:ascii="03" w:hAnsi="03" w:eastAsia="03"/>
                <w:b w:val="0"/>
                <w:i w:val="0"/>
                <w:color w:val="000000"/>
                <w:sz w:val="18"/>
              </w:rPr>
              <w:t>Ω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 cm) with a 100 nm thick</w:t>
            </w:r>
          </w:p>
        </w:tc>
        <w:tc>
          <w:tcPr>
            <w:tcW w:type="dxa" w:w="480"/>
            <w:tcBorders>
              <w:bottom w:sz="8.0" w:val="single" w:color="#27903A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3436"/>
            <w:tcBorders>
              <w:bottom w:sz="8.0" w:val="single" w:color="#27903A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28" w:after="0"/>
              <w:ind w:left="42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27903A"/>
                <w:sz w:val="16"/>
              </w:rPr>
              <w:t>www.acsami.org</w:t>
            </w:r>
          </w:p>
        </w:tc>
        <w:tc>
          <w:tcPr>
            <w:tcW w:type="dxa" w:w="1364"/>
            <w:tcBorders>
              <w:bottom w:sz="8.0" w:val="single" w:color="#27903A"/>
            </w:tcBorders>
            <w:shd w:fill="27903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28" w:after="0"/>
              <w:ind w:left="0" w:right="0" w:firstLine="0"/>
              <w:jc w:val="center"/>
            </w:pPr>
            <w:r>
              <w:rPr>
                <w:rFonts w:ascii="AdvOT46dcae81" w:hAnsi="AdvOT46dcae81" w:eastAsia="AdvOT46dcae81"/>
                <w:b w:val="0"/>
                <w:i w:val="0"/>
                <w:color w:val="FFFFFF"/>
                <w:sz w:val="16"/>
              </w:rPr>
              <w:t>Research Article</w:t>
            </w:r>
          </w:p>
        </w:tc>
      </w:tr>
      <w:tr>
        <w:trPr>
          <w:trHeight w:hRule="exact" w:val="864"/>
        </w:trPr>
        <w:tc>
          <w:tcPr>
            <w:tcW w:type="dxa" w:w="5772"/>
            <w:gridSpan w:val="4"/>
            <w:vMerge/>
            <w:tcBorders/>
          </w:tcPr>
          <w:p/>
        </w:tc>
        <w:tc>
          <w:tcPr>
            <w:tcW w:type="dxa" w:w="480"/>
            <w:vMerge w:val="restart"/>
            <w:tcBorders>
              <w:top w:sz="8.0" w:val="single" w:color="#27903A"/>
              <w:bottom w:sz="4.0" w:val="single" w:color="#27903A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4800"/>
            <w:gridSpan w:val="2"/>
            <w:vMerge w:val="restart"/>
            <w:tcBorders>
              <w:top w:sz="8.0" w:val="single" w:color="#27903A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96" w:after="0"/>
              <w:ind w:left="29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794000" cy="158750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4000" cy="1587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182"/>
        </w:trPr>
        <w:tc>
          <w:tcPr>
            <w:tcW w:type="dxa" w:w="480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unintentionally n-doped InAs epilayer by metal-organic vapor-phase</w:t>
            </w:r>
          </w:p>
        </w:tc>
        <w:tc>
          <w:tcPr>
            <w:tcW w:type="dxa" w:w="1443"/>
            <w:vMerge/>
            <w:tcBorders>
              <w:top w:sz="8.0" w:val="single" w:color="#27903A"/>
              <w:bottom w:sz="4.0" w:val="single" w:color="#27903A"/>
            </w:tcBorders>
          </w:tcPr>
          <w:p/>
        </w:tc>
        <w:tc>
          <w:tcPr>
            <w:tcW w:type="dxa" w:w="2886"/>
            <w:gridSpan w:val="2"/>
            <w:vMerge/>
            <w:tcBorders>
              <w:top w:sz="8.0" w:val="single" w:color="#27903A"/>
            </w:tcBorders>
          </w:tcPr>
          <w:p/>
        </w:tc>
      </w:tr>
      <w:tr>
        <w:trPr>
          <w:trHeight w:hRule="exact" w:val="200"/>
        </w:trPr>
        <w:tc>
          <w:tcPr>
            <w:tcW w:type="dxa" w:w="480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epitaxy. The native oxide was removed using BOE (1:10) immediately</w:t>
            </w:r>
          </w:p>
        </w:tc>
        <w:tc>
          <w:tcPr>
            <w:tcW w:type="dxa" w:w="1443"/>
            <w:vMerge/>
            <w:tcBorders>
              <w:top w:sz="8.0" w:val="single" w:color="#27903A"/>
              <w:bottom w:sz="4.0" w:val="single" w:color="#27903A"/>
            </w:tcBorders>
          </w:tcPr>
          <w:p/>
        </w:tc>
        <w:tc>
          <w:tcPr>
            <w:tcW w:type="dxa" w:w="2886"/>
            <w:gridSpan w:val="2"/>
            <w:vMerge/>
            <w:tcBorders>
              <w:top w:sz="8.0" w:val="single" w:color="#27903A"/>
            </w:tcBorders>
          </w:tcPr>
          <w:p/>
        </w:tc>
      </w:tr>
      <w:tr>
        <w:trPr>
          <w:trHeight w:hRule="exact" w:val="600"/>
        </w:trPr>
        <w:tc>
          <w:tcPr>
            <w:tcW w:type="dxa" w:w="480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" w:after="0"/>
              <w:ind w:left="0" w:right="0" w:firstLine="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before loading the samples into a Picosun Sunale R-100 atomic layer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deposition (ALD) chamber to deposit 12 cycles of Al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O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t>3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, (</w:t>
            </w:r>
            <w:r>
              <w:rPr>
                <w:rFonts w:ascii="22" w:hAnsi="22" w:eastAsia="22"/>
                <w:b w:val="0"/>
                <w:i w:val="0"/>
                <w:color w:val="000000"/>
                <w:sz w:val="18"/>
              </w:rPr>
              <w:t>∼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1.2 nm)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using TMAl and water as precursors, followed by 100 cycles (</w:t>
            </w:r>
            <w:r>
              <w:rPr>
                <w:rFonts w:ascii="22" w:hAnsi="22" w:eastAsia="22"/>
                <w:b w:val="0"/>
                <w:i w:val="0"/>
                <w:color w:val="000000"/>
                <w:sz w:val="18"/>
              </w:rPr>
              <w:t>∼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10</w:t>
            </w:r>
          </w:p>
        </w:tc>
        <w:tc>
          <w:tcPr>
            <w:tcW w:type="dxa" w:w="1443"/>
            <w:vMerge/>
            <w:tcBorders>
              <w:top w:sz="8.0" w:val="single" w:color="#27903A"/>
              <w:bottom w:sz="4.0" w:val="single" w:color="#27903A"/>
            </w:tcBorders>
          </w:tcPr>
          <w:p/>
        </w:tc>
        <w:tc>
          <w:tcPr>
            <w:tcW w:type="dxa" w:w="2886"/>
            <w:gridSpan w:val="2"/>
            <w:vMerge/>
            <w:tcBorders>
              <w:top w:sz="8.0" w:val="single" w:color="#27903A"/>
            </w:tcBorders>
          </w:tcPr>
          <w:p/>
        </w:tc>
      </w:tr>
      <w:tr>
        <w:trPr>
          <w:trHeight w:hRule="exact" w:val="400"/>
        </w:trPr>
        <w:tc>
          <w:tcPr>
            <w:tcW w:type="dxa" w:w="480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76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nm) Hf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t>1</w:t>
            </w:r>
            <w:r>
              <w:rPr>
                <w:rFonts w:ascii="22" w:hAnsi="22" w:eastAsia="22"/>
                <w:b w:val="0"/>
                <w:i w:val="0"/>
                <w:color w:val="000000"/>
                <w:sz w:val="12"/>
              </w:rPr>
              <w:t>−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2"/>
              </w:rPr>
              <w:t>x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Zr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2"/>
              </w:rPr>
              <w:t>x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O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 deposited by alternating cycles of TEMA(Zr) and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TDMA(Hf) in order to achieve a Hf/Zr ratio of 1:1, with water as the</w:t>
            </w:r>
          </w:p>
        </w:tc>
        <w:tc>
          <w:tcPr>
            <w:tcW w:type="dxa" w:w="1443"/>
            <w:vMerge/>
            <w:tcBorders>
              <w:top w:sz="8.0" w:val="single" w:color="#27903A"/>
              <w:bottom w:sz="4.0" w:val="single" w:color="#27903A"/>
            </w:tcBorders>
          </w:tcPr>
          <w:p/>
        </w:tc>
        <w:tc>
          <w:tcPr>
            <w:tcW w:type="dxa" w:w="2886"/>
            <w:gridSpan w:val="2"/>
            <w:vMerge/>
            <w:tcBorders>
              <w:top w:sz="8.0" w:val="single" w:color="#27903A"/>
            </w:tcBorders>
          </w:tcPr>
          <w:p/>
        </w:tc>
      </w:tr>
      <w:tr>
        <w:trPr>
          <w:trHeight w:hRule="exact" w:val="520"/>
        </w:trPr>
        <w:tc>
          <w:tcPr>
            <w:tcW w:type="dxa" w:w="480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4" w:after="0"/>
              <w:ind w:left="0" w:right="0" w:firstLine="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oxidizing precursor. All ALD depositions were carried out at a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temperature of 200</w:t>
            </w:r>
            <w:r>
              <w:rPr>
                <w:rFonts w:ascii="AdvOT8608a8d1" w:hAnsi="AdvOT8608a8d1" w:eastAsia="AdvOT8608a8d1"/>
                <w:b w:val="0"/>
                <w:i w:val="0"/>
                <w:color w:val="000000"/>
                <w:sz w:val="18"/>
              </w:rPr>
              <w:t xml:space="preserve"> °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C. The use of Al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O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t>3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 as an interfacial layer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reduces the native oxide of InAs and decreases interface defect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density.</w:t>
            </w:r>
            <w:r>
              <w:rPr>
                <w:w w:val="97.89984042827899"/>
                <w:rFonts w:ascii="AdvOT2e364b11" w:hAnsi="AdvOT2e364b11" w:eastAsia="AdvOT2e364b11"/>
                <w:b w:val="0"/>
                <w:i w:val="0"/>
                <w:color w:val="1B4BA0"/>
                <w:sz w:val="13"/>
              </w:rPr>
              <w:t>12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Subsequently, a 10 nm thick TiN TE was deposited using</w:t>
            </w:r>
          </w:p>
        </w:tc>
        <w:tc>
          <w:tcPr>
            <w:tcW w:type="dxa" w:w="1443"/>
            <w:vMerge/>
            <w:tcBorders>
              <w:top w:sz="8.0" w:val="single" w:color="#27903A"/>
              <w:bottom w:sz="4.0" w:val="single" w:color="#27903A"/>
            </w:tcBorders>
          </w:tcPr>
          <w:p/>
        </w:tc>
        <w:tc>
          <w:tcPr>
            <w:tcW w:type="dxa" w:w="2886"/>
            <w:gridSpan w:val="2"/>
            <w:vMerge/>
            <w:tcBorders>
              <w:top w:sz="8.0" w:val="single" w:color="#27903A"/>
            </w:tcBorders>
          </w:tcPr>
          <w:p/>
        </w:tc>
      </w:tr>
      <w:tr>
        <w:trPr>
          <w:trHeight w:hRule="exact" w:val="260"/>
        </w:trPr>
        <w:tc>
          <w:tcPr>
            <w:tcW w:type="dxa" w:w="5772"/>
            <w:gridSpan w:val="4"/>
            <w:vMerge/>
            <w:tcBorders/>
          </w:tcPr>
          <w:p/>
        </w:tc>
        <w:tc>
          <w:tcPr>
            <w:tcW w:type="dxa" w:w="1443"/>
            <w:vMerge/>
            <w:tcBorders>
              <w:top w:sz="8.0" w:val="single" w:color="#27903A"/>
              <w:bottom w:sz="4.0" w:val="single" w:color="#27903A"/>
            </w:tcBorders>
          </w:tcPr>
          <w:p/>
        </w:tc>
        <w:tc>
          <w:tcPr>
            <w:tcW w:type="dxa" w:w="480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101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082800" cy="292100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2800" cy="2921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200"/>
        </w:trPr>
        <w:tc>
          <w:tcPr>
            <w:tcW w:type="dxa" w:w="480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RF magnetron sputtering, with a quartz crystal microbalance thickness</w:t>
            </w:r>
          </w:p>
        </w:tc>
        <w:tc>
          <w:tcPr>
            <w:tcW w:type="dxa" w:w="1443"/>
            <w:vMerge/>
            <w:tcBorders>
              <w:top w:sz="8.0" w:val="single" w:color="#27903A"/>
              <w:bottom w:sz="4.0" w:val="single" w:color="#27903A"/>
            </w:tcBorders>
          </w:tcPr>
          <w:p/>
        </w:tc>
        <w:tc>
          <w:tcPr>
            <w:tcW w:type="dxa" w:w="2886"/>
            <w:gridSpan w:val="2"/>
            <w:vMerge/>
            <w:tcBorders/>
          </w:tcPr>
          <w:p/>
        </w:tc>
      </w:tr>
      <w:tr>
        <w:trPr>
          <w:trHeight w:hRule="exact" w:val="100"/>
        </w:trPr>
        <w:tc>
          <w:tcPr>
            <w:tcW w:type="dxa" w:w="480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meter, to control the deposited layer thickness. The deposition was</w:t>
            </w:r>
          </w:p>
        </w:tc>
        <w:tc>
          <w:tcPr>
            <w:tcW w:type="dxa" w:w="1443"/>
            <w:vMerge/>
            <w:tcBorders>
              <w:top w:sz="8.0" w:val="single" w:color="#27903A"/>
              <w:bottom w:sz="4.0" w:val="single" w:color="#27903A"/>
            </w:tcBorders>
          </w:tcPr>
          <w:p/>
        </w:tc>
        <w:tc>
          <w:tcPr>
            <w:tcW w:type="dxa" w:w="2886"/>
            <w:gridSpan w:val="2"/>
            <w:vMerge/>
            <w:tcBorders/>
          </w:tcPr>
          <w:p/>
        </w:tc>
      </w:tr>
      <w:tr>
        <w:trPr>
          <w:trHeight w:hRule="exact" w:val="100"/>
        </w:trPr>
        <w:tc>
          <w:tcPr>
            <w:tcW w:type="dxa" w:w="5772"/>
            <w:gridSpan w:val="4"/>
            <w:vMerge/>
            <w:tcBorders/>
          </w:tcPr>
          <w:p/>
        </w:tc>
        <w:tc>
          <w:tcPr>
            <w:tcW w:type="dxa" w:w="1443"/>
            <w:vMerge/>
            <w:tcBorders>
              <w:top w:sz="8.0" w:val="single" w:color="#27903A"/>
              <w:bottom w:sz="4.0" w:val="single" w:color="#27903A"/>
            </w:tcBorders>
          </w:tcPr>
          <w:p/>
        </w:tc>
        <w:tc>
          <w:tcPr>
            <w:tcW w:type="dxa" w:w="480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29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844800" cy="156210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0" cy="15621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200"/>
        </w:trPr>
        <w:tc>
          <w:tcPr>
            <w:tcW w:type="dxa" w:w="480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carried out without a temperature controller at a power of 150 W in</w:t>
            </w:r>
          </w:p>
        </w:tc>
        <w:tc>
          <w:tcPr>
            <w:tcW w:type="dxa" w:w="1443"/>
            <w:vMerge/>
            <w:tcBorders>
              <w:top w:sz="8.0" w:val="single" w:color="#27903A"/>
              <w:bottom w:sz="4.0" w:val="single" w:color="#27903A"/>
            </w:tcBorders>
          </w:tcPr>
          <w:p/>
        </w:tc>
        <w:tc>
          <w:tcPr>
            <w:tcW w:type="dxa" w:w="2886"/>
            <w:gridSpan w:val="2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480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an AJA Orion system using a TiN target with 99.5% purity at varying</w:t>
            </w:r>
          </w:p>
        </w:tc>
        <w:tc>
          <w:tcPr>
            <w:tcW w:type="dxa" w:w="1443"/>
            <w:vMerge/>
            <w:tcBorders>
              <w:top w:sz="8.0" w:val="single" w:color="#27903A"/>
              <w:bottom w:sz="4.0" w:val="single" w:color="#27903A"/>
            </w:tcBorders>
          </w:tcPr>
          <w:p/>
        </w:tc>
        <w:tc>
          <w:tcPr>
            <w:tcW w:type="dxa" w:w="2886"/>
            <w:gridSpan w:val="2"/>
            <w:vMerge/>
            <w:tcBorders/>
          </w:tcPr>
          <w:p/>
        </w:tc>
      </w:tr>
      <w:tr>
        <w:trPr>
          <w:trHeight w:hRule="exact" w:val="1522"/>
        </w:trPr>
        <w:tc>
          <w:tcPr>
            <w:tcW w:type="dxa" w:w="4800"/>
            <w:gridSpan w:val="4"/>
            <w:tcBorders>
              <w:bottom w:sz="4.0" w:val="single" w:color="#27903A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6" w:after="0"/>
              <w:ind w:left="0" w:right="0" w:firstLine="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chamber pressures and Ar plasmas. The deposition pressure used was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varied in the range 1.3</w:t>
            </w:r>
            <w:r>
              <w:rPr>
                <w:rFonts w:ascii="22" w:hAnsi="22" w:eastAsia="22"/>
                <w:b w:val="0"/>
                <w:i w:val="0"/>
                <w:color w:val="000000"/>
                <w:sz w:val="18"/>
              </w:rPr>
              <w:t>−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4.0 mTorr (samples A</w:t>
            </w:r>
            <w:r>
              <w:rPr>
                <w:rFonts w:ascii="22" w:hAnsi="22" w:eastAsia="22"/>
                <w:b w:val="0"/>
                <w:i w:val="0"/>
                <w:color w:val="000000"/>
                <w:sz w:val="18"/>
              </w:rPr>
              <w:t>−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C). At a pressure of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4.0 mTorr, two additional samples (samples D</w:t>
            </w:r>
            <w:r>
              <w:rPr>
                <w:rFonts w:ascii="22" w:hAnsi="22" w:eastAsia="22"/>
                <w:b w:val="0"/>
                <w:i w:val="0"/>
                <w:color w:val="000000"/>
                <w:sz w:val="18"/>
              </w:rPr>
              <w:t>−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E) were fabricated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with the addition of N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 into the gas</w:t>
            </w:r>
            <w:r>
              <w:rPr>
                <w:rFonts w:ascii="fb" w:hAnsi="fb" w:eastAsia="fb"/>
                <w:b w:val="0"/>
                <w:i w:val="0"/>
                <w:color w:val="000000"/>
                <w:sz w:val="18"/>
              </w:rPr>
              <w:t xml:space="preserve"> fl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ow during deposition, 6.25 and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12.5%, respectively. The N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 gas is inserted at the top of the chamber,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in close proximity to the sample. For readability, the samples will be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denoted A</w:t>
            </w:r>
            <w:r>
              <w:rPr>
                <w:rFonts w:ascii="22" w:hAnsi="22" w:eastAsia="22"/>
                <w:b w:val="0"/>
                <w:i w:val="0"/>
                <w:color w:val="000000"/>
                <w:sz w:val="18"/>
              </w:rPr>
              <w:t>−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E; see deposition conditions summarized in</w:t>
            </w:r>
            <w:r>
              <w:rPr>
                <w:rFonts w:ascii="AdvOT2e364b11" w:hAnsi="AdvOT2e364b11" w:eastAsia="AdvOT2e364b11"/>
                <w:b w:val="0"/>
                <w:i w:val="0"/>
                <w:color w:val="1B4BA0"/>
                <w:sz w:val="18"/>
              </w:rPr>
              <w:t xml:space="preserve"> Table 1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. After</w:t>
            </w:r>
          </w:p>
        </w:tc>
        <w:tc>
          <w:tcPr>
            <w:tcW w:type="dxa" w:w="1443"/>
            <w:vMerge/>
            <w:tcBorders>
              <w:top w:sz="8.0" w:val="single" w:color="#27903A"/>
              <w:bottom w:sz="4.0" w:val="single" w:color="#27903A"/>
            </w:tcBorders>
          </w:tcPr>
          <w:p/>
        </w:tc>
        <w:tc>
          <w:tcPr>
            <w:tcW w:type="dxa" w:w="2886"/>
            <w:gridSpan w:val="2"/>
            <w:vMerge/>
            <w:tcBorders/>
          </w:tcPr>
          <w:p/>
        </w:tc>
      </w:tr>
      <w:tr>
        <w:trPr>
          <w:trHeight w:hRule="exact" w:val="454"/>
        </w:trPr>
        <w:tc>
          <w:tcPr>
            <w:tcW w:type="dxa" w:w="4800"/>
            <w:gridSpan w:val="4"/>
            <w:tcBorders>
              <w:top w:sz="4.0" w:val="single" w:color="#27903A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exact" w:before="104" w:after="0"/>
              <w:ind w:left="0" w:right="0" w:firstLine="0"/>
              <w:jc w:val="left"/>
            </w:pPr>
            <w:r>
              <w:rPr>
                <w:rFonts w:ascii="AdvOT51c1769e" w:hAnsi="AdvOT51c1769e" w:eastAsia="AdvOT51c1769e"/>
                <w:b w:val="0"/>
                <w:i w:val="0"/>
                <w:color w:val="000000"/>
                <w:sz w:val="20"/>
              </w:rPr>
              <w:t>Table 1. Deposition Conditions of TE TiN Samples</w:t>
            </w:r>
          </w:p>
        </w:tc>
        <w:tc>
          <w:tcPr>
            <w:tcW w:type="dxa" w:w="480"/>
            <w:tcBorders>
              <w:top w:sz="4.0" w:val="single" w:color="#27903A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886"/>
            <w:gridSpan w:val="2"/>
            <w:vMerge/>
            <w:tcBorders/>
          </w:tcPr>
          <w:p/>
        </w:tc>
      </w:tr>
      <w:tr>
        <w:trPr>
          <w:trHeight w:hRule="exact" w:val="64"/>
        </w:trPr>
        <w:tc>
          <w:tcPr>
            <w:tcW w:type="dxa" w:w="670"/>
            <w:vMerge w:val="restart"/>
            <w:tcBorders/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8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sample</w:t>
            </w:r>
          </w:p>
        </w:tc>
        <w:tc>
          <w:tcPr>
            <w:tcW w:type="dxa" w:w="1380"/>
            <w:vMerge w:val="restart"/>
            <w:tcBorders/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8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pressure [mTorr]</w:t>
            </w:r>
          </w:p>
        </w:tc>
        <w:tc>
          <w:tcPr>
            <w:tcW w:type="dxa" w:w="1240"/>
            <w:vMerge w:val="restart"/>
            <w:tcBorders/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Ar</w:t>
            </w:r>
            <w:r>
              <w:rPr>
                <w:rFonts w:ascii="fb" w:hAnsi="fb" w:eastAsia="fb"/>
                <w:b w:val="0"/>
                <w:i w:val="0"/>
                <w:color w:val="000000"/>
                <w:sz w:val="16"/>
              </w:rPr>
              <w:t xml:space="preserve"> fl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ow [sccm]</w:t>
            </w:r>
          </w:p>
        </w:tc>
        <w:tc>
          <w:tcPr>
            <w:tcW w:type="dxa" w:w="1510"/>
            <w:vMerge w:val="restart"/>
            <w:tcBorders/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0" w:after="0"/>
              <w:ind w:left="156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N</w:t>
            </w:r>
            <w:r>
              <w:rPr>
                <w:w w:val="97.44909459894355"/>
                <w:rFonts w:ascii="AdvOT2e364b11" w:hAnsi="AdvOT2e364b11" w:eastAsia="AdvOT2e364b11"/>
                <w:b w:val="0"/>
                <w:i w:val="0"/>
                <w:color w:val="000000"/>
                <w:sz w:val="11"/>
              </w:rPr>
              <w:t>2</w:t>
            </w:r>
            <w:r>
              <w:rPr>
                <w:rFonts w:ascii="fb" w:hAnsi="fb" w:eastAsia="fb"/>
                <w:b w:val="0"/>
                <w:i w:val="0"/>
                <w:color w:val="000000"/>
                <w:sz w:val="16"/>
              </w:rPr>
              <w:t xml:space="preserve"> fl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ow [sccm, (%)]</w:t>
            </w:r>
          </w:p>
        </w:tc>
        <w:tc>
          <w:tcPr>
            <w:tcW w:type="dxa" w:w="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2886"/>
            <w:gridSpan w:val="2"/>
            <w:vMerge/>
            <w:tcBorders/>
          </w:tcPr>
          <w:p/>
        </w:tc>
      </w:tr>
      <w:tr>
        <w:trPr>
          <w:trHeight w:hRule="exact" w:val="194"/>
        </w:trPr>
        <w:tc>
          <w:tcPr>
            <w:tcW w:type="dxa" w:w="1443"/>
            <w:vMerge/>
            <w:tcBorders/>
          </w:tcPr>
          <w:p/>
        </w:tc>
        <w:tc>
          <w:tcPr>
            <w:tcW w:type="dxa" w:w="1443"/>
            <w:vMerge/>
            <w:tcBorders/>
          </w:tcPr>
          <w:p/>
        </w:tc>
        <w:tc>
          <w:tcPr>
            <w:tcW w:type="dxa" w:w="1443"/>
            <w:vMerge/>
            <w:tcBorders/>
          </w:tcPr>
          <w:p/>
        </w:tc>
        <w:tc>
          <w:tcPr>
            <w:tcW w:type="dxa" w:w="1443"/>
            <w:vMerge/>
            <w:tcBorders/>
          </w:tcPr>
          <w:p/>
        </w:tc>
        <w:tc>
          <w:tcPr>
            <w:tcW w:type="dxa" w:w="1443"/>
            <w:vMerge/>
            <w:tcBorders/>
          </w:tcPr>
          <w:p/>
        </w:tc>
        <w:tc>
          <w:tcPr>
            <w:tcW w:type="dxa" w:w="480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0" w:after="0"/>
              <w:ind w:left="101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082800" cy="30480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2800" cy="304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226"/>
        </w:trPr>
        <w:tc>
          <w:tcPr>
            <w:tcW w:type="dxa" w:w="67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3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A</w:t>
            </w:r>
          </w:p>
        </w:tc>
        <w:tc>
          <w:tcPr>
            <w:tcW w:type="dxa" w:w="1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3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1.3</w:t>
            </w:r>
          </w:p>
        </w:tc>
        <w:tc>
          <w:tcPr>
            <w:tcW w:type="dxa" w:w="275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30" w:after="0"/>
              <w:ind w:left="628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5</w:t>
            </w:r>
          </w:p>
        </w:tc>
        <w:tc>
          <w:tcPr>
            <w:tcW w:type="dxa" w:w="480"/>
            <w:vMerge w:val="restart"/>
            <w:tcBorders>
              <w:bottom w:sz="4.0" w:val="single" w:color="#27903A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2886"/>
            <w:gridSpan w:val="2"/>
            <w:vMerge/>
            <w:tcBorders/>
          </w:tcPr>
          <w:p/>
        </w:tc>
      </w:tr>
      <w:tr>
        <w:trPr>
          <w:trHeight w:hRule="exact" w:val="120"/>
        </w:trPr>
        <w:tc>
          <w:tcPr>
            <w:tcW w:type="dxa" w:w="67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2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B</w:t>
            </w:r>
          </w:p>
        </w:tc>
        <w:tc>
          <w:tcPr>
            <w:tcW w:type="dxa" w:w="1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2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2.6</w:t>
            </w:r>
          </w:p>
        </w:tc>
        <w:tc>
          <w:tcPr>
            <w:tcW w:type="dxa" w:w="275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2" w:after="0"/>
              <w:ind w:left="628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9</w:t>
            </w:r>
          </w:p>
        </w:tc>
        <w:tc>
          <w:tcPr>
            <w:tcW w:type="dxa" w:w="1443"/>
            <w:vMerge/>
            <w:tcBorders>
              <w:bottom w:sz="4.0" w:val="single" w:color="#27903A"/>
            </w:tcBorders>
          </w:tcPr>
          <w:p/>
        </w:tc>
        <w:tc>
          <w:tcPr>
            <w:tcW w:type="dxa" w:w="2886"/>
            <w:gridSpan w:val="2"/>
            <w:vMerge/>
            <w:tcBorders/>
          </w:tcPr>
          <w:p/>
        </w:tc>
      </w:tr>
      <w:tr>
        <w:trPr>
          <w:trHeight w:hRule="exact" w:val="100"/>
        </w:trPr>
        <w:tc>
          <w:tcPr>
            <w:tcW w:type="dxa" w:w="1443"/>
            <w:vMerge/>
            <w:tcBorders/>
          </w:tcPr>
          <w:p/>
        </w:tc>
        <w:tc>
          <w:tcPr>
            <w:tcW w:type="dxa" w:w="1443"/>
            <w:vMerge/>
            <w:tcBorders/>
          </w:tcPr>
          <w:p/>
        </w:tc>
        <w:tc>
          <w:tcPr>
            <w:tcW w:type="dxa" w:w="2886"/>
            <w:gridSpan w:val="2"/>
            <w:vMerge/>
            <w:tcBorders/>
          </w:tcPr>
          <w:p/>
        </w:tc>
        <w:tc>
          <w:tcPr>
            <w:tcW w:type="dxa" w:w="1443"/>
            <w:vMerge/>
            <w:tcBorders>
              <w:bottom w:sz="4.0" w:val="single" w:color="#27903A"/>
            </w:tcBorders>
          </w:tcPr>
          <w:p/>
        </w:tc>
        <w:tc>
          <w:tcPr>
            <w:tcW w:type="dxa" w:w="480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048000" cy="1625600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1625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220"/>
        </w:trPr>
        <w:tc>
          <w:tcPr>
            <w:tcW w:type="dxa" w:w="67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C</w:t>
            </w:r>
          </w:p>
        </w:tc>
        <w:tc>
          <w:tcPr>
            <w:tcW w:type="dxa" w:w="1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4.0</w:t>
            </w:r>
          </w:p>
        </w:tc>
        <w:tc>
          <w:tcPr>
            <w:tcW w:type="dxa" w:w="275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" w:after="0"/>
              <w:ind w:left="552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14</w:t>
            </w:r>
          </w:p>
        </w:tc>
        <w:tc>
          <w:tcPr>
            <w:tcW w:type="dxa" w:w="1443"/>
            <w:vMerge/>
            <w:tcBorders>
              <w:bottom w:sz="4.0" w:val="single" w:color="#27903A"/>
            </w:tcBorders>
          </w:tcPr>
          <w:p/>
        </w:tc>
        <w:tc>
          <w:tcPr>
            <w:tcW w:type="dxa" w:w="2886"/>
            <w:gridSpan w:val="2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67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D</w:t>
            </w:r>
          </w:p>
        </w:tc>
        <w:tc>
          <w:tcPr>
            <w:tcW w:type="dxa" w:w="1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4.0</w:t>
            </w:r>
          </w:p>
        </w:tc>
        <w:tc>
          <w:tcPr>
            <w:tcW w:type="dxa" w:w="1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12</w:t>
            </w:r>
          </w:p>
        </w:tc>
        <w:tc>
          <w:tcPr>
            <w:tcW w:type="dxa" w:w="151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0" w:after="0"/>
              <w:ind w:left="0" w:right="328" w:firstLine="0"/>
              <w:jc w:val="righ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0.75(6.25%)</w:t>
            </w:r>
          </w:p>
        </w:tc>
        <w:tc>
          <w:tcPr>
            <w:tcW w:type="dxa" w:w="1443"/>
            <w:vMerge/>
            <w:tcBorders>
              <w:bottom w:sz="4.0" w:val="single" w:color="#27903A"/>
            </w:tcBorders>
          </w:tcPr>
          <w:p/>
        </w:tc>
        <w:tc>
          <w:tcPr>
            <w:tcW w:type="dxa" w:w="2886"/>
            <w:gridSpan w:val="2"/>
            <w:vMerge/>
            <w:tcBorders/>
          </w:tcPr>
          <w:p/>
        </w:tc>
      </w:tr>
      <w:tr>
        <w:trPr>
          <w:trHeight w:hRule="exact" w:val="318"/>
        </w:trPr>
        <w:tc>
          <w:tcPr>
            <w:tcW w:type="dxa" w:w="670"/>
            <w:tcBorders>
              <w:bottom w:sz="4.0" w:val="single" w:color="#27903A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8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E</w:t>
            </w:r>
          </w:p>
        </w:tc>
        <w:tc>
          <w:tcPr>
            <w:tcW w:type="dxa" w:w="1380"/>
            <w:tcBorders>
              <w:bottom w:sz="4.0" w:val="single" w:color="#27903A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8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4.0</w:t>
            </w:r>
          </w:p>
        </w:tc>
        <w:tc>
          <w:tcPr>
            <w:tcW w:type="dxa" w:w="1240"/>
            <w:tcBorders>
              <w:bottom w:sz="4.0" w:val="single" w:color="#27903A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8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12</w:t>
            </w:r>
          </w:p>
        </w:tc>
        <w:tc>
          <w:tcPr>
            <w:tcW w:type="dxa" w:w="1510"/>
            <w:tcBorders>
              <w:bottom w:sz="4.0" w:val="single" w:color="#27903A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8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1.5(12.5%)</w:t>
            </w:r>
          </w:p>
        </w:tc>
        <w:tc>
          <w:tcPr>
            <w:tcW w:type="dxa" w:w="1443"/>
            <w:vMerge/>
            <w:tcBorders>
              <w:bottom w:sz="4.0" w:val="single" w:color="#27903A"/>
            </w:tcBorders>
          </w:tcPr>
          <w:p/>
        </w:tc>
        <w:tc>
          <w:tcPr>
            <w:tcW w:type="dxa" w:w="2886"/>
            <w:gridSpan w:val="2"/>
            <w:vMerge/>
            <w:tcBorders/>
          </w:tcPr>
          <w:p/>
        </w:tc>
      </w:tr>
      <w:tr>
        <w:trPr>
          <w:trHeight w:hRule="exact" w:val="902"/>
        </w:trPr>
        <w:tc>
          <w:tcPr>
            <w:tcW w:type="dxa" w:w="4800"/>
            <w:gridSpan w:val="4"/>
            <w:tcBorders>
              <w:top w:sz="4.0" w:val="single" w:color="#27903A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304" w:after="0"/>
              <w:ind w:left="0" w:right="0" w:firstLine="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deposition, the samples were annealed using a rapid thermal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processing system at 440</w:t>
            </w:r>
            <w:r>
              <w:rPr>
                <w:rFonts w:ascii="AdvOT8608a8d1" w:hAnsi="AdvOT8608a8d1" w:eastAsia="AdvOT8608a8d1"/>
                <w:b w:val="0"/>
                <w:i w:val="0"/>
                <w:color w:val="000000"/>
                <w:sz w:val="18"/>
              </w:rPr>
              <w:t xml:space="preserve"> °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C for 30 s, followed by an additional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device pad de</w:t>
            </w:r>
            <w:r>
              <w:rPr>
                <w:rFonts w:ascii="fb" w:hAnsi="fb" w:eastAsia="fb"/>
                <w:b w:val="0"/>
                <w:i w:val="0"/>
                <w:color w:val="000000"/>
                <w:sz w:val="18"/>
              </w:rPr>
              <w:t>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nition via lift-o</w:t>
            </w:r>
            <w:r>
              <w:rPr>
                <w:rFonts w:ascii="fb" w:hAnsi="fb" w:eastAsia="fb"/>
                <w:b w:val="0"/>
                <w:i w:val="0"/>
                <w:color w:val="000000"/>
                <w:sz w:val="18"/>
              </w:rPr>
              <w:t>ff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 of electron beam-evaporated Ti/Pd/</w:t>
            </w:r>
          </w:p>
        </w:tc>
        <w:tc>
          <w:tcPr>
            <w:tcW w:type="dxa" w:w="480"/>
            <w:vMerge w:val="restart"/>
            <w:tcBorders>
              <w:top w:sz="4.0" w:val="single" w:color="#27903A"/>
              <w:bottom w:sz="4.0" w:val="single" w:color="#27903A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2886"/>
            <w:gridSpan w:val="2"/>
            <w:vMerge/>
            <w:tcBorders/>
          </w:tcPr>
          <w:p/>
        </w:tc>
      </w:tr>
      <w:tr>
        <w:trPr>
          <w:trHeight w:hRule="exact" w:val="600"/>
        </w:trPr>
        <w:tc>
          <w:tcPr>
            <w:tcW w:type="dxa" w:w="480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78" w:val="left"/>
              </w:tabs>
              <w:autoSpaceDE w:val="0"/>
              <w:widowControl/>
              <w:spacing w:line="198" w:lineRule="exact" w:before="6" w:after="0"/>
              <w:ind w:left="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Au (1/5/200 nm). Finally, the TiN between devices was removed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using a NaOH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t>4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/H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O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/H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O (1:2:5) wet etch for 30 s at 60</w:t>
            </w:r>
            <w:r>
              <w:rPr>
                <w:rFonts w:ascii="AdvOT8608a8d1" w:hAnsi="AdvOT8608a8d1" w:eastAsia="AdvOT8608a8d1"/>
                <w:b w:val="0"/>
                <w:i w:val="0"/>
                <w:color w:val="000000"/>
                <w:sz w:val="18"/>
              </w:rPr>
              <w:t xml:space="preserve"> °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C. </w:t>
            </w:r>
            <w:r>
              <w:tab/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Electrical characterization was performed using a Keysight B1500A</w:t>
            </w:r>
          </w:p>
        </w:tc>
        <w:tc>
          <w:tcPr>
            <w:tcW w:type="dxa" w:w="1443"/>
            <w:vMerge/>
            <w:tcBorders>
              <w:top w:sz="4.0" w:val="single" w:color="#27903A"/>
              <w:bottom w:sz="4.0" w:val="single" w:color="#27903A"/>
            </w:tcBorders>
          </w:tcPr>
          <w:p/>
        </w:tc>
        <w:tc>
          <w:tcPr>
            <w:tcW w:type="dxa" w:w="2886"/>
            <w:gridSpan w:val="2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480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parameter analyzer equipped with a B1530A waveform generator fast</w:t>
            </w:r>
          </w:p>
        </w:tc>
        <w:tc>
          <w:tcPr>
            <w:tcW w:type="dxa" w:w="1443"/>
            <w:vMerge/>
            <w:tcBorders>
              <w:top w:sz="4.0" w:val="single" w:color="#27903A"/>
              <w:bottom w:sz="4.0" w:val="single" w:color="#27903A"/>
            </w:tcBorders>
          </w:tcPr>
          <w:p/>
        </w:tc>
        <w:tc>
          <w:tcPr>
            <w:tcW w:type="dxa" w:w="2886"/>
            <w:gridSpan w:val="2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480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measurement unit for pulsed measurements. The conventional</w:t>
            </w:r>
          </w:p>
        </w:tc>
        <w:tc>
          <w:tcPr>
            <w:tcW w:type="dxa" w:w="1443"/>
            <w:vMerge/>
            <w:tcBorders>
              <w:top w:sz="4.0" w:val="single" w:color="#27903A"/>
              <w:bottom w:sz="4.0" w:val="single" w:color="#27903A"/>
            </w:tcBorders>
          </w:tcPr>
          <w:p/>
        </w:tc>
        <w:tc>
          <w:tcPr>
            <w:tcW w:type="dxa" w:w="2886"/>
            <w:gridSpan w:val="2"/>
            <w:vMerge/>
            <w:tcBorders/>
          </w:tcPr>
          <w:p/>
        </w:tc>
      </w:tr>
      <w:tr>
        <w:trPr>
          <w:trHeight w:hRule="exact" w:val="600"/>
        </w:trPr>
        <w:tc>
          <w:tcPr>
            <w:tcW w:type="dxa" w:w="480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6" w:after="0"/>
              <w:ind w:left="0" w:right="0" w:firstLine="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positive-up-negative-down (PUND) technique was implemented to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measure the polarization versus electric</w:t>
            </w:r>
            <w:r>
              <w:rPr>
                <w:rFonts w:ascii="fb" w:hAnsi="fb" w:eastAsia="fb"/>
                <w:b w:val="0"/>
                <w:i w:val="0"/>
                <w:color w:val="000000"/>
                <w:sz w:val="18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eld at a frequency of 1 kHz.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The electric</w:t>
            </w:r>
            <w:r>
              <w:rPr>
                <w:rFonts w:ascii="fb" w:hAnsi="fb" w:eastAsia="fb"/>
                <w:b w:val="0"/>
                <w:i w:val="0"/>
                <w:color w:val="000000"/>
                <w:sz w:val="18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eld in this paper refers to the electric</w:t>
            </w:r>
            <w:r>
              <w:rPr>
                <w:rFonts w:ascii="fb" w:hAnsi="fb" w:eastAsia="fb"/>
                <w:b w:val="0"/>
                <w:i w:val="0"/>
                <w:color w:val="000000"/>
                <w:sz w:val="18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eld applied across</w:t>
            </w:r>
          </w:p>
        </w:tc>
        <w:tc>
          <w:tcPr>
            <w:tcW w:type="dxa" w:w="1443"/>
            <w:vMerge/>
            <w:tcBorders>
              <w:top w:sz="4.0" w:val="single" w:color="#27903A"/>
              <w:bottom w:sz="4.0" w:val="single" w:color="#27903A"/>
            </w:tcBorders>
          </w:tcPr>
          <w:p/>
        </w:tc>
        <w:tc>
          <w:tcPr>
            <w:tcW w:type="dxa" w:w="48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91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120900" cy="292100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0900" cy="2921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400"/>
        </w:trPr>
        <w:tc>
          <w:tcPr>
            <w:tcW w:type="dxa" w:w="480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the bilayered structure of Al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O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t>3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/Hf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t>1</w:t>
            </w:r>
            <w:r>
              <w:rPr>
                <w:rFonts w:ascii="22" w:hAnsi="22" w:eastAsia="22"/>
                <w:b w:val="0"/>
                <w:i w:val="0"/>
                <w:color w:val="000000"/>
                <w:sz w:val="12"/>
              </w:rPr>
              <w:t>−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2"/>
              </w:rPr>
              <w:t>x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Zr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2"/>
              </w:rPr>
              <w:t>x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O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. The PUND measure-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ment was always carried out post wake-up cycling of 1000 times using</w:t>
            </w:r>
          </w:p>
        </w:tc>
        <w:tc>
          <w:tcPr>
            <w:tcW w:type="dxa" w:w="1443"/>
            <w:vMerge/>
            <w:tcBorders>
              <w:top w:sz="4.0" w:val="single" w:color="#27903A"/>
              <w:bottom w:sz="4.0" w:val="single" w:color="#27903A"/>
            </w:tcBorders>
          </w:tcPr>
          <w:p/>
        </w:tc>
        <w:tc>
          <w:tcPr>
            <w:tcW w:type="dxa" w:w="480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36" w:after="0"/>
              <w:ind w:left="0" w:right="0" w:firstLine="0"/>
              <w:jc w:val="both"/>
            </w:pPr>
            <w:r>
              <w:rPr>
                <w:rFonts w:ascii="AdvOT51c1769e" w:hAnsi="AdvOT51c1769e" w:eastAsia="AdvOT51c1769e"/>
                <w:b w:val="0"/>
                <w:i w:val="0"/>
                <w:color w:val="000000"/>
                <w:sz w:val="18"/>
              </w:rPr>
              <w:t>Figure 1.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 (a)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P</w:t>
            </w:r>
            <w:r>
              <w:rPr>
                <w:rFonts w:ascii="22" w:hAnsi="22" w:eastAsia="22"/>
                <w:b w:val="0"/>
                <w:i w:val="0"/>
                <w:color w:val="000000"/>
                <w:sz w:val="18"/>
              </w:rPr>
              <w:t>−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>E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 hysteresis curves at 3.5 V for samples deposited at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di</w:t>
            </w:r>
            <w:r>
              <w:rPr>
                <w:rFonts w:ascii="fb" w:hAnsi="fb" w:eastAsia="fb"/>
                <w:b w:val="0"/>
                <w:i w:val="0"/>
                <w:color w:val="000000"/>
                <w:sz w:val="18"/>
              </w:rPr>
              <w:t>ff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erent pressures and with additional nitrogen, (b) evolution of the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PE curve of sample E at increasing electric</w:t>
            </w:r>
            <w:r>
              <w:rPr>
                <w:rFonts w:ascii="fb" w:hAnsi="fb" w:eastAsia="fb"/>
                <w:b w:val="0"/>
                <w:i w:val="0"/>
                <w:color w:val="000000"/>
                <w:sz w:val="18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eld, (c) evolution of the</w:t>
            </w:r>
          </w:p>
          <w:p>
            <w:pPr>
              <w:autoSpaceDN w:val="0"/>
              <w:autoSpaceDE w:val="0"/>
              <w:widowControl/>
              <w:spacing w:line="220" w:lineRule="exact" w:before="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remanent polarization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P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t xml:space="preserve">r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t>+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 as a function of the applied electric</w:t>
            </w:r>
            <w:r>
              <w:rPr>
                <w:rFonts w:ascii="fb" w:hAnsi="fb" w:eastAsia="fb"/>
                <w:b w:val="0"/>
                <w:i w:val="0"/>
                <w:color w:val="000000"/>
                <w:sz w:val="18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eld for</w:t>
            </w:r>
          </w:p>
        </w:tc>
      </w:tr>
      <w:tr>
        <w:trPr>
          <w:trHeight w:hRule="exact" w:val="200"/>
        </w:trPr>
        <w:tc>
          <w:tcPr>
            <w:tcW w:type="dxa" w:w="480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the same voltage used for the PUND measurement. Cycling</w:t>
            </w:r>
          </w:p>
        </w:tc>
        <w:tc>
          <w:tcPr>
            <w:tcW w:type="dxa" w:w="1443"/>
            <w:vMerge/>
            <w:tcBorders>
              <w:top w:sz="4.0" w:val="single" w:color="#27903A"/>
              <w:bottom w:sz="4.0" w:val="single" w:color="#27903A"/>
            </w:tcBorders>
          </w:tcPr>
          <w:p/>
        </w:tc>
        <w:tc>
          <w:tcPr>
            <w:tcW w:type="dxa" w:w="2886"/>
            <w:gridSpan w:val="2"/>
            <w:vMerge/>
            <w:tcBorders/>
          </w:tcPr>
          <w:p/>
        </w:tc>
      </w:tr>
      <w:tr>
        <w:trPr>
          <w:trHeight w:hRule="exact" w:val="210"/>
        </w:trPr>
        <w:tc>
          <w:tcPr>
            <w:tcW w:type="dxa" w:w="480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4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measurements were implemented using rectangular pulses at a</w:t>
            </w:r>
          </w:p>
        </w:tc>
        <w:tc>
          <w:tcPr>
            <w:tcW w:type="dxa" w:w="1443"/>
            <w:vMerge/>
            <w:tcBorders>
              <w:top w:sz="4.0" w:val="single" w:color="#27903A"/>
              <w:bottom w:sz="4.0" w:val="single" w:color="#27903A"/>
            </w:tcBorders>
          </w:tcPr>
          <w:p/>
        </w:tc>
        <w:tc>
          <w:tcPr>
            <w:tcW w:type="dxa" w:w="2886"/>
            <w:gridSpan w:val="2"/>
            <w:vMerge/>
            <w:tcBorders/>
          </w:tcPr>
          <w:p/>
        </w:tc>
      </w:tr>
      <w:tr>
        <w:trPr>
          <w:trHeight w:hRule="exact" w:val="190"/>
        </w:trPr>
        <w:tc>
          <w:tcPr>
            <w:tcW w:type="dxa" w:w="480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frequency of 10 kHz at various voltages. For CV measurements, an</w:t>
            </w:r>
          </w:p>
        </w:tc>
        <w:tc>
          <w:tcPr>
            <w:tcW w:type="dxa" w:w="1443"/>
            <w:vMerge/>
            <w:tcBorders>
              <w:top w:sz="4.0" w:val="single" w:color="#27903A"/>
              <w:bottom w:sz="4.0" w:val="single" w:color="#27903A"/>
            </w:tcBorders>
          </w:tcPr>
          <w:p/>
        </w:tc>
        <w:tc>
          <w:tcPr>
            <w:tcW w:type="dxa" w:w="4800"/>
            <w:gridSpan w:val="2"/>
            <w:vMerge w:val="restart"/>
            <w:tcBorders>
              <w:bottom w:sz="4.0" w:val="single" w:color="#27903A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0" w:after="0"/>
              <w:ind w:left="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all samples.</w:t>
            </w:r>
          </w:p>
        </w:tc>
      </w:tr>
      <w:tr>
        <w:trPr>
          <w:trHeight w:hRule="exact" w:val="110"/>
        </w:trPr>
        <w:tc>
          <w:tcPr>
            <w:tcW w:type="dxa" w:w="480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Agilent 4294A impedance analyzer was used, keeping the oscillation</w:t>
            </w:r>
          </w:p>
        </w:tc>
        <w:tc>
          <w:tcPr>
            <w:tcW w:type="dxa" w:w="1443"/>
            <w:vMerge/>
            <w:tcBorders>
              <w:top w:sz="4.0" w:val="single" w:color="#27903A"/>
              <w:bottom w:sz="4.0" w:val="single" w:color="#27903A"/>
            </w:tcBorders>
          </w:tcPr>
          <w:p/>
        </w:tc>
        <w:tc>
          <w:tcPr>
            <w:tcW w:type="dxa" w:w="2886"/>
            <w:gridSpan w:val="2"/>
            <w:vMerge/>
            <w:tcBorders>
              <w:bottom w:sz="4.0" w:val="single" w:color="#27903A"/>
            </w:tcBorders>
          </w:tcPr>
          <w:p/>
        </w:tc>
      </w:tr>
      <w:tr>
        <w:trPr>
          <w:trHeight w:hRule="exact" w:val="90"/>
        </w:trPr>
        <w:tc>
          <w:tcPr>
            <w:tcW w:type="dxa" w:w="5772"/>
            <w:gridSpan w:val="4"/>
            <w:vMerge/>
            <w:tcBorders/>
          </w:tcPr>
          <w:p/>
        </w:tc>
        <w:tc>
          <w:tcPr>
            <w:tcW w:type="dxa" w:w="480"/>
            <w:vMerge w:val="restart"/>
            <w:tcBorders>
              <w:top w:sz="4.0" w:val="single" w:color="#27903A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3432" w:after="0"/>
              <w:ind w:left="0" w:right="0" w:firstLine="0"/>
              <w:jc w:val="center"/>
            </w:pPr>
            <w:r>
              <w:rPr>
                <w:rFonts w:ascii="AdvOTce3d9a73" w:hAnsi="AdvOTce3d9a73" w:eastAsia="AdvOTce3d9a73"/>
                <w:b w:val="0"/>
                <w:i w:val="0"/>
                <w:color w:val="000000"/>
                <w:sz w:val="15"/>
              </w:rPr>
              <w:t>11090</w:t>
            </w:r>
          </w:p>
        </w:tc>
        <w:tc>
          <w:tcPr>
            <w:tcW w:type="dxa" w:w="4800"/>
            <w:gridSpan w:val="2"/>
            <w:vMerge w:val="restart"/>
            <w:tcBorders>
              <w:top w:sz="4.0" w:val="single" w:color="#27903A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420" w:after="0"/>
              <w:ind w:left="0" w:right="0" w:firstLine="0"/>
              <w:jc w:val="left"/>
            </w:pPr>
            <w:r>
              <w:rPr>
                <w:rFonts w:ascii="25" w:hAnsi="25" w:eastAsia="25"/>
                <w:b w:val="0"/>
                <w:i w:val="0"/>
                <w:color w:val="27903A"/>
                <w:sz w:val="64"/>
              </w:rPr>
              <w:t>■</w:t>
            </w:r>
            <w:r>
              <w:rPr>
                <w:rFonts w:ascii="AdvOTce3d9a73" w:hAnsi="AdvOTce3d9a73" w:eastAsia="AdvOTce3d9a73"/>
                <w:b w:val="0"/>
                <w:i w:val="0"/>
                <w:color w:val="27903A"/>
                <w:sz w:val="21"/>
              </w:rPr>
              <w:t xml:space="preserve">RESULTS AND DISCUSSION </w:t>
            </w:r>
            <w:r>
              <w:br/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The polarization</w:t>
            </w:r>
            <w:r>
              <w:rPr>
                <w:rFonts w:ascii="22" w:hAnsi="22" w:eastAsia="22"/>
                <w:b w:val="0"/>
                <w:i w:val="0"/>
                <w:color w:val="000000"/>
                <w:sz w:val="20"/>
              </w:rPr>
              <w:t>−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electric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eld (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>P</w:t>
            </w:r>
            <w:r>
              <w:rPr>
                <w:rFonts w:ascii="22" w:hAnsi="22" w:eastAsia="22"/>
                <w:b w:val="0"/>
                <w:i w:val="0"/>
                <w:color w:val="000000"/>
                <w:sz w:val="20"/>
              </w:rPr>
              <w:t>−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>E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) characteristics at 3.5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MV/cm of samples with di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>ff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erently deposited TiN TEs are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presented in</w:t>
            </w:r>
            <w:r>
              <w:rPr>
                <w:rFonts w:ascii="AdvOT2e364b11" w:hAnsi="AdvOT2e364b11" w:eastAsia="AdvOT2e364b11"/>
                <w:b w:val="0"/>
                <w:i w:val="0"/>
                <w:color w:val="1B4BA0"/>
                <w:sz w:val="20"/>
              </w:rPr>
              <w:t xml:space="preserve"> Figure 1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a. The evolution of the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 xml:space="preserve"> P</w:t>
            </w:r>
            <w:r>
              <w:rPr>
                <w:rFonts w:ascii="22" w:hAnsi="22" w:eastAsia="22"/>
                <w:b w:val="0"/>
                <w:i w:val="0"/>
                <w:color w:val="000000"/>
                <w:sz w:val="20"/>
              </w:rPr>
              <w:t>−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>E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with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increasing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eld for sample E is presented in</w:t>
            </w:r>
            <w:r>
              <w:rPr>
                <w:rFonts w:ascii="AdvOT2e364b11" w:hAnsi="AdvOT2e364b11" w:eastAsia="AdvOT2e364b11"/>
                <w:b w:val="0"/>
                <w:i w:val="0"/>
                <w:color w:val="1B4BA0"/>
                <w:sz w:val="20"/>
              </w:rPr>
              <w:t xml:space="preserve"> Figure 1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b. The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corresponding data and current</w:t>
            </w:r>
            <w:r>
              <w:rPr>
                <w:rFonts w:ascii="22" w:hAnsi="22" w:eastAsia="22"/>
                <w:b w:val="0"/>
                <w:i w:val="0"/>
                <w:color w:val="000000"/>
                <w:sz w:val="20"/>
              </w:rPr>
              <w:t>−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voltage characteristics of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samples A</w:t>
            </w:r>
            <w:r>
              <w:rPr>
                <w:rFonts w:ascii="22" w:hAnsi="22" w:eastAsia="22"/>
                <w:b w:val="0"/>
                <w:i w:val="0"/>
                <w:color w:val="000000"/>
                <w:sz w:val="20"/>
              </w:rPr>
              <w:t>−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 are provided in the Supporting Information,</w:t>
            </w:r>
          </w:p>
        </w:tc>
      </w:tr>
      <w:tr>
        <w:trPr>
          <w:trHeight w:hRule="exact" w:val="380"/>
        </w:trPr>
        <w:tc>
          <w:tcPr>
            <w:tcW w:type="dxa" w:w="480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4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amplitude at 50 mV at frequencies between 10 kHz and 10 MHz. For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structural characterization, a Bruker D8 di</w:t>
            </w:r>
            <w:r>
              <w:rPr>
                <w:rFonts w:ascii="fb" w:hAnsi="fb" w:eastAsia="fb"/>
                <w:b w:val="0"/>
                <w:i w:val="0"/>
                <w:color w:val="000000"/>
                <w:sz w:val="18"/>
              </w:rPr>
              <w:t>ff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ractometer with a Cu K</w:t>
            </w:r>
            <w:r>
              <w:rPr>
                <w:rFonts w:ascii="03" w:hAnsi="03" w:eastAsia="03"/>
                <w:b w:val="0"/>
                <w:i w:val="0"/>
                <w:color w:val="000000"/>
                <w:sz w:val="18"/>
              </w:rPr>
              <w:t>α</w:t>
            </w:r>
          </w:p>
        </w:tc>
        <w:tc>
          <w:tcPr>
            <w:tcW w:type="dxa" w:w="1443"/>
            <w:vMerge/>
            <w:tcBorders>
              <w:top w:sz="4.0" w:val="single" w:color="#27903A"/>
            </w:tcBorders>
          </w:tcPr>
          <w:p/>
        </w:tc>
        <w:tc>
          <w:tcPr>
            <w:tcW w:type="dxa" w:w="2886"/>
            <w:gridSpan w:val="2"/>
            <w:vMerge/>
            <w:tcBorders>
              <w:top w:sz="4.0" w:val="single" w:color="#27903A"/>
            </w:tcBorders>
          </w:tcPr>
          <w:p/>
        </w:tc>
      </w:tr>
      <w:tr>
        <w:trPr>
          <w:trHeight w:hRule="exact" w:val="400"/>
        </w:trPr>
        <w:tc>
          <w:tcPr>
            <w:tcW w:type="dxa" w:w="480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X-ray source was used for GIXRD measurements with an incidence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angle of 0.3</w:t>
            </w:r>
            <w:r>
              <w:rPr>
                <w:rFonts w:ascii="22" w:hAnsi="22" w:eastAsia="22"/>
                <w:b w:val="0"/>
                <w:i w:val="0"/>
                <w:color w:val="000000"/>
                <w:sz w:val="18"/>
              </w:rPr>
              <w:t>−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0.5</w:t>
            </w:r>
            <w:r>
              <w:rPr>
                <w:rFonts w:ascii="AdvOT8608a8d1" w:hAnsi="AdvOT8608a8d1" w:eastAsia="AdvOT8608a8d1"/>
                <w:b w:val="0"/>
                <w:i w:val="0"/>
                <w:color w:val="000000"/>
                <w:sz w:val="18"/>
              </w:rPr>
              <w:t>°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 to determine the crystallographic texturing. A</w:t>
            </w:r>
          </w:p>
        </w:tc>
        <w:tc>
          <w:tcPr>
            <w:tcW w:type="dxa" w:w="1443"/>
            <w:vMerge/>
            <w:tcBorders>
              <w:top w:sz="4.0" w:val="single" w:color="#27903A"/>
            </w:tcBorders>
          </w:tcPr>
          <w:p/>
        </w:tc>
        <w:tc>
          <w:tcPr>
            <w:tcW w:type="dxa" w:w="2886"/>
            <w:gridSpan w:val="2"/>
            <w:vMerge/>
            <w:tcBorders>
              <w:top w:sz="4.0" w:val="single" w:color="#27903A"/>
            </w:tcBorders>
          </w:tcPr>
          <w:p/>
        </w:tc>
      </w:tr>
      <w:tr>
        <w:trPr>
          <w:trHeight w:hRule="exact" w:val="200"/>
        </w:trPr>
        <w:tc>
          <w:tcPr>
            <w:tcW w:type="dxa" w:w="480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ZEISS Gemini 500 scanning electron microscope with an energy-</w:t>
            </w:r>
          </w:p>
        </w:tc>
        <w:tc>
          <w:tcPr>
            <w:tcW w:type="dxa" w:w="1443"/>
            <w:vMerge/>
            <w:tcBorders>
              <w:top w:sz="4.0" w:val="single" w:color="#27903A"/>
            </w:tcBorders>
          </w:tcPr>
          <w:p/>
        </w:tc>
        <w:tc>
          <w:tcPr>
            <w:tcW w:type="dxa" w:w="2886"/>
            <w:gridSpan w:val="2"/>
            <w:vMerge/>
            <w:tcBorders>
              <w:top w:sz="4.0" w:val="single" w:color="#27903A"/>
            </w:tcBorders>
          </w:tcPr>
          <w:p/>
        </w:tc>
      </w:tr>
      <w:tr>
        <w:trPr>
          <w:trHeight w:hRule="exact" w:val="200"/>
        </w:trPr>
        <w:tc>
          <w:tcPr>
            <w:tcW w:type="dxa" w:w="480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dispersive X-ray spectroscopy (EDX) detector was used to determine</w:t>
            </w:r>
          </w:p>
        </w:tc>
        <w:tc>
          <w:tcPr>
            <w:tcW w:type="dxa" w:w="1443"/>
            <w:vMerge/>
            <w:tcBorders>
              <w:top w:sz="4.0" w:val="single" w:color="#27903A"/>
            </w:tcBorders>
          </w:tcPr>
          <w:p/>
        </w:tc>
        <w:tc>
          <w:tcPr>
            <w:tcW w:type="dxa" w:w="2886"/>
            <w:gridSpan w:val="2"/>
            <w:vMerge/>
            <w:tcBorders>
              <w:top w:sz="4.0" w:val="single" w:color="#27903A"/>
            </w:tcBorders>
          </w:tcPr>
          <w:p/>
        </w:tc>
      </w:tr>
      <w:tr>
        <w:trPr>
          <w:trHeight w:hRule="exact" w:val="200"/>
        </w:trPr>
        <w:tc>
          <w:tcPr>
            <w:tcW w:type="dxa" w:w="480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the stoichiometry of the TiN TEs.</w:t>
            </w:r>
          </w:p>
        </w:tc>
        <w:tc>
          <w:tcPr>
            <w:tcW w:type="dxa" w:w="1443"/>
            <w:vMerge/>
            <w:tcBorders>
              <w:top w:sz="4.0" w:val="single" w:color="#27903A"/>
            </w:tcBorders>
          </w:tcPr>
          <w:p/>
        </w:tc>
        <w:tc>
          <w:tcPr>
            <w:tcW w:type="dxa" w:w="2886"/>
            <w:gridSpan w:val="2"/>
            <w:vMerge/>
            <w:tcBorders>
              <w:top w:sz="4.0" w:val="single" w:color="#27903A"/>
            </w:tcBorders>
          </w:tcPr>
          <w:p/>
        </w:tc>
      </w:tr>
      <w:tr>
        <w:trPr>
          <w:trHeight w:hRule="exact" w:val="400"/>
        </w:trPr>
        <w:tc>
          <w:tcPr>
            <w:tcW w:type="dxa" w:w="480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4" w:after="0"/>
              <w:ind w:left="0" w:right="0" w:firstLine="18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Furthermore, the samples were examined using two synchrotron-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based X-ray techniques, XPS and near-edge X-ray absorption</w:t>
            </w:r>
            <w:r>
              <w:rPr>
                <w:rFonts w:ascii="fb" w:hAnsi="fb" w:eastAsia="fb"/>
                <w:b w:val="0"/>
                <w:i w:val="0"/>
                <w:color w:val="000000"/>
                <w:sz w:val="18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ne</w:t>
            </w:r>
          </w:p>
        </w:tc>
        <w:tc>
          <w:tcPr>
            <w:tcW w:type="dxa" w:w="1443"/>
            <w:vMerge/>
            <w:tcBorders>
              <w:top w:sz="4.0" w:val="single" w:color="#27903A"/>
            </w:tcBorders>
          </w:tcPr>
          <w:p/>
        </w:tc>
        <w:tc>
          <w:tcPr>
            <w:tcW w:type="dxa" w:w="2886"/>
            <w:gridSpan w:val="2"/>
            <w:vMerge/>
            <w:tcBorders>
              <w:top w:sz="4.0" w:val="single" w:color="#27903A"/>
            </w:tcBorders>
          </w:tcPr>
          <w:p/>
        </w:tc>
      </w:tr>
      <w:tr>
        <w:trPr>
          <w:trHeight w:hRule="exact" w:val="60"/>
        </w:trPr>
        <w:tc>
          <w:tcPr>
            <w:tcW w:type="dxa" w:w="480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structure (NEXAFS), at the FlexPES beamline of the MAX IV</w:t>
            </w:r>
          </w:p>
        </w:tc>
        <w:tc>
          <w:tcPr>
            <w:tcW w:type="dxa" w:w="1443"/>
            <w:vMerge/>
            <w:tcBorders>
              <w:top w:sz="4.0" w:val="single" w:color="#27903A"/>
            </w:tcBorders>
          </w:tcPr>
          <w:p/>
        </w:tc>
        <w:tc>
          <w:tcPr>
            <w:tcW w:type="dxa" w:w="2886"/>
            <w:gridSpan w:val="2"/>
            <w:vMerge/>
            <w:tcBorders>
              <w:top w:sz="4.0" w:val="single" w:color="#27903A"/>
            </w:tcBorders>
          </w:tcPr>
          <w:p/>
        </w:tc>
      </w:tr>
      <w:tr>
        <w:trPr>
          <w:trHeight w:hRule="exact" w:val="140"/>
        </w:trPr>
        <w:tc>
          <w:tcPr>
            <w:tcW w:type="dxa" w:w="5772"/>
            <w:gridSpan w:val="4"/>
            <w:vMerge/>
            <w:tcBorders/>
          </w:tcPr>
          <w:p/>
        </w:tc>
        <w:tc>
          <w:tcPr>
            <w:tcW w:type="dxa" w:w="1443"/>
            <w:vMerge/>
            <w:tcBorders>
              <w:top w:sz="4.0" w:val="single" w:color="#27903A"/>
            </w:tcBorders>
          </w:tcPr>
          <w:p/>
        </w:tc>
        <w:tc>
          <w:tcPr>
            <w:tcW w:type="dxa" w:w="480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4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1B4BA0"/>
                <w:sz w:val="20"/>
              </w:rPr>
              <w:hyperlink r:id="rId38" w:history="1">
                <w:r>
                  <w:rPr>
                    <w:rStyle w:val="Hyperlink"/>
                  </w:rPr>
                  <w:t>Figure S2</w:t>
                </w:r>
              </w:hyperlink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. In</w:t>
            </w:r>
            <w:r>
              <w:rPr>
                <w:rFonts w:ascii="AdvOT2e364b11" w:hAnsi="AdvOT2e364b11" w:eastAsia="AdvOT2e364b11"/>
                <w:b w:val="0"/>
                <w:i w:val="0"/>
                <w:color w:val="1B4BA0"/>
                <w:sz w:val="20"/>
              </w:rPr>
              <w:t xml:space="preserve"> Figure 1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c, the progression of the remanent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polarization at increasing electric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eld of all samples is</w:t>
            </w:r>
          </w:p>
        </w:tc>
      </w:tr>
      <w:tr>
        <w:trPr>
          <w:trHeight w:hRule="exact" w:val="180"/>
        </w:trPr>
        <w:tc>
          <w:tcPr>
            <w:tcW w:type="dxa" w:w="480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Laboratory in Lund, Sweden. XPS was performed for O 1s, Ti 2p, N</w:t>
            </w:r>
          </w:p>
        </w:tc>
        <w:tc>
          <w:tcPr>
            <w:tcW w:type="dxa" w:w="1443"/>
            <w:vMerge/>
            <w:tcBorders>
              <w:top w:sz="4.0" w:val="single" w:color="#27903A"/>
            </w:tcBorders>
          </w:tcPr>
          <w:p/>
        </w:tc>
        <w:tc>
          <w:tcPr>
            <w:tcW w:type="dxa" w:w="2886"/>
            <w:gridSpan w:val="2"/>
            <w:vMerge/>
            <w:tcBorders/>
          </w:tcPr>
          <w:p/>
        </w:tc>
      </w:tr>
      <w:tr>
        <w:trPr>
          <w:trHeight w:hRule="exact" w:val="120"/>
        </w:trPr>
        <w:tc>
          <w:tcPr>
            <w:tcW w:type="dxa" w:w="480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1s, Zr 3d, and Hf 4f core levels at varying kinetic energies for</w:t>
            </w:r>
          </w:p>
        </w:tc>
        <w:tc>
          <w:tcPr>
            <w:tcW w:type="dxa" w:w="1443"/>
            <w:vMerge/>
            <w:tcBorders>
              <w:top w:sz="4.0" w:val="single" w:color="#27903A"/>
            </w:tcBorders>
          </w:tcPr>
          <w:p/>
        </w:tc>
        <w:tc>
          <w:tcPr>
            <w:tcW w:type="dxa" w:w="2886"/>
            <w:gridSpan w:val="2"/>
            <w:vMerge/>
            <w:tcBorders/>
          </w:tcPr>
          <w:p/>
        </w:tc>
      </w:tr>
      <w:tr>
        <w:trPr>
          <w:trHeight w:hRule="exact" w:val="80"/>
        </w:trPr>
        <w:tc>
          <w:tcPr>
            <w:tcW w:type="dxa" w:w="5772"/>
            <w:gridSpan w:val="4"/>
            <w:vMerge/>
            <w:tcBorders/>
          </w:tcPr>
          <w:p/>
        </w:tc>
        <w:tc>
          <w:tcPr>
            <w:tcW w:type="dxa" w:w="1443"/>
            <w:vMerge/>
            <w:tcBorders>
              <w:top w:sz="4.0" w:val="single" w:color="#27903A"/>
            </w:tcBorders>
          </w:tcPr>
          <w:p/>
        </w:tc>
        <w:tc>
          <w:tcPr>
            <w:tcW w:type="dxa" w:w="480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82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summarized. The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 xml:space="preserve"> P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r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values in</w:t>
            </w:r>
            <w:r>
              <w:rPr>
                <w:rFonts w:ascii="AdvOT2e364b11" w:hAnsi="AdvOT2e364b11" w:eastAsia="AdvOT2e364b11"/>
                <w:b w:val="0"/>
                <w:i w:val="0"/>
                <w:color w:val="1B4BA0"/>
                <w:sz w:val="20"/>
              </w:rPr>
              <w:t xml:space="preserve"> Figure 1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c are extracted from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the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 xml:space="preserve"> P</w:t>
            </w:r>
            <w:r>
              <w:rPr>
                <w:rFonts w:ascii="22" w:hAnsi="22" w:eastAsia="22"/>
                <w:b w:val="0"/>
                <w:i w:val="0"/>
                <w:color w:val="000000"/>
                <w:sz w:val="20"/>
              </w:rPr>
              <w:t>−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>E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curves presented in the Supporting Information,</w:t>
            </w:r>
          </w:p>
        </w:tc>
      </w:tr>
      <w:tr>
        <w:trPr>
          <w:trHeight w:hRule="exact" w:val="200"/>
        </w:trPr>
        <w:tc>
          <w:tcPr>
            <w:tcW w:type="dxa" w:w="480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characterization within the top 2 nm. Looking deeper with NEXAFS</w:t>
            </w:r>
          </w:p>
        </w:tc>
        <w:tc>
          <w:tcPr>
            <w:tcW w:type="dxa" w:w="1443"/>
            <w:vMerge/>
            <w:tcBorders>
              <w:top w:sz="4.0" w:val="single" w:color="#27903A"/>
            </w:tcBorders>
          </w:tcPr>
          <w:p/>
        </w:tc>
        <w:tc>
          <w:tcPr>
            <w:tcW w:type="dxa" w:w="2886"/>
            <w:gridSpan w:val="2"/>
            <w:vMerge/>
            <w:tcBorders/>
          </w:tcPr>
          <w:p/>
        </w:tc>
      </w:tr>
      <w:tr>
        <w:trPr>
          <w:trHeight w:hRule="exact" w:val="160"/>
        </w:trPr>
        <w:tc>
          <w:tcPr>
            <w:tcW w:type="dxa" w:w="480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1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(&lt;10 nm), N K- and Ti L-edge absorption spectra of total and partial</w:t>
            </w:r>
          </w:p>
        </w:tc>
        <w:tc>
          <w:tcPr>
            <w:tcW w:type="dxa" w:w="1443"/>
            <w:vMerge/>
            <w:tcBorders>
              <w:top w:sz="4.0" w:val="single" w:color="#27903A"/>
            </w:tcBorders>
          </w:tcPr>
          <w:p/>
        </w:tc>
        <w:tc>
          <w:tcPr>
            <w:tcW w:type="dxa" w:w="2886"/>
            <w:gridSpan w:val="2"/>
            <w:vMerge/>
            <w:tcBorders/>
          </w:tcPr>
          <w:p/>
        </w:tc>
      </w:tr>
      <w:tr>
        <w:trPr>
          <w:trHeight w:hRule="exact" w:val="52"/>
        </w:trPr>
        <w:tc>
          <w:tcPr>
            <w:tcW w:type="dxa" w:w="5772"/>
            <w:gridSpan w:val="4"/>
            <w:vMerge/>
            <w:tcBorders/>
          </w:tcPr>
          <w:p/>
        </w:tc>
        <w:tc>
          <w:tcPr>
            <w:tcW w:type="dxa" w:w="1443"/>
            <w:vMerge/>
            <w:tcBorders>
              <w:top w:sz="4.0" w:val="single" w:color="#27903A"/>
            </w:tcBorders>
          </w:tcPr>
          <w:p/>
        </w:tc>
        <w:tc>
          <w:tcPr>
            <w:tcW w:type="dxa" w:w="480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12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1B4BA0"/>
                <w:sz w:val="20"/>
              </w:rPr>
              <w:hyperlink r:id="rId38" w:history="1">
                <w:r>
                  <w:rPr>
                    <w:rStyle w:val="Hyperlink"/>
                  </w:rPr>
                  <w:t>Figure S2</w:t>
                </w:r>
              </w:hyperlink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. The observed leakage currents are much smaller</w:t>
            </w:r>
          </w:p>
        </w:tc>
      </w:tr>
      <w:tr>
        <w:trPr>
          <w:trHeight w:hRule="exact" w:val="183"/>
        </w:trPr>
        <w:tc>
          <w:tcPr>
            <w:tcW w:type="dxa" w:w="480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electron yield were measured by recording electrical current from the</w:t>
            </w:r>
          </w:p>
        </w:tc>
        <w:tc>
          <w:tcPr>
            <w:tcW w:type="dxa" w:w="1443"/>
            <w:vMerge/>
            <w:tcBorders>
              <w:top w:sz="4.0" w:val="single" w:color="#27903A"/>
            </w:tcBorders>
          </w:tcPr>
          <w:p/>
        </w:tc>
        <w:tc>
          <w:tcPr>
            <w:tcW w:type="dxa" w:w="2886"/>
            <w:gridSpan w:val="2"/>
            <w:vMerge/>
            <w:tcBorders/>
          </w:tcPr>
          <w:p/>
        </w:tc>
      </w:tr>
      <w:tr>
        <w:trPr>
          <w:trHeight w:hRule="exact" w:val="305"/>
        </w:trPr>
        <w:tc>
          <w:tcPr>
            <w:tcW w:type="dxa" w:w="480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12" w:after="0"/>
              <w:ind w:left="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sample.</w:t>
            </w:r>
          </w:p>
        </w:tc>
        <w:tc>
          <w:tcPr>
            <w:tcW w:type="dxa" w:w="1443"/>
            <w:vMerge/>
            <w:tcBorders>
              <w:top w:sz="4.0" w:val="single" w:color="#27903A"/>
            </w:tcBorders>
          </w:tcPr>
          <w:p/>
        </w:tc>
        <w:tc>
          <w:tcPr>
            <w:tcW w:type="dxa" w:w="48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than the switching currents for all the samples, facilitating</w:t>
            </w:r>
          </w:p>
        </w:tc>
      </w:tr>
      <w:tr>
        <w:trPr>
          <w:trHeight w:hRule="exact" w:val="370"/>
        </w:trPr>
        <w:tc>
          <w:tcPr>
            <w:tcW w:type="dxa" w:w="5772"/>
            <w:gridSpan w:val="4"/>
            <w:vMerge/>
            <w:tcBorders/>
          </w:tcPr>
          <w:p/>
        </w:tc>
        <w:tc>
          <w:tcPr>
            <w:tcW w:type="dxa" w:w="1443"/>
            <w:vMerge/>
            <w:tcBorders>
              <w:top w:sz="4.0" w:val="single" w:color="#27903A"/>
            </w:tcBorders>
          </w:tcPr>
          <w:p/>
        </w:tc>
        <w:tc>
          <w:tcPr>
            <w:tcW w:type="dxa" w:w="48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114" w:after="0"/>
              <w:ind w:left="2224" w:right="0" w:firstLine="430"/>
              <w:jc w:val="left"/>
            </w:pPr>
            <w:r>
              <w:rPr>
                <w:rFonts w:ascii="AdvOT46dcae81" w:hAnsi="AdvOT46dcae81" w:eastAsia="AdvOT46dcae81"/>
                <w:b w:val="0"/>
                <w:i w:val="0"/>
                <w:color w:val="1B4BA0"/>
                <w:sz w:val="12"/>
              </w:rPr>
              <w:hyperlink r:id="rId26" w:history="1">
                <w:r>
                  <w:rPr>
                    <w:rStyle w:val="Hyperlink"/>
                  </w:rPr>
                  <w:t xml:space="preserve">https://dx.doi.org/10.1021/acsami.1c01734 </w:t>
                </w:r>
              </w:hyperlink>
            </w:r>
            <w:r>
              <w:rPr>
                <w:rFonts w:ascii="AdvOT65f8a23b.I" w:hAnsi="AdvOT65f8a23b.I" w:eastAsia="AdvOT65f8a23b.I"/>
                <w:b w:val="0"/>
                <w:i w:val="0"/>
                <w:color w:val="000000"/>
                <w:sz w:val="12"/>
              </w:rPr>
              <w:t>ACS App</w:t>
            </w:r>
            <w:r>
              <w:rPr>
                <w:rFonts w:ascii="AdvOT65f8a23b.I" w:hAnsi="AdvOT65f8a23b.I" w:eastAsia="AdvOT65f8a23b.I"/>
                <w:b w:val="0"/>
                <w:i w:val="0"/>
                <w:color w:val="000000"/>
                <w:sz w:val="12"/>
              </w:rPr>
              <w:hyperlink r:id="rId26" w:history="1">
                <w:r>
                  <w:rPr>
                    <w:rStyle w:val="Hyperlink"/>
                  </w:rPr>
                  <w:t>l. Mater. Interfaces</w:t>
                </w:r>
              </w:hyperlink>
            </w:r>
            <w:r>
              <w:rPr>
                <w:rFonts w:ascii="AdvOT46dcae81" w:hAnsi="AdvOT46dcae81" w:eastAsia="AdvOT46dcae81"/>
                <w:b w:val="0"/>
                <w:i w:val="0"/>
                <w:color w:val="000000"/>
                <w:sz w:val="12"/>
              </w:rPr>
              <w:hyperlink r:id="rId26" w:history="1">
                <w:r>
                  <w:rPr>
                    <w:rStyle w:val="Hyperlink"/>
                  </w:rPr>
                  <w:t xml:space="preserve"> 2021, 13, 11089</w:t>
                </w:r>
              </w:hyperlink>
            </w:r>
            <w:r>
              <w:rPr>
                <w:rFonts w:ascii="22" w:hAnsi="22" w:eastAsia="22"/>
                <w:b w:val="0"/>
                <w:i w:val="0"/>
                <w:color w:val="000000"/>
                <w:sz w:val="12"/>
              </w:rPr>
              <w:hyperlink r:id="rId26" w:history="1">
                <w:r>
                  <w:rPr>
                    <w:rStyle w:val="Hyperlink"/>
                  </w:rPr>
                  <w:t>−</w:t>
                </w:r>
              </w:hyperlink>
            </w:r>
            <w:r>
              <w:rPr>
                <w:rFonts w:ascii="AdvOT46dcae81" w:hAnsi="AdvOT46dcae81" w:eastAsia="AdvOT46dcae81"/>
                <w:b w:val="0"/>
                <w:i w:val="0"/>
                <w:color w:val="000000"/>
                <w:sz w:val="12"/>
              </w:rPr>
              <w:hyperlink r:id="rId26" w:history="1">
                <w:r>
                  <w:rPr>
                    <w:rStyle w:val="Hyperlink"/>
                  </w:rPr>
                  <w:t>11095</w:t>
                </w:r>
              </w:hyperlink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509" w:h="16367"/>
          <w:pgMar w:top="468" w:right="1198" w:bottom="308" w:left="1210" w:header="720" w:footer="720" w:gutter="0"/>
          <w:cols w:space="720" w:num="1" w:equalWidth="0">
            <w:col w:w="10100" w:space="0"/>
            <w:col w:w="1129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367"/>
        <w:gridCol w:w="3367"/>
        <w:gridCol w:w="3367"/>
      </w:tblGrid>
      <w:tr>
        <w:trPr>
          <w:trHeight w:hRule="exact" w:val="210"/>
        </w:trPr>
        <w:tc>
          <w:tcPr>
            <w:tcW w:type="dxa" w:w="4190"/>
            <w:tcBorders>
              <w:bottom w:sz="8.0" w:val="single" w:color="#27903A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27903A"/>
                <w:sz w:val="20"/>
              </w:rPr>
              <w:t>ACS Applied Materials &amp; Interfaces</w:t>
            </w:r>
          </w:p>
        </w:tc>
        <w:tc>
          <w:tcPr>
            <w:tcW w:type="dxa" w:w="4526"/>
            <w:tcBorders>
              <w:bottom w:sz="8.0" w:val="single" w:color="#27903A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28" w:after="0"/>
              <w:ind w:left="0" w:right="2242" w:firstLine="0"/>
              <w:jc w:val="right"/>
            </w:pPr>
            <w:r>
              <w:rPr>
                <w:rFonts w:ascii="AdvOTce3d9a73" w:hAnsi="AdvOTce3d9a73" w:eastAsia="AdvOTce3d9a73"/>
                <w:b w:val="0"/>
                <w:i w:val="0"/>
                <w:color w:val="27903A"/>
                <w:sz w:val="16"/>
              </w:rPr>
              <w:t>www.acsami.org</w:t>
            </w:r>
          </w:p>
        </w:tc>
        <w:tc>
          <w:tcPr>
            <w:tcW w:type="dxa" w:w="1364"/>
            <w:tcBorders>
              <w:bottom w:sz="8.0" w:val="single" w:color="#27903A"/>
            </w:tcBorders>
            <w:shd w:fill="27903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28" w:after="0"/>
              <w:ind w:left="0" w:right="0" w:firstLine="0"/>
              <w:jc w:val="center"/>
            </w:pPr>
            <w:r>
              <w:rPr>
                <w:rFonts w:ascii="AdvOT46dcae81" w:hAnsi="AdvOT46dcae81" w:eastAsia="AdvOT46dcae81"/>
                <w:b w:val="0"/>
                <w:i w:val="0"/>
                <w:color w:val="FFFFFF"/>
                <w:sz w:val="16"/>
              </w:rPr>
              <w:t>Research Article</w:t>
            </w:r>
          </w:p>
        </w:tc>
      </w:tr>
    </w:tbl>
    <w:p>
      <w:pPr>
        <w:autoSpaceDN w:val="0"/>
        <w:autoSpaceDE w:val="0"/>
        <w:widowControl/>
        <w:spacing w:line="14" w:lineRule="exact" w:before="0" w:after="136"/>
        <w:ind w:left="0" w:right="0"/>
      </w:pPr>
    </w:p>
    <w:p>
      <w:pPr>
        <w:sectPr>
          <w:pgSz w:w="12509" w:h="16367"/>
          <w:pgMar w:top="468" w:right="1198" w:bottom="308" w:left="1210" w:header="720" w:footer="720" w:gutter="0"/>
          <w:cols w:space="720" w:num="1" w:equalWidth="0">
            <w:col w:w="10100" w:space="0"/>
            <w:col w:w="10100" w:space="0"/>
            <w:col w:w="1129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38" w:after="0"/>
        <w:ind w:left="0" w:right="18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precise extraction of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P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characteristics (Supporting In-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formation,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hyperlink r:id="rId38" w:history="1">
          <w:r>
            <w:rPr>
              <w:rStyle w:val="Hyperlink"/>
            </w:rPr>
            <w:t>Figure S1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). From this data, the crucial impact of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TE deposition conditions is evident. Sample A with a TE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deposited at the lowest deposition pressure of 1.3 mTorr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exhibits a remanent polarization of 14</w:t>
      </w:r>
      <w:r>
        <w:rPr>
          <w:rFonts w:ascii="03" w:hAnsi="03" w:eastAsia="03"/>
          <w:b w:val="0"/>
          <w:i w:val="0"/>
          <w:color w:val="000000"/>
          <w:sz w:val="20"/>
        </w:rPr>
        <w:t xml:space="preserve"> 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C/cm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at a maximum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electric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eld of 4 MV/cm (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>Figure 1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c). Increasing the pressure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to 2.6 mTorr (sample B) leads to a strong improvement of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P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 xml:space="preserve">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up to 30</w:t>
      </w:r>
      <w:r>
        <w:rPr>
          <w:rFonts w:ascii="03" w:hAnsi="03" w:eastAsia="03"/>
          <w:b w:val="0"/>
          <w:i w:val="0"/>
          <w:color w:val="000000"/>
          <w:sz w:val="20"/>
        </w:rPr>
        <w:t xml:space="preserve"> 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C/cm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. However, further increasing the chamber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pressure during TiN deposition (sample C) severely decreases 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P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r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again to 10</w:t>
      </w:r>
      <w:r>
        <w:rPr>
          <w:rFonts w:ascii="03" w:hAnsi="03" w:eastAsia="03"/>
          <w:b w:val="0"/>
          <w:i w:val="0"/>
          <w:color w:val="000000"/>
          <w:sz w:val="20"/>
        </w:rPr>
        <w:t xml:space="preserve"> 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C/cm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. Interestingly, upon the addition of a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low N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fl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ow of 6.25% at 4.0 mTorr deposition pressure,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polarization almost vanishes (sample D). Furthermore, with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N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fl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ow increased to 12.5%, the magnitude of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P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r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increases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again to 17</w:t>
      </w:r>
      <w:r>
        <w:rPr>
          <w:rFonts w:ascii="03" w:hAnsi="03" w:eastAsia="03"/>
          <w:b w:val="0"/>
          <w:i w:val="0"/>
          <w:color w:val="000000"/>
          <w:sz w:val="20"/>
        </w:rPr>
        <w:t xml:space="preserve"> 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C/cm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(sample E).</w:t>
      </w:r>
    </w:p>
    <w:p>
      <w:pPr>
        <w:autoSpaceDN w:val="0"/>
        <w:tabs>
          <w:tab w:pos="178" w:val="left"/>
        </w:tabs>
        <w:autoSpaceDE w:val="0"/>
        <w:widowControl/>
        <w:spacing w:line="220" w:lineRule="exact" w:before="38" w:after="0"/>
        <w:ind w:left="0" w:right="0" w:firstLine="0"/>
        <w:jc w:val="left"/>
      </w:pPr>
      <w:r>
        <w:tab/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To gain insights into the large di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erences in the electrical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data for the various TEs their crystal structure was investigated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by means of GIXRD.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 compares the measured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re</w:t>
      </w:r>
      <w:r>
        <w:rPr>
          <w:rFonts w:ascii="fb" w:hAnsi="fb" w:eastAsia="fb"/>
          <w:b w:val="0"/>
          <w:i w:val="0"/>
          <w:color w:val="000000"/>
          <w:sz w:val="20"/>
        </w:rPr>
        <w:t>fl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ections of TiN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lms deposited directly on Si substrates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under the same conditions as used for the MIS samples (see 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>Table 1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). Sputtered TiN tends to have a preferential grain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orientation (texturing) either with (111) or (002) aligned to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the sample surface normal depending on the processing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conditions.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13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(111) and (002) re</w:t>
      </w:r>
      <w:r>
        <w:rPr>
          <w:rFonts w:ascii="fb" w:hAnsi="fb" w:eastAsia="fb"/>
          <w:b w:val="0"/>
          <w:i w:val="0"/>
          <w:color w:val="000000"/>
          <w:sz w:val="20"/>
        </w:rPr>
        <w:t>fl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ections for cubic TiN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are found at 2</w:t>
      </w:r>
      <w:r>
        <w:rPr>
          <w:rFonts w:ascii="03" w:hAnsi="03" w:eastAsia="03"/>
          <w:b w:val="0"/>
          <w:i w:val="0"/>
          <w:color w:val="000000"/>
          <w:sz w:val="20"/>
        </w:rPr>
        <w:t>θ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= 36.5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>°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and 2</w:t>
      </w:r>
      <w:r>
        <w:rPr>
          <w:rFonts w:ascii="03" w:hAnsi="03" w:eastAsia="03"/>
          <w:b w:val="0"/>
          <w:i w:val="0"/>
          <w:color w:val="000000"/>
          <w:sz w:val="20"/>
        </w:rPr>
        <w:t>θ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= 42.5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>°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, respectively.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14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measured data in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 indicate that both (111) and (002)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re</w:t>
      </w:r>
      <w:r>
        <w:rPr>
          <w:rFonts w:ascii="fb" w:hAnsi="fb" w:eastAsia="fb"/>
          <w:b w:val="0"/>
          <w:i w:val="0"/>
          <w:color w:val="000000"/>
          <w:sz w:val="20"/>
        </w:rPr>
        <w:t>fl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ections are present in the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lms to di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erent extents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depending on the sputtering parameters used. Due to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limited di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raction signal of thin polycrystalline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lms in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regular Bragg geometry, we are forced to utilize GIXRD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geometry here, in which the measured (111) and (002) planes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are inclined at 18.25 and 21.25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>°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with respect to the surface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normal. The similar inclinations of the two re</w:t>
      </w:r>
      <w:r>
        <w:rPr>
          <w:rFonts w:ascii="fb" w:hAnsi="fb" w:eastAsia="fb"/>
          <w:b w:val="0"/>
          <w:i w:val="0"/>
          <w:color w:val="000000"/>
          <w:sz w:val="20"/>
        </w:rPr>
        <w:t>fl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ections allow us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to obtain an indication of the preferential grain orientation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from the relative peak intensities. A clear trend is observed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with increasing chamber pressure. For sample A deposited with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the lowest pressure of 1.3 mTorr, both (111) and (002) grain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orientations are present. However, when the pressure is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increased to 2.6 mTorr (sample B), the (002) re</w:t>
      </w:r>
      <w:r>
        <w:rPr>
          <w:rFonts w:ascii="fb" w:hAnsi="fb" w:eastAsia="fb"/>
          <w:b w:val="0"/>
          <w:i w:val="0"/>
          <w:color w:val="000000"/>
          <w:sz w:val="20"/>
        </w:rPr>
        <w:t>fl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ection is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reduced. Finally, for sample C with the highest deposition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pressure of 4.0 mTorr, there is no longer a distinct re</w:t>
      </w:r>
      <w:r>
        <w:rPr>
          <w:rFonts w:ascii="fb" w:hAnsi="fb" w:eastAsia="fb"/>
          <w:b w:val="0"/>
          <w:i w:val="0"/>
          <w:color w:val="000000"/>
          <w:sz w:val="20"/>
        </w:rPr>
        <w:t>fl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ection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from (002) oriented grains, and the (111) re</w:t>
      </w:r>
      <w:r>
        <w:rPr>
          <w:rFonts w:ascii="fb" w:hAnsi="fb" w:eastAsia="fb"/>
          <w:b w:val="0"/>
          <w:i w:val="0"/>
          <w:color w:val="000000"/>
          <w:sz w:val="20"/>
        </w:rPr>
        <w:t>fl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ection is lower in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intensity compared to A and B, indicating lower degree of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overall TiN crystallinity. This corresponds well with previously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reported trends for TiN sputtering in literature and can be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explained by a decreased ion energy with higher deposition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pressures.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13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The preferred texturing of TiN is decided by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overall energy minimization, which for TiN becomes a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competition between the low strain energy of the (111)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plane and low surface energy of the (002) plane.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15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At low ion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energy (high pressure), the strain energy dominates and (111)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texturing is thus preferred, while at higher ion energy (low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pressure), surface energy dominates, favoring (002) textur-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ing.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13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Interestingly, for samples D and E where a N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fl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ow is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introduced, the (002) re</w:t>
      </w:r>
      <w:r>
        <w:rPr>
          <w:rFonts w:ascii="fb" w:hAnsi="fb" w:eastAsia="fb"/>
          <w:b w:val="0"/>
          <w:i w:val="0"/>
          <w:color w:val="000000"/>
          <w:sz w:val="20"/>
        </w:rPr>
        <w:t>fl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ection is predominant. To under-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stand this, it is important to note that the TiN (111) plane is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fully nitrogen-terminated, whereas the (002) plane is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stoichiometric. With the addition of N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fl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ow during deposition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we obtain a surplus of N adatoms at the surface, which strongly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decreases the mean free path of Ti adatoms on the (001)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surface and promotes the growth on these planes, resulting in a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preferred (002) texturing.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 xml:space="preserve">13 </w:t>
      </w:r>
      <w:r>
        <w:br/>
      </w:r>
      <w:r>
        <w:tab/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GIXRD data of the Hf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1</w:t>
      </w:r>
      <w:r>
        <w:rPr>
          <w:w w:val="103.07692014254057"/>
          <w:rFonts w:ascii="22" w:hAnsi="22" w:eastAsia="22"/>
          <w:b w:val="0"/>
          <w:i w:val="0"/>
          <w:color w:val="000000"/>
          <w:sz w:val="13"/>
        </w:rPr>
        <w:t>−</w:t>
      </w:r>
      <w:r>
        <w:rPr>
          <w:w w:val="103.07692014254057"/>
          <w:rFonts w:ascii="AdvOT02ce3bbb.I" w:hAnsi="AdvOT02ce3bbb.I" w:eastAsia="AdvOT02ce3bbb.I"/>
          <w:b w:val="0"/>
          <w:i w:val="0"/>
          <w:color w:val="000000"/>
          <w:sz w:val="13"/>
        </w:rPr>
        <w:t>x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</w:t>
      </w:r>
      <w:r>
        <w:rPr>
          <w:w w:val="103.07692014254057"/>
          <w:rFonts w:ascii="AdvOT02ce3bbb.I" w:hAnsi="AdvOT02ce3bbb.I" w:eastAsia="AdvOT02ce3bbb.I"/>
          <w:b w:val="0"/>
          <w:i w:val="0"/>
          <w:color w:val="000000"/>
          <w:sz w:val="13"/>
        </w:rPr>
        <w:t>x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layer in the MIS samples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after annealing, presented in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b, highlights the impact of</w:t>
      </w:r>
    </w:p>
    <w:p>
      <w:pPr>
        <w:sectPr>
          <w:type w:val="continuous"/>
          <w:pgSz w:w="12509" w:h="16367"/>
          <w:pgMar w:top="468" w:right="1198" w:bottom="308" w:left="1210" w:header="720" w:footer="720" w:gutter="0"/>
          <w:cols w:space="720" w:num="2" w:equalWidth="0">
            <w:col w:w="4818" w:space="0"/>
            <w:col w:w="5282" w:space="0"/>
            <w:col w:w="10100" w:space="0"/>
            <w:col w:w="10100" w:space="0"/>
            <w:col w:w="11298" w:space="0"/>
          </w:cols>
          <w:docGrid w:linePitch="360"/>
        </w:sectPr>
      </w:pPr>
    </w:p>
    <w:p>
      <w:pPr>
        <w:autoSpaceDN w:val="0"/>
        <w:tabs>
          <w:tab w:pos="3116" w:val="left"/>
        </w:tabs>
        <w:autoSpaceDE w:val="0"/>
        <w:widowControl/>
        <w:spacing w:line="170" w:lineRule="exact" w:before="0" w:after="0"/>
        <w:ind w:left="20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15"/>
        </w:rPr>
        <w:t xml:space="preserve">11091 </w:t>
      </w:r>
      <w:r>
        <w:tab/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hyperlink r:id="rId26" w:history="1">
          <w:r>
            <w:rPr>
              <w:rStyle w:val="Hyperlink"/>
            </w:rPr>
            <w:t>https://dx.doi.org/10.1021/acsami.1c01734</w:t>
          </w:r>
        </w:hyperlink>
      </w:r>
    </w:p>
    <w:p>
      <w:pPr>
        <w:sectPr>
          <w:type w:val="nextColumn"/>
          <w:pgSz w:w="12509" w:h="16367"/>
          <w:pgMar w:top="468" w:right="1198" w:bottom="308" w:left="1210" w:header="720" w:footer="720" w:gutter="0"/>
          <w:cols w:space="720" w:num="2" w:equalWidth="0">
            <w:col w:w="4818" w:space="0"/>
            <w:col w:w="5282" w:space="0"/>
            <w:col w:w="10100" w:space="0"/>
            <w:col w:w="10100" w:space="0"/>
            <w:col w:w="1129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0.0" w:type="dxa"/>
      </w:tblPr>
      <w:tblGrid>
        <w:gridCol w:w="3370"/>
        <w:gridCol w:w="3370"/>
        <w:gridCol w:w="3370"/>
      </w:tblGrid>
      <w:tr>
        <w:trPr>
          <w:trHeight w:hRule="exact" w:val="210"/>
        </w:trPr>
        <w:tc>
          <w:tcPr>
            <w:tcW w:type="dxa" w:w="4190"/>
            <w:tcBorders>
              <w:bottom w:sz="8.0" w:val="single" w:color="#27903A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27903A"/>
                <w:sz w:val="20"/>
              </w:rPr>
              <w:t>ACS Applied Materials &amp; Interfaces</w:t>
            </w:r>
          </w:p>
        </w:tc>
        <w:tc>
          <w:tcPr>
            <w:tcW w:type="dxa" w:w="4526"/>
            <w:tcBorders>
              <w:bottom w:sz="8.0" w:val="single" w:color="#27903A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28" w:after="0"/>
              <w:ind w:left="0" w:right="2242" w:firstLine="0"/>
              <w:jc w:val="right"/>
            </w:pPr>
            <w:r>
              <w:rPr>
                <w:rFonts w:ascii="AdvOTce3d9a73" w:hAnsi="AdvOTce3d9a73" w:eastAsia="AdvOTce3d9a73"/>
                <w:b w:val="0"/>
                <w:i w:val="0"/>
                <w:color w:val="27903A"/>
                <w:sz w:val="16"/>
              </w:rPr>
              <w:t>www.acsami.org</w:t>
            </w:r>
          </w:p>
        </w:tc>
        <w:tc>
          <w:tcPr>
            <w:tcW w:type="dxa" w:w="1364"/>
            <w:tcBorders>
              <w:bottom w:sz="8.0" w:val="single" w:color="#27903A"/>
            </w:tcBorders>
            <w:shd w:fill="27903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28" w:after="0"/>
              <w:ind w:left="0" w:right="0" w:firstLine="0"/>
              <w:jc w:val="center"/>
            </w:pPr>
            <w:r>
              <w:rPr>
                <w:rFonts w:ascii="AdvOT46dcae81" w:hAnsi="AdvOT46dcae81" w:eastAsia="AdvOT46dcae81"/>
                <w:b w:val="0"/>
                <w:i w:val="0"/>
                <w:color w:val="FFFFFF"/>
                <w:sz w:val="16"/>
              </w:rPr>
              <w:t>Research Article</w:t>
            </w:r>
          </w:p>
        </w:tc>
      </w:tr>
    </w:tbl>
    <w:p>
      <w:pPr>
        <w:autoSpaceDN w:val="0"/>
        <w:autoSpaceDE w:val="0"/>
        <w:widowControl/>
        <w:spacing w:line="14" w:lineRule="exact" w:before="0" w:after="134"/>
        <w:ind w:left="0" w:right="0"/>
      </w:pPr>
    </w:p>
    <w:p>
      <w:pPr>
        <w:sectPr>
          <w:pgSz w:w="12509" w:h="16367"/>
          <w:pgMar w:top="468" w:right="1198" w:bottom="308" w:left="1200" w:header="720" w:footer="720" w:gutter="0"/>
          <w:cols w:space="720" w:num="1" w:equalWidth="0">
            <w:col w:w="10110" w:space="0"/>
            <w:col w:w="4818" w:space="0"/>
            <w:col w:w="5282" w:space="0"/>
            <w:col w:w="10100" w:space="0"/>
            <w:col w:w="10100" w:space="0"/>
            <w:col w:w="11298" w:space="0"/>
          </w:cols>
          <w:docGrid w:linePitch="360"/>
        </w:sectPr>
      </w:pPr>
    </w:p>
    <w:p>
      <w:pPr>
        <w:autoSpaceDN w:val="0"/>
        <w:autoSpaceDE w:val="0"/>
        <w:widowControl/>
        <w:spacing w:line="222" w:lineRule="exact" w:before="36" w:after="0"/>
        <w:ind w:left="10" w:right="18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correlation between the peak height of the o-(111) re</w:t>
      </w:r>
      <w:r>
        <w:rPr>
          <w:rFonts w:ascii="fb" w:hAnsi="fb" w:eastAsia="fb"/>
          <w:b w:val="0"/>
          <w:i w:val="0"/>
          <w:color w:val="000000"/>
          <w:sz w:val="20"/>
        </w:rPr>
        <w:t>fl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ection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and the remanent polarization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P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r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magnitude. By accounting for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the TiN TE, we provide further insights, revealing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additional interplay between the strength of the TiN (111)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texturing and the strength of the Hf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1</w:t>
      </w:r>
      <w:r>
        <w:rPr>
          <w:w w:val="103.07692014254057"/>
          <w:rFonts w:ascii="22" w:hAnsi="22" w:eastAsia="22"/>
          <w:b w:val="0"/>
          <w:i w:val="0"/>
          <w:color w:val="000000"/>
          <w:sz w:val="13"/>
        </w:rPr>
        <w:t>−</w:t>
      </w:r>
      <w:r>
        <w:rPr>
          <w:w w:val="103.07692014254057"/>
          <w:rFonts w:ascii="AdvOT02ce3bbb.I" w:hAnsi="AdvOT02ce3bbb.I" w:eastAsia="AdvOT02ce3bbb.I"/>
          <w:b w:val="0"/>
          <w:i w:val="0"/>
          <w:color w:val="000000"/>
          <w:sz w:val="13"/>
        </w:rPr>
        <w:t>x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</w:t>
      </w:r>
      <w:r>
        <w:rPr>
          <w:w w:val="103.07692014254057"/>
          <w:rFonts w:ascii="AdvOT02ce3bbb.I" w:hAnsi="AdvOT02ce3bbb.I" w:eastAsia="AdvOT02ce3bbb.I"/>
          <w:b w:val="0"/>
          <w:i w:val="0"/>
          <w:color w:val="000000"/>
          <w:sz w:val="13"/>
        </w:rPr>
        <w:t>x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o-(111)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re</w:t>
      </w:r>
      <w:r>
        <w:rPr>
          <w:rFonts w:ascii="fb" w:hAnsi="fb" w:eastAsia="fb"/>
          <w:b w:val="0"/>
          <w:i w:val="0"/>
          <w:color w:val="000000"/>
          <w:sz w:val="20"/>
        </w:rPr>
        <w:t>fl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ection. This correlation is highlighted in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c. For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information regarding the calculation of the relative peak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intensities, we refer to the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hyperlink r:id="rId38" w:history="1">
          <w:r>
            <w:rPr>
              <w:rStyle w:val="Hyperlink"/>
            </w:rPr>
            <w:t>Supporting Information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22" w:lineRule="exact" w:before="2" w:after="0"/>
        <w:ind w:left="0" w:right="18" w:firstLine="0"/>
        <w:jc w:val="right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It is important to understand why the conditions yielding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predominant (111) texturing of the TiN also lead to a strong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FE response of the Hf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1</w:t>
      </w:r>
      <w:r>
        <w:rPr>
          <w:w w:val="103.07692014254057"/>
          <w:rFonts w:ascii="22" w:hAnsi="22" w:eastAsia="22"/>
          <w:b w:val="0"/>
          <w:i w:val="0"/>
          <w:color w:val="000000"/>
          <w:sz w:val="13"/>
        </w:rPr>
        <w:t>−</w:t>
      </w:r>
      <w:r>
        <w:rPr>
          <w:w w:val="103.07692014254057"/>
          <w:rFonts w:ascii="AdvOT02ce3bbb.I" w:hAnsi="AdvOT02ce3bbb.I" w:eastAsia="AdvOT02ce3bbb.I"/>
          <w:b w:val="0"/>
          <w:i w:val="0"/>
          <w:color w:val="000000"/>
          <w:sz w:val="13"/>
        </w:rPr>
        <w:t>x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</w:t>
      </w:r>
      <w:r>
        <w:rPr>
          <w:w w:val="103.07692014254057"/>
          <w:rFonts w:ascii="AdvOT02ce3bbb.I" w:hAnsi="AdvOT02ce3bbb.I" w:eastAsia="AdvOT02ce3bbb.I"/>
          <w:b w:val="0"/>
          <w:i w:val="0"/>
          <w:color w:val="000000"/>
          <w:sz w:val="13"/>
        </w:rPr>
        <w:t>x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lm, while the FE response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diminishes with stronger (002) texturing. A possible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explanation for this lies in the induced strain from the TiN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on the Hf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1</w:t>
      </w:r>
      <w:r>
        <w:rPr>
          <w:w w:val="103.07692014254057"/>
          <w:rFonts w:ascii="22" w:hAnsi="22" w:eastAsia="22"/>
          <w:b w:val="0"/>
          <w:i w:val="0"/>
          <w:color w:val="000000"/>
          <w:sz w:val="13"/>
        </w:rPr>
        <w:t>−</w:t>
      </w:r>
      <w:r>
        <w:rPr>
          <w:w w:val="103.07692014254057"/>
          <w:rFonts w:ascii="AdvOT02ce3bbb.I" w:hAnsi="AdvOT02ce3bbb.I" w:eastAsia="AdvOT02ce3bbb.I"/>
          <w:b w:val="0"/>
          <w:i w:val="0"/>
          <w:color w:val="000000"/>
          <w:sz w:val="13"/>
        </w:rPr>
        <w:t>x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</w:t>
      </w:r>
      <w:r>
        <w:rPr>
          <w:w w:val="103.07692014254057"/>
          <w:rFonts w:ascii="AdvOT02ce3bbb.I" w:hAnsi="AdvOT02ce3bbb.I" w:eastAsia="AdvOT02ce3bbb.I"/>
          <w:b w:val="0"/>
          <w:i w:val="0"/>
          <w:color w:val="000000"/>
          <w:sz w:val="13"/>
        </w:rPr>
        <w:t>x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during the crystallization process. For TiN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with (002) texturing, there will be compressive stress (up to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0.7 GPa) acting on the underlying Hf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1</w:t>
      </w:r>
      <w:r>
        <w:rPr>
          <w:w w:val="103.07692014254057"/>
          <w:rFonts w:ascii="22" w:hAnsi="22" w:eastAsia="22"/>
          <w:b w:val="0"/>
          <w:i w:val="0"/>
          <w:color w:val="000000"/>
          <w:sz w:val="13"/>
        </w:rPr>
        <w:t>−</w:t>
      </w:r>
      <w:r>
        <w:rPr>
          <w:w w:val="103.07692014254057"/>
          <w:rFonts w:ascii="AdvOT02ce3bbb.I" w:hAnsi="AdvOT02ce3bbb.I" w:eastAsia="AdvOT02ce3bbb.I"/>
          <w:b w:val="0"/>
          <w:i w:val="0"/>
          <w:color w:val="000000"/>
          <w:sz w:val="13"/>
        </w:rPr>
        <w:t>x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</w:t>
      </w:r>
      <w:r>
        <w:rPr>
          <w:w w:val="103.07692014254057"/>
          <w:rFonts w:ascii="AdvOT02ce3bbb.I" w:hAnsi="AdvOT02ce3bbb.I" w:eastAsia="AdvOT02ce3bbb.I"/>
          <w:b w:val="0"/>
          <w:i w:val="0"/>
          <w:color w:val="000000"/>
          <w:sz w:val="13"/>
        </w:rPr>
        <w:t>x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, whereas in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the case of (111) texturing, a tensile stress (up to 1.4 GPa) is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present instead.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13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Indeed, we here extract a</w:t>
      </w:r>
      <w:r>
        <w:rPr>
          <w:rFonts w:ascii="22" w:hAnsi="22" w:eastAsia="22"/>
          <w:b w:val="0"/>
          <w:i w:val="0"/>
          <w:color w:val="000000"/>
          <w:sz w:val="20"/>
        </w:rPr>
        <w:t xml:space="preserve"> 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1% out-of-plane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tensile strain from the TiN peak positions in samples A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con</w:t>
      </w:r>
      <w:r>
        <w:rPr>
          <w:rFonts w:ascii="fb" w:hAnsi="fb" w:eastAsia="fb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rmed by wafer curvature measurements. In samples D and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E, we instead observe</w:t>
      </w:r>
      <w:r>
        <w:rPr>
          <w:rFonts w:ascii="22" w:hAnsi="22" w:eastAsia="22"/>
          <w:b w:val="0"/>
          <w:i w:val="0"/>
          <w:color w:val="000000"/>
          <w:sz w:val="20"/>
        </w:rPr>
        <w:t xml:space="preserve"> 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1% compressive strain (Supporting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Information,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hyperlink r:id="rId38" w:history="1">
          <w:r>
            <w:rPr>
              <w:rStyle w:val="Hyperlink"/>
            </w:rPr>
            <w:t>Figures S3 and S4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). Thus for samples A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C, we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expect the out-of-plane tensile strain in the TiN to induce an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in-plane tensile stress in the underlying Hf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1</w:t>
      </w:r>
      <w:r>
        <w:rPr>
          <w:w w:val="103.07692014254057"/>
          <w:rFonts w:ascii="22" w:hAnsi="22" w:eastAsia="22"/>
          <w:b w:val="0"/>
          <w:i w:val="0"/>
          <w:color w:val="000000"/>
          <w:sz w:val="13"/>
        </w:rPr>
        <w:t>−</w:t>
      </w:r>
      <w:r>
        <w:rPr>
          <w:w w:val="103.07692014254057"/>
          <w:rFonts w:ascii="AdvOT02ce3bbb.I" w:hAnsi="AdvOT02ce3bbb.I" w:eastAsia="AdvOT02ce3bbb.I"/>
          <w:b w:val="0"/>
          <w:i w:val="0"/>
          <w:color w:val="000000"/>
          <w:sz w:val="13"/>
        </w:rPr>
        <w:t>x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</w:t>
      </w:r>
      <w:r>
        <w:rPr>
          <w:w w:val="103.07692014254057"/>
          <w:rFonts w:ascii="AdvOT02ce3bbb.I" w:hAnsi="AdvOT02ce3bbb.I" w:eastAsia="AdvOT02ce3bbb.I"/>
          <w:b w:val="0"/>
          <w:i w:val="0"/>
          <w:color w:val="000000"/>
          <w:sz w:val="13"/>
        </w:rPr>
        <w:t>x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layer.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There are many reports of in-plane tensile stress enhancing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out-of-plane FE properties since it allows for the trans-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formation between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c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-axis of the tetragonal phase into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a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-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axis of the orthorhombic FE phase.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4</w:t>
      </w:r>
      <w:r>
        <w:rPr>
          <w:w w:val="101.00952557155065"/>
          <w:rFonts w:ascii="AdvOT2e364b11" w:hAnsi="AdvOT2e364b11" w:eastAsia="AdvOT2e364b11"/>
          <w:b w:val="0"/>
          <w:i w:val="0"/>
          <w:color w:val="000000"/>
          <w:sz w:val="14"/>
        </w:rPr>
        <w:t>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16</w:t>
      </w:r>
      <w:r>
        <w:rPr>
          <w:w w:val="101.00952557155065"/>
          <w:rFonts w:ascii="22" w:hAnsi="22" w:eastAsia="22"/>
          <w:b w:val="0"/>
          <w:i w:val="0"/>
          <w:color w:val="000000"/>
          <w:sz w:val="14"/>
        </w:rPr>
        <w:t>−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20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It is worth noting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that despite having predominantly (002) texturing, sample 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with TiN deposited with 12.5% N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exhibits a relatively strong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o-(111) re</w:t>
      </w:r>
      <w:r>
        <w:rPr>
          <w:rFonts w:ascii="fb" w:hAnsi="fb" w:eastAsia="fb"/>
          <w:b w:val="0"/>
          <w:i w:val="0"/>
          <w:color w:val="000000"/>
          <w:sz w:val="20"/>
        </w:rPr>
        <w:t>fl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ection and in turn, a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P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r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= 17</w:t>
      </w:r>
      <w:r>
        <w:rPr>
          <w:rFonts w:ascii="03" w:hAnsi="03" w:eastAsia="03"/>
          <w:b w:val="0"/>
          <w:i w:val="0"/>
          <w:color w:val="000000"/>
          <w:sz w:val="20"/>
        </w:rPr>
        <w:t xml:space="preserve"> 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C/cm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at 4 V bias.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Clearly, for this sample, the TiN texturing cannot explain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presence of the FE Hf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1</w:t>
      </w:r>
      <w:r>
        <w:rPr>
          <w:w w:val="103.07692014254057"/>
          <w:rFonts w:ascii="22" w:hAnsi="22" w:eastAsia="22"/>
          <w:b w:val="0"/>
          <w:i w:val="0"/>
          <w:color w:val="000000"/>
          <w:sz w:val="13"/>
        </w:rPr>
        <w:t>−</w:t>
      </w:r>
      <w:r>
        <w:rPr>
          <w:w w:val="103.07692014254057"/>
          <w:rFonts w:ascii="AdvOT02ce3bbb.I" w:hAnsi="AdvOT02ce3bbb.I" w:eastAsia="AdvOT02ce3bbb.I"/>
          <w:b w:val="0"/>
          <w:i w:val="0"/>
          <w:color w:val="000000"/>
          <w:sz w:val="13"/>
        </w:rPr>
        <w:t>x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</w:t>
      </w:r>
      <w:r>
        <w:rPr>
          <w:w w:val="103.07692014254057"/>
          <w:rFonts w:ascii="AdvOT02ce3bbb.I" w:hAnsi="AdvOT02ce3bbb.I" w:eastAsia="AdvOT02ce3bbb.I"/>
          <w:b w:val="0"/>
          <w:i w:val="0"/>
          <w:color w:val="000000"/>
          <w:sz w:val="13"/>
        </w:rPr>
        <w:t>x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phase and has therefore been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excluded in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c. We believe that the origin of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P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r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in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sample E is due to the high level of added nitrogen during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deposition of TiN, as was previously observed by Luo et al.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 xml:space="preserve">11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Complementing the electrical measurements, NEXAFS and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XPS were conducted to investigate compositional di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erences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between samples. MIS structures with 2 nm thin TiN layers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were processed using the same deposition conditions as before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(see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Table 1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) to accommodate the surface sensitivity of these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techniques.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3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shows X-ray absorption spectra (XAS)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comparing the nitrogen K-edges of samples with varying N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</w:p>
    <w:p>
      <w:pPr>
        <w:autoSpaceDN w:val="0"/>
        <w:autoSpaceDE w:val="0"/>
        <w:widowControl/>
        <w:spacing w:line="240" w:lineRule="auto" w:before="228" w:after="3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959100" cy="17145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7145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40.0" w:type="dxa"/>
      </w:tblPr>
      <w:tblGrid>
        <w:gridCol w:w="1685"/>
        <w:gridCol w:w="1685"/>
        <w:gridCol w:w="1685"/>
        <w:gridCol w:w="1685"/>
        <w:gridCol w:w="1685"/>
        <w:gridCol w:w="1685"/>
      </w:tblGrid>
      <w:tr>
        <w:trPr>
          <w:trHeight w:hRule="exact" w:val="230"/>
        </w:trPr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0" w:after="0"/>
              <w:ind w:left="14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41300" cy="1016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300" cy="10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54000" cy="101600"/>
                  <wp:docPr id="20" name="Picture 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00" cy="10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41300" cy="101600"/>
                  <wp:docPr id="21" name="Picture 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300" cy="10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54000" cy="101600"/>
                  <wp:docPr id="22" name="Picture 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00" cy="10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54000" cy="101600"/>
                  <wp:docPr id="23" name="Picture 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00" cy="10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0" w:after="0"/>
              <w:ind w:left="0" w:right="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241300" cy="101600"/>
                  <wp:docPr id="24" name="Picture 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300" cy="10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40" w:lineRule="auto" w:before="40" w:after="0"/>
        <w:ind w:left="0" w:right="1688" w:firstLine="0"/>
        <w:jc w:val="right"/>
      </w:pPr>
      <w:r>
        <w:drawing>
          <wp:inline xmlns:a="http://schemas.openxmlformats.org/drawingml/2006/main" xmlns:pic="http://schemas.openxmlformats.org/drawingml/2006/picture">
            <wp:extent cx="774700" cy="15240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74700" cy="152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08" w:lineRule="exact" w:before="302" w:after="0"/>
        <w:ind w:left="10" w:right="18" w:firstLine="0"/>
        <w:jc w:val="both"/>
      </w:pPr>
      <w:r>
        <w:rPr>
          <w:rFonts w:ascii="AdvOT51c1769e" w:hAnsi="AdvOT51c1769e" w:eastAsia="AdvOT51c1769e"/>
          <w:b w:val="0"/>
          <w:i w:val="0"/>
          <w:color w:val="000000"/>
          <w:sz w:val="18"/>
        </w:rPr>
        <w:t>Figure 3.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XAS and integrated intensity of nitrogen K-edges. Spectra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are of TiN deposited with (C) 0% N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100% Ar</w:t>
      </w:r>
      <w:r>
        <w:rPr>
          <w:rFonts w:ascii="fb" w:hAnsi="fb" w:eastAsia="fb"/>
          <w:b w:val="0"/>
          <w:i w:val="0"/>
          <w:color w:val="000000"/>
          <w:sz w:val="18"/>
        </w:rPr>
        <w:t xml:space="preserve"> fl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ow (dark red), (D)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6.25% N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fb" w:hAnsi="fb" w:eastAsia="fb"/>
          <w:b w:val="0"/>
          <w:i w:val="0"/>
          <w:color w:val="000000"/>
          <w:sz w:val="18"/>
        </w:rPr>
        <w:t xml:space="preserve"> fl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ow (dark green), and (E) 12.5% N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fb" w:hAnsi="fb" w:eastAsia="fb"/>
          <w:b w:val="0"/>
          <w:i w:val="0"/>
          <w:color w:val="000000"/>
          <w:sz w:val="18"/>
        </w:rPr>
        <w:t xml:space="preserve"> fl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ow (bright green).</w:t>
      </w:r>
    </w:p>
    <w:p>
      <w:pPr>
        <w:sectPr>
          <w:type w:val="continuous"/>
          <w:pgSz w:w="12509" w:h="16367"/>
          <w:pgMar w:top="468" w:right="1198" w:bottom="308" w:left="1200" w:header="720" w:footer="720" w:gutter="0"/>
          <w:cols w:space="720" w:num="2" w:equalWidth="0">
            <w:col w:w="4828" w:space="0"/>
            <w:col w:w="5282" w:space="0"/>
            <w:col w:w="10110" w:space="0"/>
            <w:col w:w="4818" w:space="0"/>
            <w:col w:w="5282" w:space="0"/>
            <w:col w:w="10100" w:space="0"/>
            <w:col w:w="10100" w:space="0"/>
            <w:col w:w="11298" w:space="0"/>
          </w:cols>
          <w:docGrid w:linePitch="360"/>
        </w:sectPr>
      </w:pPr>
    </w:p>
    <w:p>
      <w:pPr>
        <w:autoSpaceDN w:val="0"/>
        <w:tabs>
          <w:tab w:pos="3116" w:val="left"/>
        </w:tabs>
        <w:autoSpaceDE w:val="0"/>
        <w:widowControl/>
        <w:spacing w:line="170" w:lineRule="exact" w:before="0" w:after="0"/>
        <w:ind w:left="20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15"/>
        </w:rPr>
        <w:t xml:space="preserve">11092 </w:t>
      </w:r>
      <w:r>
        <w:tab/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hyperlink r:id="rId26" w:history="1">
          <w:r>
            <w:rPr>
              <w:rStyle w:val="Hyperlink"/>
            </w:rPr>
            <w:t>https://dx.doi.org/10.1021/acsami.1c01734</w:t>
          </w:r>
        </w:hyperlink>
      </w:r>
    </w:p>
    <w:p>
      <w:pPr>
        <w:sectPr>
          <w:type w:val="nextColumn"/>
          <w:pgSz w:w="12509" w:h="16367"/>
          <w:pgMar w:top="468" w:right="1198" w:bottom="308" w:left="1200" w:header="720" w:footer="720" w:gutter="0"/>
          <w:cols w:space="720" w:num="2" w:equalWidth="0">
            <w:col w:w="4828" w:space="0"/>
            <w:col w:w="5282" w:space="0"/>
            <w:col w:w="10110" w:space="0"/>
            <w:col w:w="4818" w:space="0"/>
            <w:col w:w="5282" w:space="0"/>
            <w:col w:w="10100" w:space="0"/>
            <w:col w:w="10100" w:space="0"/>
            <w:col w:w="1129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0.0" w:type="dxa"/>
      </w:tblPr>
      <w:tblGrid>
        <w:gridCol w:w="3370"/>
        <w:gridCol w:w="3370"/>
        <w:gridCol w:w="3370"/>
      </w:tblGrid>
      <w:tr>
        <w:trPr>
          <w:trHeight w:hRule="exact" w:val="210"/>
        </w:trPr>
        <w:tc>
          <w:tcPr>
            <w:tcW w:type="dxa" w:w="4190"/>
            <w:tcBorders>
              <w:bottom w:sz="8.0" w:val="single" w:color="#27903A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27903A"/>
                <w:sz w:val="20"/>
              </w:rPr>
              <w:t>ACS Applied Materials &amp; Interfaces</w:t>
            </w:r>
          </w:p>
        </w:tc>
        <w:tc>
          <w:tcPr>
            <w:tcW w:type="dxa" w:w="4526"/>
            <w:tcBorders>
              <w:bottom w:sz="8.0" w:val="single" w:color="#27903A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28" w:after="0"/>
              <w:ind w:left="0" w:right="2242" w:firstLine="0"/>
              <w:jc w:val="right"/>
            </w:pPr>
            <w:r>
              <w:rPr>
                <w:rFonts w:ascii="AdvOTce3d9a73" w:hAnsi="AdvOTce3d9a73" w:eastAsia="AdvOTce3d9a73"/>
                <w:b w:val="0"/>
                <w:i w:val="0"/>
                <w:color w:val="27903A"/>
                <w:sz w:val="16"/>
              </w:rPr>
              <w:t>www.acsami.org</w:t>
            </w:r>
          </w:p>
        </w:tc>
        <w:tc>
          <w:tcPr>
            <w:tcW w:type="dxa" w:w="1364"/>
            <w:tcBorders>
              <w:bottom w:sz="8.0" w:val="single" w:color="#27903A"/>
            </w:tcBorders>
            <w:shd w:fill="27903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28" w:after="0"/>
              <w:ind w:left="0" w:right="0" w:firstLine="0"/>
              <w:jc w:val="center"/>
            </w:pPr>
            <w:r>
              <w:rPr>
                <w:rFonts w:ascii="AdvOT46dcae81" w:hAnsi="AdvOT46dcae81" w:eastAsia="AdvOT46dcae81"/>
                <w:b w:val="0"/>
                <w:i w:val="0"/>
                <w:color w:val="FFFFFF"/>
                <w:sz w:val="16"/>
              </w:rPr>
              <w:t>Research Article</w:t>
            </w:r>
          </w:p>
        </w:tc>
      </w:tr>
    </w:tbl>
    <w:p>
      <w:pPr>
        <w:autoSpaceDN w:val="0"/>
        <w:autoSpaceDE w:val="0"/>
        <w:widowControl/>
        <w:spacing w:line="14" w:lineRule="exact" w:before="0" w:after="20"/>
        <w:ind w:left="0" w:right="0"/>
      </w:pPr>
    </w:p>
    <w:p>
      <w:pPr>
        <w:sectPr>
          <w:pgSz w:w="12509" w:h="16367"/>
          <w:pgMar w:top="468" w:right="1198" w:bottom="308" w:left="1200" w:header="720" w:footer="720" w:gutter="0"/>
          <w:cols w:space="720" w:num="1" w:equalWidth="0">
            <w:col w:w="10110" w:space="0"/>
            <w:col w:w="4828" w:space="0"/>
            <w:col w:w="5282" w:space="0"/>
            <w:col w:w="10110" w:space="0"/>
            <w:col w:w="4818" w:space="0"/>
            <w:col w:w="5282" w:space="0"/>
            <w:col w:w="10100" w:space="0"/>
            <w:col w:w="10100" w:space="0"/>
            <w:col w:w="1129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176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3022600" cy="166370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1663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3680" w:val="left"/>
        </w:tabs>
        <w:autoSpaceDE w:val="0"/>
        <w:widowControl/>
        <w:spacing w:line="240" w:lineRule="auto" w:before="120" w:after="0"/>
        <w:ind w:left="11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435100" cy="13970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435100" cy="1397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622300" cy="13970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22300" cy="139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6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3035300" cy="237490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2374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12" w:lineRule="exact" w:before="160" w:after="0"/>
        <w:ind w:left="10" w:right="18" w:firstLine="0"/>
        <w:jc w:val="both"/>
      </w:pPr>
      <w:r>
        <w:rPr>
          <w:rFonts w:ascii="AdvOT51c1769e" w:hAnsi="AdvOT51c1769e" w:eastAsia="AdvOT51c1769e"/>
          <w:b w:val="0"/>
          <w:i w:val="0"/>
          <w:color w:val="000000"/>
          <w:sz w:val="18"/>
        </w:rPr>
        <w:t>Figure 4.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(a) Evolution of the PE curve of sample E at 3 V during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cycling from pristine to 10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cycles and (b) cycling endurance at 3 V at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a frequency of 10 kHz displaying the changes in the remanent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polarization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P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r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as a function of switching cycles.</w:t>
      </w:r>
    </w:p>
    <w:p>
      <w:pPr>
        <w:autoSpaceDN w:val="0"/>
        <w:autoSpaceDE w:val="0"/>
        <w:widowControl/>
        <w:spacing w:line="220" w:lineRule="exact" w:before="188" w:after="0"/>
        <w:ind w:left="10" w:right="18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the superior endurance of sample D could be explained by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combination of added N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together with a very low remanent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polarization.</w:t>
      </w:r>
    </w:p>
    <w:p>
      <w:pPr>
        <w:autoSpaceDN w:val="0"/>
        <w:autoSpaceDE w:val="0"/>
        <w:widowControl/>
        <w:spacing w:line="220" w:lineRule="exact" w:before="4" w:after="0"/>
        <w:ind w:left="10" w:right="18" w:firstLine="178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It is a common explanation that one of the limiting factors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for cycling endurance in Hf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1</w:t>
      </w:r>
      <w:r>
        <w:rPr>
          <w:w w:val="103.07692014254057"/>
          <w:rFonts w:ascii="22" w:hAnsi="22" w:eastAsia="22"/>
          <w:b w:val="0"/>
          <w:i w:val="0"/>
          <w:color w:val="000000"/>
          <w:sz w:val="13"/>
        </w:rPr>
        <w:t>−</w:t>
      </w:r>
      <w:r>
        <w:rPr>
          <w:w w:val="103.07692014254057"/>
          <w:rFonts w:ascii="AdvOT02ce3bbb.I" w:hAnsi="AdvOT02ce3bbb.I" w:eastAsia="AdvOT02ce3bbb.I"/>
          <w:b w:val="0"/>
          <w:i w:val="0"/>
          <w:color w:val="000000"/>
          <w:sz w:val="13"/>
        </w:rPr>
        <w:t>x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</w:t>
      </w:r>
      <w:r>
        <w:rPr>
          <w:w w:val="103.07692014254057"/>
          <w:rFonts w:ascii="AdvOT02ce3bbb.I" w:hAnsi="AdvOT02ce3bbb.I" w:eastAsia="AdvOT02ce3bbb.I"/>
          <w:b w:val="0"/>
          <w:i w:val="0"/>
          <w:color w:val="000000"/>
          <w:sz w:val="13"/>
        </w:rPr>
        <w:t>x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-based FE devices is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generation and accumulation of oxygen vacancy defects, which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ultimately lead to hard breakdown of the oxide.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24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Titanium is a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known oxygen scavenger which drives this e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ect.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25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Thus, 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de</w:t>
      </w:r>
      <w:r>
        <w:rPr>
          <w:rFonts w:ascii="fb" w:hAnsi="fb" w:eastAsia="fb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ciencies in the TiN TE may negatively in</w:t>
      </w:r>
      <w:r>
        <w:rPr>
          <w:rFonts w:ascii="fb" w:hAnsi="fb" w:eastAsia="fb"/>
          <w:b w:val="0"/>
          <w:i w:val="0"/>
          <w:color w:val="000000"/>
          <w:sz w:val="20"/>
        </w:rPr>
        <w:t>fl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uence the FE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endurance by scavenging oxygen from the Hf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1</w:t>
      </w:r>
      <w:r>
        <w:rPr>
          <w:w w:val="103.07692014254057"/>
          <w:rFonts w:ascii="22" w:hAnsi="22" w:eastAsia="22"/>
          <w:b w:val="0"/>
          <w:i w:val="0"/>
          <w:color w:val="000000"/>
          <w:sz w:val="13"/>
        </w:rPr>
        <w:t>−</w:t>
      </w:r>
      <w:r>
        <w:rPr>
          <w:w w:val="103.07692014254057"/>
          <w:rFonts w:ascii="AdvOT02ce3bbb.I" w:hAnsi="AdvOT02ce3bbb.I" w:eastAsia="AdvOT02ce3bbb.I"/>
          <w:b w:val="0"/>
          <w:i w:val="0"/>
          <w:color w:val="000000"/>
          <w:sz w:val="13"/>
        </w:rPr>
        <w:t>x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</w:t>
      </w:r>
      <w:r>
        <w:rPr>
          <w:w w:val="103.07692014254057"/>
          <w:rFonts w:ascii="AdvOT02ce3bbb.I" w:hAnsi="AdvOT02ce3bbb.I" w:eastAsia="AdvOT02ce3bbb.I"/>
          <w:b w:val="0"/>
          <w:i w:val="0"/>
          <w:color w:val="000000"/>
          <w:sz w:val="13"/>
        </w:rPr>
        <w:t>x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. In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support of this, Lin et al. recently indicated an increase of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oxygen vacancies together with the breakage of Hf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O bonds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when exposing a TiN/HfO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structure to electrical stress.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26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It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can therefore be bene</w:t>
      </w:r>
      <w:r>
        <w:rPr>
          <w:rFonts w:ascii="fb" w:hAnsi="fb" w:eastAsia="fb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cial to deposit a N-rich TiN TE to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minimize the oxygen scavenging e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ect, especially when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endurance is of importance. Thus, we propose that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extended endurance observed with added N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during TiN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deposition is a result of increased nitrogen incorporation in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TiN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lm, leading to less oxygen scavenging. EDX analysis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supports this, as a higher nitrogen content was found for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samples D (57.2 at. %) and E (59.3 at. %) when compared to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sample C (55.1 at. %) (Supporting Information,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hyperlink r:id="rId38" w:history="1">
          <w:r>
            <w:rPr>
              <w:rStyle w:val="Hyperlink"/>
            </w:rPr>
            <w:t xml:space="preserve">Table S1 and </w:t>
          </w:r>
        </w:hyperlink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hyperlink r:id="rId38" w:history="1">
          <w:r>
            <w:rPr>
              <w:rStyle w:val="Hyperlink"/>
            </w:rPr>
            <w:t>Figure S7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). Moreover, XPS data from samples C, D, and 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corroborate the observations, showing increased nitrogen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incorporation with gas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fl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ow. The Ti 2p core level was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monitored for chemical shifts over an incident X-ray energy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varying from 550 to 1150 eV, corresponding to an inelastic</w:t>
      </w:r>
    </w:p>
    <w:p>
      <w:pPr>
        <w:sectPr>
          <w:type w:val="continuous"/>
          <w:pgSz w:w="12509" w:h="16367"/>
          <w:pgMar w:top="468" w:right="1198" w:bottom="308" w:left="1200" w:header="720" w:footer="720" w:gutter="0"/>
          <w:cols w:space="720" w:num="2" w:equalWidth="0">
            <w:col w:w="4828" w:space="0"/>
            <w:col w:w="5282" w:space="0"/>
            <w:col w:w="10110" w:space="0"/>
            <w:col w:w="4828" w:space="0"/>
            <w:col w:w="5282" w:space="0"/>
            <w:col w:w="10110" w:space="0"/>
            <w:col w:w="4818" w:space="0"/>
            <w:col w:w="5282" w:space="0"/>
            <w:col w:w="10100" w:space="0"/>
            <w:col w:w="10100" w:space="0"/>
            <w:col w:w="11298" w:space="0"/>
          </w:cols>
          <w:docGrid w:linePitch="360"/>
        </w:sectPr>
      </w:pPr>
    </w:p>
    <w:p>
      <w:pPr>
        <w:autoSpaceDN w:val="0"/>
        <w:tabs>
          <w:tab w:pos="3116" w:val="left"/>
        </w:tabs>
        <w:autoSpaceDE w:val="0"/>
        <w:widowControl/>
        <w:spacing w:line="170" w:lineRule="exact" w:before="0" w:after="0"/>
        <w:ind w:left="20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15"/>
        </w:rPr>
        <w:t xml:space="preserve">11093 </w:t>
      </w:r>
      <w:r>
        <w:tab/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hyperlink r:id="rId26" w:history="1">
          <w:r>
            <w:rPr>
              <w:rStyle w:val="Hyperlink"/>
            </w:rPr>
            <w:t>https://dx.doi.org/10.1021/acsami.1c01734</w:t>
          </w:r>
        </w:hyperlink>
      </w:r>
    </w:p>
    <w:p>
      <w:pPr>
        <w:sectPr>
          <w:type w:val="nextColumn"/>
          <w:pgSz w:w="12509" w:h="16367"/>
          <w:pgMar w:top="468" w:right="1198" w:bottom="308" w:left="1200" w:header="720" w:footer="720" w:gutter="0"/>
          <w:cols w:space="720" w:num="2" w:equalWidth="0">
            <w:col w:w="4828" w:space="0"/>
            <w:col w:w="5282" w:space="0"/>
            <w:col w:w="10110" w:space="0"/>
            <w:col w:w="4828" w:space="0"/>
            <w:col w:w="5282" w:space="0"/>
            <w:col w:w="10110" w:space="0"/>
            <w:col w:w="4818" w:space="0"/>
            <w:col w:w="5282" w:space="0"/>
            <w:col w:w="10100" w:space="0"/>
            <w:col w:w="10100" w:space="0"/>
            <w:col w:w="1129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0.0" w:type="dxa"/>
      </w:tblPr>
      <w:tblGrid>
        <w:gridCol w:w="674"/>
        <w:gridCol w:w="674"/>
        <w:gridCol w:w="674"/>
        <w:gridCol w:w="674"/>
        <w:gridCol w:w="674"/>
        <w:gridCol w:w="674"/>
        <w:gridCol w:w="674"/>
        <w:gridCol w:w="674"/>
        <w:gridCol w:w="674"/>
        <w:gridCol w:w="674"/>
        <w:gridCol w:w="674"/>
        <w:gridCol w:w="674"/>
        <w:gridCol w:w="674"/>
        <w:gridCol w:w="674"/>
        <w:gridCol w:w="674"/>
      </w:tblGrid>
      <w:tr>
        <w:trPr>
          <w:trHeight w:hRule="exact" w:val="230"/>
        </w:trPr>
        <w:tc>
          <w:tcPr>
            <w:tcW w:type="dxa" w:w="5010"/>
            <w:gridSpan w:val="7"/>
            <w:tcBorders>
              <w:bottom w:sz="8.0" w:val="single" w:color="#27903A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27903A"/>
                <w:sz w:val="20"/>
              </w:rPr>
              <w:t>ACS Applied Materials &amp; Interfaces</w:t>
            </w:r>
          </w:p>
        </w:tc>
        <w:tc>
          <w:tcPr>
            <w:tcW w:type="dxa" w:w="3706"/>
            <w:gridSpan w:val="6"/>
            <w:tcBorders>
              <w:bottom w:sz="8.0" w:val="single" w:color="#27903A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28" w:after="0"/>
              <w:ind w:left="312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27903A"/>
                <w:sz w:val="16"/>
              </w:rPr>
              <w:t>www.acsami.org</w:t>
            </w:r>
          </w:p>
        </w:tc>
        <w:tc>
          <w:tcPr>
            <w:tcW w:type="dxa" w:w="1364"/>
            <w:gridSpan w:val="2"/>
            <w:tcBorders>
              <w:bottom w:sz="8.0" w:val="single" w:color="#27903A"/>
            </w:tcBorders>
            <w:shd w:fill="27903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28" w:after="0"/>
              <w:ind w:left="0" w:right="0" w:firstLine="0"/>
              <w:jc w:val="center"/>
            </w:pPr>
            <w:r>
              <w:rPr>
                <w:rFonts w:ascii="AdvOT46dcae81" w:hAnsi="AdvOT46dcae81" w:eastAsia="AdvOT46dcae81"/>
                <w:b w:val="0"/>
                <w:i w:val="0"/>
                <w:color w:val="FFFFFF"/>
                <w:sz w:val="16"/>
              </w:rPr>
              <w:t>Research Article</w:t>
            </w:r>
          </w:p>
        </w:tc>
      </w:tr>
      <w:tr>
        <w:trPr>
          <w:trHeight w:hRule="exact" w:val="3166"/>
        </w:trPr>
        <w:tc>
          <w:tcPr>
            <w:tcW w:type="dxa" w:w="5010"/>
            <w:gridSpan w:val="7"/>
            <w:tcBorders>
              <w:top w:sz="8.0" w:val="single" w:color="#27903A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16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009900" cy="1828800"/>
                  <wp:docPr id="30" name="Picture 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070"/>
            <w:gridSpan w:val="8"/>
            <w:tcBorders>
              <w:top w:sz="8.0" w:val="single" w:color="#27903A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96" w:after="0"/>
              <w:ind w:left="24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997200" cy="1828800"/>
                  <wp:docPr id="31" name="Picture 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72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320"/>
        </w:trPr>
        <w:tc>
          <w:tcPr>
            <w:tcW w:type="dxa" w:w="117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0" w:after="0"/>
              <w:ind w:left="0" w:right="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65100" cy="152400"/>
                  <wp:docPr id="32" name="Picture 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100" cy="152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0" w:after="0"/>
              <w:ind w:left="0" w:right="16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65100" cy="152400"/>
                  <wp:docPr id="33" name="Picture 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100" cy="152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04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914400" cy="342900"/>
                  <wp:docPr id="34" name="Picture 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342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01600" cy="152400"/>
                  <wp:docPr id="35" name="Picture 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00" cy="152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67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0" w:after="0"/>
              <w:ind w:left="0" w:right="32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88900" cy="152400"/>
                  <wp:docPr id="36" name="Picture 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900" cy="152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16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52400" cy="152400"/>
                  <wp:docPr id="37" name="Picture 3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65100" cy="152400"/>
                  <wp:docPr id="38" name="Picture 3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100" cy="152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39700" cy="152400"/>
                  <wp:docPr id="39" name="Picture 3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700" cy="152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01600" cy="152400"/>
                  <wp:docPr id="40" name="Picture 4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00" cy="152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66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26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50800" cy="152400"/>
                  <wp:docPr id="41" name="Picture 4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00" cy="152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83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22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01600" cy="152400"/>
                  <wp:docPr id="42" name="Picture 4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00" cy="152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3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01600" cy="152400"/>
                  <wp:docPr id="43" name="Picture 4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00" cy="152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520"/>
        </w:trPr>
        <w:tc>
          <w:tcPr>
            <w:tcW w:type="dxa" w:w="674"/>
            <w:vMerge/>
            <w:tcBorders/>
          </w:tcPr>
          <w:p/>
        </w:tc>
        <w:tc>
          <w:tcPr>
            <w:tcW w:type="dxa" w:w="674"/>
            <w:vMerge/>
            <w:tcBorders/>
          </w:tcPr>
          <w:p/>
        </w:tc>
        <w:tc>
          <w:tcPr>
            <w:tcW w:type="dxa" w:w="2022"/>
            <w:gridSpan w:val="3"/>
            <w:vMerge/>
            <w:tcBorders/>
          </w:tcPr>
          <w:p/>
        </w:tc>
        <w:tc>
          <w:tcPr>
            <w:tcW w:type="dxa" w:w="674"/>
            <w:vMerge/>
            <w:tcBorders/>
          </w:tcPr>
          <w:p/>
        </w:tc>
        <w:tc>
          <w:tcPr>
            <w:tcW w:type="dxa" w:w="674"/>
            <w:vMerge/>
            <w:tcBorders/>
          </w:tcPr>
          <w:p/>
        </w:tc>
        <w:tc>
          <w:tcPr>
            <w:tcW w:type="dxa" w:w="5070"/>
            <w:gridSpan w:val="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0" w:after="0"/>
              <w:ind w:left="54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870200" cy="2692400"/>
                  <wp:docPr id="44" name="Picture 4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0200" cy="2692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3140"/>
        </w:trPr>
        <w:tc>
          <w:tcPr>
            <w:tcW w:type="dxa" w:w="501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0" w:after="0"/>
              <w:ind w:left="1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009900" cy="1828800"/>
                  <wp:docPr id="45" name="Picture 4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392"/>
            <w:gridSpan w:val="8"/>
            <w:vMerge/>
            <w:tcBorders/>
          </w:tcPr>
          <w:p/>
        </w:tc>
      </w:tr>
      <w:tr>
        <w:trPr>
          <w:trHeight w:hRule="exact" w:val="340"/>
        </w:trPr>
        <w:tc>
          <w:tcPr>
            <w:tcW w:type="dxa" w:w="117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0" w:after="0"/>
              <w:ind w:left="0" w:right="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65100" cy="152400"/>
                  <wp:docPr id="46" name="Picture 4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100" cy="152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0" w:after="0"/>
              <w:ind w:left="0" w:right="16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52400" cy="152400"/>
                  <wp:docPr id="47" name="Picture 4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39700" cy="152400"/>
                  <wp:docPr id="48" name="Picture 4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700" cy="152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0" w:after="0"/>
              <w:ind w:left="0" w:right="6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01600" cy="152400"/>
                  <wp:docPr id="49" name="Picture 4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00" cy="152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0" w:after="0"/>
              <w:ind w:left="0" w:right="244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63500" cy="152400"/>
                  <wp:docPr id="50" name="Picture 5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" cy="152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88900" cy="152400"/>
                  <wp:docPr id="51" name="Picture 5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900" cy="152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67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88900" cy="152400"/>
                  <wp:docPr id="52" name="Picture 5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900" cy="152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392"/>
            <w:gridSpan w:val="8"/>
            <w:vMerge/>
            <w:tcBorders/>
          </w:tcPr>
          <w:p/>
        </w:tc>
      </w:tr>
      <w:tr>
        <w:trPr>
          <w:trHeight w:hRule="exact" w:val="380"/>
        </w:trPr>
        <w:tc>
          <w:tcPr>
            <w:tcW w:type="dxa" w:w="501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0" w:after="0"/>
              <w:ind w:left="0" w:right="142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914400" cy="177800"/>
                  <wp:docPr id="53" name="Picture 5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177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392"/>
            <w:gridSpan w:val="8"/>
            <w:vMerge/>
            <w:tcBorders/>
          </w:tcPr>
          <w:p/>
        </w:tc>
      </w:tr>
      <w:tr>
        <w:trPr>
          <w:trHeight w:hRule="exact" w:val="500"/>
        </w:trPr>
        <w:tc>
          <w:tcPr>
            <w:tcW w:type="dxa" w:w="10080"/>
            <w:gridSpan w:val="1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104" w:after="0"/>
              <w:ind w:left="0" w:right="0" w:firstLine="0"/>
              <w:jc w:val="center"/>
            </w:pPr>
            <w:r>
              <w:rPr>
                <w:rFonts w:ascii="AdvOT51c1769e" w:hAnsi="AdvOT51c1769e" w:eastAsia="AdvOT51c1769e"/>
                <w:b w:val="0"/>
                <w:i w:val="0"/>
                <w:color w:val="000000"/>
                <w:sz w:val="18"/>
              </w:rPr>
              <w:t>Figure 5.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 Capacitance</w:t>
            </w:r>
            <w:r>
              <w:rPr>
                <w:rFonts w:ascii="22" w:hAnsi="22" w:eastAsia="22"/>
                <w:b w:val="0"/>
                <w:i w:val="0"/>
                <w:color w:val="000000"/>
                <w:sz w:val="18"/>
              </w:rPr>
              <w:t>−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voltage characteristics between</w:t>
            </w:r>
            <w:r>
              <w:rPr>
                <w:rFonts w:ascii="22" w:hAnsi="22" w:eastAsia="22"/>
                <w:b w:val="0"/>
                <w:i w:val="0"/>
                <w:color w:val="000000"/>
                <w:sz w:val="18"/>
              </w:rPr>
              <w:t xml:space="preserve"> −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3 and 3 V for frequencies between 10 kHz and 10 MHz for samples B (a), D (b) and 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(c). The arrows below the curves indicate the sweeping direction of the measurement. In (d), the frequency dispersion per decade of the</w:t>
            </w:r>
          </w:p>
        </w:tc>
      </w:tr>
      <w:tr>
        <w:trPr>
          <w:trHeight w:hRule="exact" w:val="298"/>
        </w:trPr>
        <w:tc>
          <w:tcPr>
            <w:tcW w:type="dxa" w:w="5010"/>
            <w:gridSpan w:val="7"/>
            <w:tcBorders>
              <w:bottom w:sz="4.0" w:val="single" w:color="#27903A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8" w:after="0"/>
              <w:ind w:left="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corresponding samples is presented.</w:t>
            </w:r>
          </w:p>
        </w:tc>
        <w:tc>
          <w:tcPr>
            <w:tcW w:type="dxa" w:w="5070"/>
            <w:gridSpan w:val="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70" w:val="left"/>
                <w:tab w:pos="630" w:val="left"/>
              </w:tabs>
              <w:autoSpaceDE w:val="0"/>
              <w:widowControl/>
              <w:spacing w:line="224" w:lineRule="exact" w:before="486" w:after="0"/>
              <w:ind w:left="270" w:right="0" w:firstLine="0"/>
              <w:jc w:val="left"/>
            </w:pPr>
            <w:r>
              <w:rPr>
                <w:rFonts w:ascii="25" w:hAnsi="25" w:eastAsia="25"/>
                <w:b w:val="0"/>
                <w:i w:val="0"/>
                <w:color w:val="27903A"/>
                <w:sz w:val="64"/>
              </w:rPr>
              <w:t>■</w:t>
            </w:r>
            <w:r>
              <w:rPr>
                <w:rFonts w:ascii="AdvOTce3d9a73" w:hAnsi="AdvOTce3d9a73" w:eastAsia="AdvOTce3d9a73"/>
                <w:b w:val="0"/>
                <w:i w:val="0"/>
                <w:color w:val="27903A"/>
                <w:sz w:val="21"/>
              </w:rPr>
              <w:t xml:space="preserve">AUTHOR INFORMATION </w:t>
            </w:r>
            <w:r>
              <w:br/>
            </w:r>
            <w:r>
              <w:rPr>
                <w:rFonts w:ascii="AdvOTce3d9a73" w:hAnsi="AdvOTce3d9a73" w:eastAsia="AdvOTce3d9a73"/>
                <w:b w:val="0"/>
                <w:i w:val="0"/>
                <w:color w:val="000000"/>
                <w:sz w:val="19"/>
              </w:rPr>
              <w:t xml:space="preserve">Corresponding Authors </w:t>
            </w:r>
            <w:r>
              <w:br/>
            </w:r>
            <w:r>
              <w:tab/>
            </w:r>
            <w:r>
              <w:rPr>
                <w:rFonts w:ascii="AdvOT9683f507" w:hAnsi="AdvOT9683f507" w:eastAsia="AdvOT9683f507"/>
                <w:b w:val="0"/>
                <w:i w:val="0"/>
                <w:color w:val="000000"/>
                <w:sz w:val="20"/>
              </w:rPr>
              <w:t>Robin Athle</w:t>
            </w:r>
            <w:r>
              <w:rPr>
                <w:rFonts w:ascii="22" w:hAnsi="22" w:eastAsia="22"/>
                <w:b w:val="0"/>
                <w:i w:val="0"/>
                <w:color w:val="000000"/>
                <w:sz w:val="20"/>
              </w:rPr>
              <w:t xml:space="preserve"> −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 xml:space="preserve"> Electrical and Information Technology, Lund </w:t>
            </w:r>
            <w:r>
              <w:tab/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>University, 22 100 Lund, Sweden; NanoLund Lund</w:t>
            </w:r>
          </w:p>
        </w:tc>
      </w:tr>
      <w:tr>
        <w:trPr>
          <w:trHeight w:hRule="exact" w:val="1082"/>
        </w:trPr>
        <w:tc>
          <w:tcPr>
            <w:tcW w:type="dxa" w:w="5010"/>
            <w:gridSpan w:val="7"/>
            <w:vMerge w:val="restart"/>
            <w:tcBorders>
              <w:top w:sz="4.0" w:val="single" w:color="#27903A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24" w:after="0"/>
              <w:ind w:left="0" w:right="144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regard to the magnitude of remanent polarization, ranging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from 10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30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to 26</w:t>
            </w:r>
            <w:r>
              <w:rPr>
                <w:rFonts w:ascii="03" w:hAnsi="03" w:eastAsia="03"/>
                <w:b w:val="0"/>
                <w:i w:val="0"/>
                <w:color w:val="000000"/>
                <w:sz w:val="20"/>
              </w:rPr>
              <w:t xml:space="preserve"> μ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C/cm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,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31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obtained with essentially the same</w:t>
            </w:r>
          </w:p>
          <w:p>
            <w:pPr>
              <w:autoSpaceDN w:val="0"/>
              <w:autoSpaceDE w:val="0"/>
              <w:widowControl/>
              <w:spacing w:line="220" w:lineRule="exact" w:before="4" w:after="0"/>
              <w:ind w:left="0" w:right="144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material stack, could be a result of varying processing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conditions for the TiN electrodes, rather than di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>ff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erences of</w:t>
            </w:r>
          </w:p>
          <w:p>
            <w:pPr>
              <w:autoSpaceDN w:val="0"/>
              <w:autoSpaceDE w:val="0"/>
              <w:widowControl/>
              <w:spacing w:line="264" w:lineRule="exact" w:before="0" w:after="0"/>
              <w:ind w:left="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Hf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1</w:t>
            </w:r>
            <w:r>
              <w:rPr>
                <w:w w:val="103.07692014254057"/>
                <w:rFonts w:ascii="22" w:hAnsi="22" w:eastAsia="22"/>
                <w:b w:val="0"/>
                <w:i w:val="0"/>
                <w:color w:val="000000"/>
                <w:sz w:val="13"/>
              </w:rPr>
              <w:t>−</w:t>
            </w:r>
            <w:r>
              <w:rPr>
                <w:w w:val="103.07692014254057"/>
                <w:rFonts w:ascii="AdvOT02ce3bbb.I" w:hAnsi="AdvOT02ce3bbb.I" w:eastAsia="AdvOT02ce3bbb.I"/>
                <w:b w:val="0"/>
                <w:i w:val="0"/>
                <w:color w:val="000000"/>
                <w:sz w:val="13"/>
              </w:rPr>
              <w:t>x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Zr</w:t>
            </w:r>
            <w:r>
              <w:rPr>
                <w:w w:val="103.07692014254057"/>
                <w:rFonts w:ascii="AdvOT02ce3bbb.I" w:hAnsi="AdvOT02ce3bbb.I" w:eastAsia="AdvOT02ce3bbb.I"/>
                <w:b w:val="0"/>
                <w:i w:val="0"/>
                <w:color w:val="000000"/>
                <w:sz w:val="13"/>
              </w:rPr>
              <w:t>x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itself.</w:t>
            </w:r>
          </w:p>
          <w:p>
            <w:pPr>
              <w:autoSpaceDN w:val="0"/>
              <w:autoSpaceDE w:val="0"/>
              <w:widowControl/>
              <w:spacing w:line="640" w:lineRule="exact" w:before="0" w:after="0"/>
              <w:ind w:left="0" w:right="0" w:firstLine="0"/>
              <w:jc w:val="left"/>
            </w:pPr>
            <w:r>
              <w:rPr>
                <w:rFonts w:ascii="25" w:hAnsi="25" w:eastAsia="25"/>
                <w:b w:val="0"/>
                <w:i w:val="0"/>
                <w:color w:val="27903A"/>
                <w:sz w:val="64"/>
              </w:rPr>
              <w:t>■</w:t>
            </w:r>
            <w:r>
              <w:rPr>
                <w:rFonts w:ascii="AdvOTce3d9a73" w:hAnsi="AdvOTce3d9a73" w:eastAsia="AdvOTce3d9a73"/>
                <w:b w:val="0"/>
                <w:i w:val="0"/>
                <w:color w:val="27903A"/>
                <w:sz w:val="21"/>
              </w:rPr>
              <w:t>ASSOCIATED CONTENT</w:t>
            </w:r>
          </w:p>
          <w:p>
            <w:pPr>
              <w:autoSpaceDN w:val="0"/>
              <w:autoSpaceDE w:val="0"/>
              <w:widowControl/>
              <w:spacing w:line="252" w:lineRule="exact" w:before="0" w:after="0"/>
              <w:ind w:left="0" w:right="0" w:firstLine="0"/>
              <w:jc w:val="left"/>
            </w:pPr>
            <w:r>
              <w:rPr>
                <w:w w:val="98.95749886830649"/>
                <w:rFonts w:ascii="AdvPi3" w:hAnsi="AdvPi3" w:eastAsia="AdvPi3"/>
                <w:b w:val="0"/>
                <w:i w:val="0"/>
                <w:color w:val="000000"/>
                <w:sz w:val="24"/>
              </w:rPr>
              <w:t xml:space="preserve">* </w:t>
            </w:r>
            <w:r>
              <w:rPr>
                <w:rFonts w:ascii="AdvOTce3d9a73" w:hAnsi="AdvOTce3d9a73" w:eastAsia="AdvOTce3d9a73"/>
                <w:b w:val="0"/>
                <w:i w:val="0"/>
                <w:color w:val="FFFFFF"/>
                <w:sz w:val="13"/>
              </w:rPr>
              <w:t>s</w:t>
            </w:r>
            <w:r>
              <w:rPr>
                <w:rFonts w:ascii="01" w:hAnsi="01" w:eastAsia="01"/>
                <w:b w:val="0"/>
                <w:i w:val="0"/>
                <w:color w:val="FFFFFF"/>
                <w:sz w:val="13"/>
              </w:rPr>
              <w:t>ı</w:t>
            </w:r>
            <w:r>
              <w:rPr>
                <w:rFonts w:ascii="AdvOTce3d9a73" w:hAnsi="AdvOTce3d9a73" w:eastAsia="AdvOTce3d9a73"/>
                <w:b w:val="0"/>
                <w:i w:val="0"/>
                <w:color w:val="000000"/>
                <w:sz w:val="19"/>
              </w:rPr>
              <w:t xml:space="preserve"> Supporting Information</w:t>
            </w:r>
          </w:p>
          <w:p>
            <w:pPr>
              <w:autoSpaceDN w:val="0"/>
              <w:autoSpaceDE w:val="0"/>
              <w:widowControl/>
              <w:spacing w:line="224" w:lineRule="exact" w:before="0" w:after="0"/>
              <w:ind w:left="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The Supporting Information is available free of charge at</w:t>
            </w:r>
          </w:p>
          <w:p>
            <w:pPr>
              <w:autoSpaceDN w:val="0"/>
              <w:autoSpaceDE w:val="0"/>
              <w:widowControl/>
              <w:spacing w:line="224" w:lineRule="exact" w:before="0" w:after="0"/>
              <w:ind w:left="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1B4BA0"/>
                <w:sz w:val="20"/>
              </w:rPr>
              <w:hyperlink r:id="rId75" w:history="1">
                <w:r>
                  <w:rPr>
                    <w:rStyle w:val="Hyperlink"/>
                  </w:rPr>
                  <w:t>https://pubs.acs.org/doi/10.1021/acsami.1c01734</w:t>
                </w:r>
              </w:hyperlink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.</w:t>
            </w:r>
          </w:p>
        </w:tc>
        <w:tc>
          <w:tcPr>
            <w:tcW w:type="dxa" w:w="5392"/>
            <w:gridSpan w:val="8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4718"/>
            <w:gridSpan w:val="7"/>
            <w:vMerge/>
            <w:tcBorders>
              <w:top w:sz="4.0" w:val="single" w:color="#27903A"/>
            </w:tcBorders>
          </w:tcPr>
          <w:p/>
        </w:tc>
        <w:tc>
          <w:tcPr>
            <w:tcW w:type="dxa" w:w="314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exact" w:before="0" w:after="0"/>
              <w:ind w:left="630" w:right="0" w:firstLine="0"/>
              <w:jc w:val="left"/>
            </w:pP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>University, 22 100 Lund, Sweden;</w:t>
            </w:r>
          </w:p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2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76200" cy="76200"/>
                  <wp:docPr id="54" name="Picture 5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76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67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1B4BA0"/>
                <w:sz w:val="20"/>
              </w:rPr>
              <w:hyperlink r:id="rId77" w:history="1">
                <w:r>
                  <w:rPr>
                    <w:rStyle w:val="Hyperlink"/>
                  </w:rPr>
                  <w:t>orcid.org/0000-0002-</w:t>
                </w:r>
              </w:hyperlink>
            </w:r>
          </w:p>
        </w:tc>
      </w:tr>
      <w:tr>
        <w:trPr>
          <w:trHeight w:hRule="exact" w:val="660"/>
        </w:trPr>
        <w:tc>
          <w:tcPr>
            <w:tcW w:type="dxa" w:w="4718"/>
            <w:gridSpan w:val="7"/>
            <w:vMerge/>
            <w:tcBorders>
              <w:top w:sz="4.0" w:val="single" w:color="#27903A"/>
            </w:tcBorders>
          </w:tcPr>
          <w:p/>
        </w:tc>
        <w:tc>
          <w:tcPr>
            <w:tcW w:type="dxa" w:w="5070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630" w:val="left"/>
              </w:tabs>
              <w:autoSpaceDE w:val="0"/>
              <w:widowControl/>
              <w:spacing w:line="222" w:lineRule="exact" w:before="10" w:after="0"/>
              <w:ind w:left="470" w:right="0" w:firstLine="0"/>
              <w:jc w:val="left"/>
            </w:pPr>
            <w:r>
              <w:tab/>
            </w:r>
            <w:r>
              <w:rPr>
                <w:rFonts w:ascii="AdvOT2e364b11" w:hAnsi="AdvOT2e364b11" w:eastAsia="AdvOT2e364b11"/>
                <w:b w:val="0"/>
                <w:i w:val="0"/>
                <w:color w:val="1B4BA0"/>
                <w:sz w:val="20"/>
              </w:rPr>
              <w:hyperlink r:id="rId77" w:history="1">
                <w:r>
                  <w:rPr>
                    <w:rStyle w:val="Hyperlink"/>
                  </w:rPr>
                  <w:t>5741-7259</w:t>
                </w:r>
              </w:hyperlink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; Email:</w:t>
            </w:r>
            <w:r>
              <w:rPr>
                <w:rFonts w:ascii="AdvOT2e364b11" w:hAnsi="AdvOT2e364b11" w:eastAsia="AdvOT2e364b11"/>
                <w:b w:val="0"/>
                <w:i w:val="0"/>
                <w:color w:val="1B4BA0"/>
                <w:sz w:val="20"/>
              </w:rPr>
              <w:t xml:space="preserve"> </w:t>
            </w:r>
            <w:r>
              <w:rPr>
                <w:rFonts w:ascii="AdvOT2e364b11" w:hAnsi="AdvOT2e364b11" w:eastAsia="AdvOT2e364b11"/>
                <w:b w:val="0"/>
                <w:i w:val="0"/>
                <w:color w:val="1B4BA0"/>
                <w:sz w:val="20"/>
              </w:rPr>
              <w:hyperlink r:id="rId78" w:history="1">
                <w:r>
                  <w:rPr>
                    <w:rStyle w:val="Hyperlink"/>
                  </w:rPr>
                  <w:t xml:space="preserve">robin.atle@eit.lth.se </w:t>
                </w:r>
              </w:hyperlink>
            </w:r>
            <w:r>
              <w:br/>
            </w:r>
            <w:r>
              <w:rPr>
                <w:rFonts w:ascii="AdvOT9683f507" w:hAnsi="AdvOT9683f507" w:eastAsia="AdvOT9683f507"/>
                <w:b w:val="0"/>
                <w:i w:val="0"/>
                <w:color w:val="000000"/>
                <w:sz w:val="20"/>
              </w:rPr>
              <w:t>Mattias Borg</w:t>
            </w:r>
            <w:r>
              <w:rPr>
                <w:rFonts w:ascii="22" w:hAnsi="22" w:eastAsia="22"/>
                <w:b w:val="0"/>
                <w:i w:val="0"/>
                <w:color w:val="000000"/>
                <w:sz w:val="20"/>
              </w:rPr>
              <w:t xml:space="preserve"> −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 xml:space="preserve"> Electrical and Information Technology, Lund</w:t>
            </w:r>
          </w:p>
          <w:p>
            <w:pPr>
              <w:autoSpaceDN w:val="0"/>
              <w:autoSpaceDE w:val="0"/>
              <w:widowControl/>
              <w:spacing w:line="226" w:lineRule="exact" w:before="0" w:after="0"/>
              <w:ind w:left="0" w:right="0" w:firstLine="0"/>
              <w:jc w:val="center"/>
            </w:pP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>University, 22 100 Lund, Sweden; NanoLund Lund</w:t>
            </w:r>
          </w:p>
        </w:tc>
      </w:tr>
      <w:tr>
        <w:trPr>
          <w:trHeight w:hRule="exact" w:val="220"/>
        </w:trPr>
        <w:tc>
          <w:tcPr>
            <w:tcW w:type="dxa" w:w="4718"/>
            <w:gridSpan w:val="7"/>
            <w:vMerge/>
            <w:tcBorders>
              <w:top w:sz="4.0" w:val="single" w:color="#27903A"/>
            </w:tcBorders>
          </w:tcPr>
          <w:p/>
        </w:tc>
        <w:tc>
          <w:tcPr>
            <w:tcW w:type="dxa" w:w="314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0" w:after="0"/>
              <w:ind w:left="630" w:right="0" w:firstLine="0"/>
              <w:jc w:val="left"/>
            </w:pP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>University, 22 100 Lund, Sweden;</w:t>
            </w:r>
          </w:p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0" w:after="0"/>
              <w:ind w:left="0" w:right="2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76200" cy="88900"/>
                  <wp:docPr id="55" name="Picture 5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67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1B4BA0"/>
                <w:sz w:val="20"/>
              </w:rPr>
              <w:hyperlink r:id="rId80" w:history="1">
                <w:r>
                  <w:rPr>
                    <w:rStyle w:val="Hyperlink"/>
                  </w:rPr>
                  <w:t>orcid.org/0000-0003-</w:t>
                </w:r>
              </w:hyperlink>
            </w:r>
          </w:p>
        </w:tc>
      </w:tr>
      <w:tr>
        <w:trPr>
          <w:trHeight w:hRule="exact" w:val="234"/>
        </w:trPr>
        <w:tc>
          <w:tcPr>
            <w:tcW w:type="dxa" w:w="4718"/>
            <w:gridSpan w:val="7"/>
            <w:vMerge/>
            <w:tcBorders>
              <w:top w:sz="4.0" w:val="single" w:color="#27903A"/>
            </w:tcBorders>
          </w:tcPr>
          <w:p/>
        </w:tc>
        <w:tc>
          <w:tcPr>
            <w:tcW w:type="dxa" w:w="5070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8" w:after="0"/>
              <w:ind w:left="63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1B4BA0"/>
                <w:sz w:val="20"/>
              </w:rPr>
              <w:hyperlink r:id="rId80" w:history="1">
                <w:r>
                  <w:rPr>
                    <w:rStyle w:val="Hyperlink"/>
                  </w:rPr>
                  <w:t>1217-369X</w:t>
                </w:r>
              </w:hyperlink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; Email:</w:t>
            </w:r>
            <w:r>
              <w:rPr>
                <w:rFonts w:ascii="AdvOT2e364b11" w:hAnsi="AdvOT2e364b11" w:eastAsia="AdvOT2e364b11"/>
                <w:b w:val="0"/>
                <w:i w:val="0"/>
                <w:color w:val="1B4BA0"/>
                <w:sz w:val="20"/>
              </w:rPr>
              <w:t xml:space="preserve"> </w:t>
            </w:r>
            <w:r>
              <w:rPr>
                <w:rFonts w:ascii="AdvOT2e364b11" w:hAnsi="AdvOT2e364b11" w:eastAsia="AdvOT2e364b11"/>
                <w:b w:val="0"/>
                <w:i w:val="0"/>
                <w:color w:val="1B4BA0"/>
                <w:sz w:val="20"/>
              </w:rPr>
              <w:hyperlink r:id="rId81" w:history="1">
                <w:r>
                  <w:rPr>
                    <w:rStyle w:val="Hyperlink"/>
                  </w:rPr>
                  <w:t>mattias.borg@eit.lth.se</w:t>
                </w:r>
              </w:hyperlink>
            </w:r>
          </w:p>
        </w:tc>
      </w:tr>
    </w:tbl>
    <w:p>
      <w:pPr>
        <w:autoSpaceDN w:val="0"/>
        <w:autoSpaceDE w:val="0"/>
        <w:widowControl/>
        <w:spacing w:line="14" w:lineRule="exact" w:before="0" w:after="96"/>
        <w:ind w:left="0" w:right="0"/>
      </w:pPr>
    </w:p>
    <w:p>
      <w:pPr>
        <w:sectPr>
          <w:pgSz w:w="12509" w:h="16367"/>
          <w:pgMar w:top="468" w:right="1198" w:bottom="308" w:left="1200" w:header="720" w:footer="720" w:gutter="0"/>
          <w:cols w:space="720" w:num="1" w:equalWidth="0">
            <w:col w:w="10110" w:space="0"/>
            <w:col w:w="4828" w:space="0"/>
            <w:col w:w="5282" w:space="0"/>
            <w:col w:w="10110" w:space="0"/>
            <w:col w:w="4828" w:space="0"/>
            <w:col w:w="5282" w:space="0"/>
            <w:col w:w="10110" w:space="0"/>
            <w:col w:w="4818" w:space="0"/>
            <w:col w:w="5282" w:space="0"/>
            <w:col w:w="10100" w:space="0"/>
            <w:col w:w="10100" w:space="0"/>
            <w:col w:w="1129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4" w:after="0"/>
        <w:ind w:left="490" w:right="18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Measured current voltage characteristics of PUND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measurements and corresponding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P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V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and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I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V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curves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of samples A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E; extraction procedure of bar height in 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>Figure 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c; microstrain calculations derived from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measured GIXRD data of the TiN(111) and (002)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re</w:t>
      </w:r>
      <w:r>
        <w:rPr>
          <w:rFonts w:ascii="fb" w:hAnsi="fb" w:eastAsia="fb"/>
          <w:b w:val="0"/>
          <w:i w:val="0"/>
          <w:color w:val="000000"/>
          <w:sz w:val="20"/>
        </w:rPr>
        <w:t>fl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ection; stress determination by wafer curvature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measurements; vibrational oscillations of molecular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nitrogen in NEXAFS results; cycling endurance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comparison between MIM and MIS structures (sample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B); relative compositional changes of the TiN TE in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samples C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 derived from the EDX data; and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deconvolution of the XPS data and relative peak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components of samples C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 for Ti 2p (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hyperlink r:id="rId38" w:history="1">
          <w:r>
            <w:rPr>
              <w:rStyle w:val="Hyperlink"/>
            </w:rPr>
            <w:t>PDF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)</w:t>
      </w:r>
    </w:p>
    <w:p>
      <w:pPr>
        <w:sectPr>
          <w:type w:val="continuous"/>
          <w:pgSz w:w="12509" w:h="16367"/>
          <w:pgMar w:top="468" w:right="1198" w:bottom="308" w:left="1200" w:header="720" w:footer="720" w:gutter="0"/>
          <w:cols w:space="720" w:num="2" w:equalWidth="0">
            <w:col w:w="4828" w:space="0"/>
            <w:col w:w="5282" w:space="0"/>
            <w:col w:w="10110" w:space="0"/>
            <w:col w:w="4828" w:space="0"/>
            <w:col w:w="5282" w:space="0"/>
            <w:col w:w="10110" w:space="0"/>
            <w:col w:w="4828" w:space="0"/>
            <w:col w:w="5282" w:space="0"/>
            <w:col w:w="10110" w:space="0"/>
            <w:col w:w="4818" w:space="0"/>
            <w:col w:w="5282" w:space="0"/>
            <w:col w:w="10100" w:space="0"/>
            <w:col w:w="10100" w:space="0"/>
            <w:col w:w="11298" w:space="0"/>
          </w:cols>
          <w:docGrid w:linePitch="360"/>
        </w:sectPr>
      </w:pPr>
    </w:p>
    <w:p>
      <w:pPr>
        <w:autoSpaceDN w:val="0"/>
        <w:tabs>
          <w:tab w:pos="3116" w:val="left"/>
        </w:tabs>
        <w:autoSpaceDE w:val="0"/>
        <w:widowControl/>
        <w:spacing w:line="170" w:lineRule="exact" w:before="0" w:after="0"/>
        <w:ind w:left="20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15"/>
        </w:rPr>
        <w:t xml:space="preserve">11094 </w:t>
      </w:r>
      <w:r>
        <w:tab/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hyperlink r:id="rId26" w:history="1">
          <w:r>
            <w:rPr>
              <w:rStyle w:val="Hyperlink"/>
            </w:rPr>
            <w:t>https://dx.doi.org/10.1021/acsami.1c01734</w:t>
          </w:r>
        </w:hyperlink>
      </w:r>
    </w:p>
    <w:p>
      <w:pPr>
        <w:sectPr>
          <w:type w:val="nextColumn"/>
          <w:pgSz w:w="12509" w:h="16367"/>
          <w:pgMar w:top="468" w:right="1198" w:bottom="308" w:left="1200" w:header="720" w:footer="720" w:gutter="0"/>
          <w:cols w:space="720" w:num="2" w:equalWidth="0">
            <w:col w:w="4828" w:space="0"/>
            <w:col w:w="5282" w:space="0"/>
            <w:col w:w="10110" w:space="0"/>
            <w:col w:w="4828" w:space="0"/>
            <w:col w:w="5282" w:space="0"/>
            <w:col w:w="10110" w:space="0"/>
            <w:col w:w="4828" w:space="0"/>
            <w:col w:w="5282" w:space="0"/>
            <w:col w:w="10110" w:space="0"/>
            <w:col w:w="4818" w:space="0"/>
            <w:col w:w="5282" w:space="0"/>
            <w:col w:w="10100" w:space="0"/>
            <w:col w:w="10100" w:space="0"/>
            <w:col w:w="1129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367"/>
        <w:gridCol w:w="3367"/>
        <w:gridCol w:w="3367"/>
      </w:tblGrid>
      <w:tr>
        <w:trPr>
          <w:trHeight w:hRule="exact" w:val="210"/>
        </w:trPr>
        <w:tc>
          <w:tcPr>
            <w:tcW w:type="dxa" w:w="4190"/>
            <w:tcBorders>
              <w:bottom w:sz="8.0" w:val="single" w:color="#27903A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27903A"/>
                <w:sz w:val="20"/>
              </w:rPr>
              <w:t>ACS Applied Materials &amp; Interfaces</w:t>
            </w:r>
          </w:p>
        </w:tc>
        <w:tc>
          <w:tcPr>
            <w:tcW w:type="dxa" w:w="4526"/>
            <w:tcBorders>
              <w:bottom w:sz="8.0" w:val="single" w:color="#27903A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28" w:after="0"/>
              <w:ind w:left="0" w:right="2242" w:firstLine="0"/>
              <w:jc w:val="right"/>
            </w:pPr>
            <w:r>
              <w:rPr>
                <w:rFonts w:ascii="AdvOTce3d9a73" w:hAnsi="AdvOTce3d9a73" w:eastAsia="AdvOTce3d9a73"/>
                <w:b w:val="0"/>
                <w:i w:val="0"/>
                <w:color w:val="27903A"/>
                <w:sz w:val="16"/>
              </w:rPr>
              <w:t>www.acsami.org</w:t>
            </w:r>
          </w:p>
        </w:tc>
        <w:tc>
          <w:tcPr>
            <w:tcW w:type="dxa" w:w="1364"/>
            <w:tcBorders>
              <w:bottom w:sz="8.0" w:val="single" w:color="#27903A"/>
            </w:tcBorders>
            <w:shd w:fill="27903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28" w:after="0"/>
              <w:ind w:left="0" w:right="0" w:firstLine="0"/>
              <w:jc w:val="center"/>
            </w:pPr>
            <w:r>
              <w:rPr>
                <w:rFonts w:ascii="AdvOT46dcae81" w:hAnsi="AdvOT46dcae81" w:eastAsia="AdvOT46dcae81"/>
                <w:b w:val="0"/>
                <w:i w:val="0"/>
                <w:color w:val="FFFFFF"/>
                <w:sz w:val="16"/>
              </w:rPr>
              <w:t>Research Article</w:t>
            </w:r>
          </w:p>
        </w:tc>
      </w:tr>
    </w:tbl>
    <w:p>
      <w:pPr>
        <w:autoSpaceDN w:val="0"/>
        <w:autoSpaceDE w:val="0"/>
        <w:widowControl/>
        <w:spacing w:line="14" w:lineRule="exact" w:before="0" w:after="168"/>
        <w:ind w:left="0" w:right="0"/>
      </w:pPr>
    </w:p>
    <w:p>
      <w:pPr>
        <w:sectPr>
          <w:pgSz w:w="12509" w:h="16367"/>
          <w:pgMar w:top="468" w:right="1198" w:bottom="308" w:left="1210" w:header="720" w:footer="720" w:gutter="0"/>
          <w:cols w:space="720" w:num="1" w:equalWidth="0">
            <w:col w:w="10100" w:space="0"/>
            <w:col w:w="4828" w:space="0"/>
            <w:col w:w="5282" w:space="0"/>
            <w:col w:w="10110" w:space="0"/>
            <w:col w:w="4828" w:space="0"/>
            <w:col w:w="5282" w:space="0"/>
            <w:col w:w="10110" w:space="0"/>
            <w:col w:w="4828" w:space="0"/>
            <w:col w:w="5282" w:space="0"/>
            <w:col w:w="10110" w:space="0"/>
            <w:col w:w="4818" w:space="0"/>
            <w:col w:w="5282" w:space="0"/>
            <w:col w:w="10100" w:space="0"/>
            <w:col w:w="10100" w:space="0"/>
            <w:col w:w="1129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4" w:after="0"/>
        <w:ind w:left="0" w:right="1152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Complete contact information is available at: 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hyperlink r:id="rId20" w:history="1">
          <w:r>
            <w:rPr>
              <w:rStyle w:val="Hyperlink"/>
            </w:rPr>
            <w:t>https://pubs.acs.org/10.1021/acsami.1c01734</w:t>
          </w:r>
        </w:hyperlink>
      </w:r>
    </w:p>
    <w:p>
      <w:pPr>
        <w:autoSpaceDN w:val="0"/>
        <w:autoSpaceDE w:val="0"/>
        <w:widowControl/>
        <w:spacing w:line="228" w:lineRule="exact" w:before="204" w:after="0"/>
        <w:ind w:left="0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19"/>
        </w:rPr>
        <w:t xml:space="preserve">Funding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This work was supported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nancially by the Swedish Research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Council (VR) grant nos. 2016-6186, 2017-4108, and 2018-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05379 along with the NanoLund Centre for Nanoscience at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Lund University.</w:t>
      </w:r>
    </w:p>
    <w:p>
      <w:pPr>
        <w:autoSpaceDN w:val="0"/>
        <w:autoSpaceDE w:val="0"/>
        <w:widowControl/>
        <w:spacing w:line="256" w:lineRule="exact" w:before="18" w:after="0"/>
        <w:ind w:left="0" w:right="72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19"/>
        </w:rPr>
        <w:t xml:space="preserve">Notes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authors declare no competing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nancial interest.</w:t>
      </w:r>
    </w:p>
    <w:p>
      <w:pPr>
        <w:autoSpaceDN w:val="0"/>
        <w:autoSpaceDE w:val="0"/>
        <w:widowControl/>
        <w:spacing w:line="224" w:lineRule="exact" w:before="416" w:after="0"/>
        <w:ind w:left="0" w:right="0" w:firstLine="0"/>
        <w:jc w:val="left"/>
      </w:pPr>
      <w:r>
        <w:rPr>
          <w:rFonts w:ascii="25" w:hAnsi="25" w:eastAsia="25"/>
          <w:b w:val="0"/>
          <w:i w:val="0"/>
          <w:color w:val="27903A"/>
          <w:sz w:val="64"/>
        </w:rPr>
        <w:t>■</w:t>
      </w:r>
      <w:r>
        <w:rPr>
          <w:rFonts w:ascii="AdvOTce3d9a73" w:hAnsi="AdvOTce3d9a73" w:eastAsia="AdvOTce3d9a73"/>
          <w:b w:val="0"/>
          <w:i w:val="0"/>
          <w:color w:val="27903A"/>
          <w:sz w:val="21"/>
        </w:rPr>
        <w:t xml:space="preserve">ACKNOWLEDGMENTS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The authors take this opportunity to acknowledge Johannes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Svensson for the epilayer growth and Lars-Erik Wernersson for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helpful discussion. Furthermore, the authors would like to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thank Alexei Preobrajenski (MAX IV).</w:t>
      </w:r>
    </w:p>
    <w:p>
      <w:pPr>
        <w:autoSpaceDN w:val="0"/>
        <w:tabs>
          <w:tab w:pos="80" w:val="left"/>
        </w:tabs>
        <w:autoSpaceDE w:val="0"/>
        <w:widowControl/>
        <w:spacing w:line="204" w:lineRule="exact" w:before="436" w:after="0"/>
        <w:ind w:left="0" w:right="0" w:firstLine="0"/>
        <w:jc w:val="left"/>
      </w:pPr>
      <w:r>
        <w:rPr>
          <w:rFonts w:ascii="25" w:hAnsi="25" w:eastAsia="25"/>
          <w:b w:val="0"/>
          <w:i w:val="0"/>
          <w:color w:val="27903A"/>
          <w:sz w:val="64"/>
        </w:rPr>
        <w:t>■</w:t>
      </w:r>
      <w:r>
        <w:rPr>
          <w:rFonts w:ascii="AdvOTce3d9a73" w:hAnsi="AdvOTce3d9a73" w:eastAsia="AdvOTce3d9a73"/>
          <w:b w:val="0"/>
          <w:i w:val="0"/>
          <w:color w:val="27903A"/>
          <w:sz w:val="21"/>
        </w:rPr>
        <w:t xml:space="preserve">REFERENCES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(1) Böscke, T. S.; Mu</w:t>
      </w:r>
      <w:r>
        <w:rPr>
          <w:rFonts w:ascii="03" w:hAnsi="03" w:eastAsia="03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ller, J.; Bräuhaus, D.; Schröder, U.; Böttger, U.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82" w:history="1">
          <w:r>
            <w:rPr>
              <w:rStyle w:val="Hyperlink"/>
            </w:rPr>
            <w:t>Ferroelectricity in Hafnium Oxide Thin Films.</w:t>
          </w:r>
        </w:hyperlink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Appl. Phys. Lett.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2011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, 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99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102903.</w:t>
      </w:r>
    </w:p>
    <w:p>
      <w:pPr>
        <w:autoSpaceDN w:val="0"/>
        <w:autoSpaceDE w:val="0"/>
        <w:widowControl/>
        <w:spacing w:line="200" w:lineRule="exact" w:before="2" w:after="0"/>
        <w:ind w:left="0" w:right="22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(2) Mikheev, V.; Chouprik, A.; Lebedinskii, Y.; Zarubin, S.;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Matveyev, Y.; Kondratyuk, E.; Kozodaev, M. G.; Markeev, A. M.;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Zenkevich, A.; Negrov, D.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83" w:history="1">
          <w:r>
            <w:rPr>
              <w:rStyle w:val="Hyperlink"/>
            </w:rPr>
            <w:t xml:space="preserve"> Ferroelectric Second-Order Memristor. </w:t>
          </w:r>
        </w:hyperlink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ACS Appl. Mater. Interfaces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2019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11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32108</w:t>
      </w:r>
      <w:r>
        <w:rPr>
          <w:rFonts w:ascii="22" w:hAnsi="22" w:eastAsia="22"/>
          <w:b w:val="0"/>
          <w:i w:val="0"/>
          <w:color w:val="000000"/>
          <w:sz w:val="18"/>
        </w:rPr>
        <w:hyperlink r:id="rId83" w:history="1">
          <w:r>
            <w:rPr>
              <w:rStyle w:val="Hyperlink"/>
            </w:rPr>
            <w:t>−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32114.</w:t>
      </w:r>
    </w:p>
    <w:p>
      <w:pPr>
        <w:autoSpaceDN w:val="0"/>
        <w:autoSpaceDE w:val="0"/>
        <w:widowControl/>
        <w:spacing w:line="200" w:lineRule="exact" w:before="2" w:after="0"/>
        <w:ind w:left="0" w:right="22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(3) Oh, S.; Kim, T.; Kwak, M.; Song, J.; Woo, J.; Jeon, S.; Yoo, I. K.;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Hwang, H.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84" w:history="1">
          <w:r>
            <w:rPr>
              <w:rStyle w:val="Hyperlink"/>
            </w:rPr>
            <w:t xml:space="preserve"> HfZrOx-Based Ferroelectric Synapse Device with 32 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84" w:history="1">
          <w:r>
            <w:rPr>
              <w:rStyle w:val="Hyperlink"/>
            </w:rPr>
            <w:t>Levels of Conductance States for Neuromorphic Applications.</w:t>
          </w:r>
        </w:hyperlink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IEEE 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Electron Device Lett.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2017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38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732</w:t>
      </w:r>
      <w:r>
        <w:rPr>
          <w:rFonts w:ascii="22" w:hAnsi="22" w:eastAsia="22"/>
          <w:b w:val="0"/>
          <w:i w:val="0"/>
          <w:color w:val="000000"/>
          <w:sz w:val="18"/>
        </w:rPr>
        <w:hyperlink r:id="rId84" w:history="1">
          <w:r>
            <w:rPr>
              <w:rStyle w:val="Hyperlink"/>
            </w:rPr>
            <w:t>−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735.</w:t>
      </w:r>
    </w:p>
    <w:p>
      <w:pPr>
        <w:autoSpaceDN w:val="0"/>
        <w:tabs>
          <w:tab w:pos="80" w:val="left"/>
        </w:tabs>
        <w:autoSpaceDE w:val="0"/>
        <w:widowControl/>
        <w:spacing w:line="200" w:lineRule="exact" w:before="2" w:after="0"/>
        <w:ind w:left="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(4) Shiraishi, T.; Katayama, K.; Yokouchi, T.; Shimizu, T.; Oikawa,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T.; Sakata, O.; Uchida, H.; Imai, Y.; Kiguchi, T.; Konno, T. J.;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Funakubo, H.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85" w:history="1">
          <w:r>
            <w:rPr>
              <w:rStyle w:val="Hyperlink"/>
            </w:rPr>
            <w:t xml:space="preserve"> Impact of Mechanical Stress on Ferroelectricity in 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85" w:history="1">
          <w:r>
            <w:rPr>
              <w:rStyle w:val="Hyperlink"/>
            </w:rPr>
            <w:t>(Hf0.5Zr0.5)O2 Thin Films.</w:t>
          </w:r>
        </w:hyperlink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Appl. Phys. Lett.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2016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108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, 262904.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(5) Mu</w:t>
      </w:r>
      <w:r>
        <w:rPr>
          <w:rFonts w:ascii="03" w:hAnsi="03" w:eastAsia="03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ller, J.; Böscke, T. S.; Schröder, U.; Mueller, S.; Bräuhaus, D.;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Böttger, U.; Frey, L.; Mikolajick, T.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86" w:history="1">
          <w:r>
            <w:rPr>
              <w:rStyle w:val="Hyperlink"/>
            </w:rPr>
            <w:t xml:space="preserve"> Ferroelectricity in Simple Binary 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86" w:history="1">
          <w:r>
            <w:rPr>
              <w:rStyle w:val="Hyperlink"/>
            </w:rPr>
            <w:t>ZrO 2 and HfO 2.</w:t>
          </w:r>
        </w:hyperlink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Nano Lett.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12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4318</w:t>
      </w:r>
      <w:r>
        <w:rPr>
          <w:rFonts w:ascii="22" w:hAnsi="22" w:eastAsia="22"/>
          <w:b w:val="0"/>
          <w:i w:val="0"/>
          <w:color w:val="000000"/>
          <w:sz w:val="18"/>
        </w:rPr>
        <w:hyperlink r:id="rId86" w:history="1">
          <w:r>
            <w:rPr>
              <w:rStyle w:val="Hyperlink"/>
            </w:rPr>
            <w:t>−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4323.</w:t>
      </w:r>
    </w:p>
    <w:p>
      <w:pPr>
        <w:autoSpaceDN w:val="0"/>
        <w:autoSpaceDE w:val="0"/>
        <w:widowControl/>
        <w:spacing w:line="200" w:lineRule="exact" w:before="2" w:after="0"/>
        <w:ind w:left="0" w:right="22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(6) Lin, Y.-C.; McGuire, F.; Franklin, A. D.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87" w:history="1">
          <w:r>
            <w:rPr>
              <w:rStyle w:val="Hyperlink"/>
            </w:rPr>
            <w:t xml:space="preserve"> Realizing Ferroelectric 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87" w:history="1">
          <w:r>
            <w:rPr>
              <w:rStyle w:val="Hyperlink"/>
            </w:rPr>
            <w:t>Hf 0.5 Zr 0.5 O 2 with Elemental Capping Layers.</w:t>
          </w:r>
        </w:hyperlink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J. Vac. Sci. Technol., 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B: Nanotechnol. Microelectron.: Mater., Process., Meas., Phenom.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2018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, 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36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011204.</w:t>
      </w:r>
    </w:p>
    <w:p>
      <w:pPr>
        <w:autoSpaceDN w:val="0"/>
        <w:autoSpaceDE w:val="0"/>
        <w:widowControl/>
        <w:spacing w:line="200" w:lineRule="exact" w:before="2" w:after="0"/>
        <w:ind w:left="0" w:right="22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(7) Chen, K. T.; Liao, C. Y.; Lo, C.; Chen, H. Y.; Siang, G. Y.; Liu,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S.; Chang, S. C.; Liao, M. H.; Chang, S. T.; Lee, M. H. Improvement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on Ferroelectricity and Endurance of Ultra-Thin HfZrO2 Capacitor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with Molybdenum Capping Electrode.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2019 Electron Devices 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Technology and Manufacturing Conference, EDTM 2019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, 2019; pp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62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64.</w:t>
      </w:r>
    </w:p>
    <w:p>
      <w:pPr>
        <w:autoSpaceDN w:val="0"/>
        <w:autoSpaceDE w:val="0"/>
        <w:widowControl/>
        <w:spacing w:line="200" w:lineRule="exact" w:before="2" w:after="0"/>
        <w:ind w:left="0" w:right="22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(8) Karbasian, G.; Dos Reis, R.; Yadav, A. K.; Tan, A. J.; Hu, C.;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Salahuddin, S.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88" w:history="1">
          <w:r>
            <w:rPr>
              <w:rStyle w:val="Hyperlink"/>
            </w:rPr>
            <w:t xml:space="preserve"> Stabilization of Ferroelectric Phase in Tungsten 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88" w:history="1">
          <w:r>
            <w:rPr>
              <w:rStyle w:val="Hyperlink"/>
            </w:rPr>
            <w:t>Capped Hf0.8Zr0.2O2.</w:t>
          </w:r>
        </w:hyperlink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Appl. Phys. Lett.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2017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111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022907.</w:t>
      </w:r>
    </w:p>
    <w:p>
      <w:pPr>
        <w:autoSpaceDN w:val="0"/>
        <w:autoSpaceDE w:val="0"/>
        <w:widowControl/>
        <w:spacing w:line="200" w:lineRule="exact" w:before="2" w:after="0"/>
        <w:ind w:left="0" w:right="22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(9) Lomenzo, P. D.; Takmeel, Q.; Zhou, C.; Fancher, C. M.;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Lambers, E.; Rudawski, N. G.; Jones, J. L.; Moghaddam, S.; Nishida,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T.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89" w:history="1">
          <w:r>
            <w:rPr>
              <w:rStyle w:val="Hyperlink"/>
            </w:rPr>
            <w:t xml:space="preserve"> TaN Interface Properties and Electric Field Cycling Effects on 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89" w:history="1">
          <w:r>
            <w:rPr>
              <w:rStyle w:val="Hyperlink"/>
            </w:rPr>
            <w:t>Ferroelectric Si-Doped HfO2 Thin Films.</w:t>
          </w:r>
        </w:hyperlink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J. Appl. Phys.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117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,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134105.</w:t>
      </w:r>
    </w:p>
    <w:p>
      <w:pPr>
        <w:autoSpaceDN w:val="0"/>
        <w:autoSpaceDE w:val="0"/>
        <w:widowControl/>
        <w:spacing w:line="200" w:lineRule="exact" w:before="2" w:after="0"/>
        <w:ind w:left="0" w:right="22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(10) Park, M. H.; Kim, H. J.; Kim, Y. J.; Jeon, W.; Moon, T.; Hwang,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C. S.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90" w:history="1">
          <w:r>
            <w:rPr>
              <w:rStyle w:val="Hyperlink"/>
            </w:rPr>
            <w:t xml:space="preserve"> Ferroelectric Properties and Switching Endurance of 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90" w:history="1">
          <w:r>
            <w:rPr>
              <w:rStyle w:val="Hyperlink"/>
            </w:rPr>
            <w:t xml:space="preserve">Hf0.5Zr0.5O2 Films on TiN Bottom and TiN or RuO2 Top 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90" w:history="1">
          <w:r>
            <w:rPr>
              <w:rStyle w:val="Hyperlink"/>
            </w:rPr>
            <w:t>Electrodes.</w:t>
          </w:r>
        </w:hyperlink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Phys. Status Solidi RRL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2014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8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532</w:t>
      </w:r>
      <w:r>
        <w:rPr>
          <w:rFonts w:ascii="22" w:hAnsi="22" w:eastAsia="22"/>
          <w:b w:val="0"/>
          <w:i w:val="0"/>
          <w:color w:val="000000"/>
          <w:sz w:val="18"/>
        </w:rPr>
        <w:hyperlink r:id="rId90" w:history="1">
          <w:r>
            <w:rPr>
              <w:rStyle w:val="Hyperlink"/>
            </w:rPr>
            <w:t>−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535.</w:t>
      </w:r>
    </w:p>
    <w:p>
      <w:pPr>
        <w:autoSpaceDN w:val="0"/>
        <w:autoSpaceDE w:val="0"/>
        <w:widowControl/>
        <w:spacing w:line="200" w:lineRule="exact" w:before="2" w:after="0"/>
        <w:ind w:left="0" w:right="22" w:firstLine="0"/>
        <w:jc w:val="right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(11) Luo, J.-D.; Yeh, Y.-T.; Lai, Y.-Y.; Wu, C.-F.; Chung, H.-T.; Li,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Y.-S.; Chuang, K.-C.; Li, W.-S.; Chen, P.-G.; Lee, M.-H.; Cheng, H.-C.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91" w:history="1">
          <w:r>
            <w:rPr>
              <w:rStyle w:val="Hyperlink"/>
            </w:rPr>
            <w:t xml:space="preserve">Correlation between Ferroelectricity and Nitrogen Incorporation of 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91" w:history="1">
          <w:r>
            <w:rPr>
              <w:rStyle w:val="Hyperlink"/>
            </w:rPr>
            <w:t>Undoped Hafnium Dioxide Thin Films.</w:t>
          </w:r>
        </w:hyperlink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Vacuum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2020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176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, 109317.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(12) Timm, R.; Fian, A.; Hjort, M.; Thelander, C.; Lind, E.;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Andersen, J. N.; Wernersson, L. E.; Mikkelsen, A.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92" w:history="1">
          <w:r>
            <w:rPr>
              <w:rStyle w:val="Hyperlink"/>
            </w:rPr>
            <w:t xml:space="preserve"> Reduction of Native 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hyperlink r:id="rId92" w:history="1">
          <w:r>
            <w:rPr>
              <w:rStyle w:val="Hyperlink"/>
            </w:rPr>
            <w:t>Oxides on InAs by Atomic Layer Deposited Al 2O3 and HfO2.</w:t>
          </w:r>
        </w:hyperlink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Appl. 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Phys. Lett.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2010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97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132904.</w:t>
      </w:r>
    </w:p>
    <w:p>
      <w:pPr>
        <w:sectPr>
          <w:type w:val="continuous"/>
          <w:pgSz w:w="12509" w:h="16367"/>
          <w:pgMar w:top="468" w:right="1198" w:bottom="308" w:left="1210" w:header="720" w:footer="720" w:gutter="0"/>
          <w:cols w:space="720" w:num="2" w:equalWidth="0">
            <w:col w:w="4822" w:space="0"/>
            <w:col w:w="5278" w:space="0"/>
            <w:col w:w="10100" w:space="0"/>
            <w:col w:w="4828" w:space="0"/>
            <w:col w:w="5282" w:space="0"/>
            <w:col w:w="10110" w:space="0"/>
            <w:col w:w="4828" w:space="0"/>
            <w:col w:w="5282" w:space="0"/>
            <w:col w:w="10110" w:space="0"/>
            <w:col w:w="4828" w:space="0"/>
            <w:col w:w="5282" w:space="0"/>
            <w:col w:w="10110" w:space="0"/>
            <w:col w:w="4818" w:space="0"/>
            <w:col w:w="5282" w:space="0"/>
            <w:col w:w="10100" w:space="0"/>
            <w:col w:w="10100" w:space="0"/>
            <w:col w:w="11298" w:space="0"/>
          </w:cols>
          <w:docGrid w:linePitch="360"/>
        </w:sectPr>
      </w:pPr>
    </w:p>
    <w:p>
      <w:pPr>
        <w:autoSpaceDN w:val="0"/>
        <w:tabs>
          <w:tab w:pos="3112" w:val="left"/>
        </w:tabs>
        <w:autoSpaceDE w:val="0"/>
        <w:widowControl/>
        <w:spacing w:line="170" w:lineRule="exact" w:before="0" w:after="0"/>
        <w:ind w:left="16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15"/>
        </w:rPr>
        <w:t xml:space="preserve">11095 </w:t>
      </w:r>
      <w:r>
        <w:tab/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hyperlink r:id="rId26" w:history="1">
          <w:r>
            <w:rPr>
              <w:rStyle w:val="Hyperlink"/>
            </w:rPr>
            <w:t>https://dx.doi.org/10.1021/acsami.1c01734</w:t>
          </w:r>
        </w:hyperlink>
      </w:r>
    </w:p>
    <w:sectPr w:rsidR="00FC693F" w:rsidRPr="0006063C" w:rsidSect="00034616">
      <w:type w:val="nextColumn"/>
      <w:pgSz w:w="12509" w:h="16367"/>
      <w:pgMar w:top="468" w:right="1198" w:bottom="308" w:left="1210" w:header="720" w:footer="720" w:gutter="0"/>
      <w:cols w:space="720" w:num="2" w:equalWidth="0">
        <w:col w:w="4822" w:space="0"/>
        <w:col w:w="5278" w:space="0"/>
        <w:col w:w="10100" w:space="0"/>
        <w:col w:w="4828" w:space="0"/>
        <w:col w:w="5282" w:space="0"/>
        <w:col w:w="10110" w:space="0"/>
        <w:col w:w="4828" w:space="0"/>
        <w:col w:w="5282" w:space="0"/>
        <w:col w:w="10110" w:space="0"/>
        <w:col w:w="4828" w:space="0"/>
        <w:col w:w="5282" w:space="0"/>
        <w:col w:w="10110" w:space="0"/>
        <w:col w:w="4818" w:space="0"/>
        <w:col w:w="5282" w:space="0"/>
        <w:col w:w="10100" w:space="0"/>
        <w:col w:w="10100" w:space="0"/>
        <w:col w:w="11298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hyperlink" Target="https://pubs.acs.org/action/doSearch?field1=Contrib&amp;text1=&quot;Robin+Athle&quot;&amp;field2=AllField&amp;text2=&amp;publication=&amp;accessType=allContent&amp;Earliest=&amp;ref=pdf" TargetMode="External"/><Relationship Id="rId14" Type="http://schemas.openxmlformats.org/officeDocument/2006/relationships/hyperlink" Target="https://pubs.acs.org/action/doSearch?field1=Contrib&amp;text1=&quot;Anton+E.+O.+Persson&quot;&amp;field2=AllField&amp;text2=&amp;publication=&amp;accessType=allContent&amp;Earliest=&amp;ref=pdf" TargetMode="External"/><Relationship Id="rId15" Type="http://schemas.openxmlformats.org/officeDocument/2006/relationships/hyperlink" Target="https://pubs.acs.org/action/doSearch?field1=Contrib&amp;text1=&quot;Austin+Irish&quot;&amp;field2=AllField&amp;text2=&amp;publication=&amp;accessType=allContent&amp;Earliest=&amp;ref=pdf" TargetMode="External"/><Relationship Id="rId16" Type="http://schemas.openxmlformats.org/officeDocument/2006/relationships/hyperlink" Target="https://pubs.acs.org/action/doSearch?field1=Contrib&amp;text1=&quot;Heera+Menon&quot;&amp;field2=AllField&amp;text2=&amp;publication=&amp;accessType=allContent&amp;Earliest=&amp;ref=pdf" TargetMode="External"/><Relationship Id="rId17" Type="http://schemas.openxmlformats.org/officeDocument/2006/relationships/hyperlink" Target="https://pubs.acs.org/action/doSearch?field1=Contrib&amp;text1=&quot;Rainer+Timm&quot;&amp;field2=AllField&amp;text2=&amp;publication=&amp;accessType=allContent&amp;Earliest=&amp;ref=pdf" TargetMode="External"/><Relationship Id="rId18" Type="http://schemas.openxmlformats.org/officeDocument/2006/relationships/hyperlink" Target="https://pubs.acs.org/action/doSearch?field1=Contrib&amp;text1=&quot;Mattias+Borg&quot;&amp;field2=AllField&amp;text2=&amp;publication=&amp;accessType=allContent&amp;Earliest=&amp;ref=pdf" TargetMode="External"/><Relationship Id="rId19" Type="http://schemas.openxmlformats.org/officeDocument/2006/relationships/hyperlink" Target="https://pubs.acs.org/action/showCitFormats?doi=10.1021/acsami.1c01734&amp;ref=pdf" TargetMode="External"/><Relationship Id="rId20" Type="http://schemas.openxmlformats.org/officeDocument/2006/relationships/hyperlink" Target="https://pubs.acs.org/doi/10.1021/acsami.1c01734?ref=pdf" TargetMode="External"/><Relationship Id="rId21" Type="http://schemas.openxmlformats.org/officeDocument/2006/relationships/image" Target="media/image5.png"/><Relationship Id="rId22" Type="http://schemas.openxmlformats.org/officeDocument/2006/relationships/hyperlink" Target="https://pubs.acs.org/doi/10.1021/acsami.1c01734?goto=articleMetrics&amp;ref=pdf" TargetMode="External"/><Relationship Id="rId23" Type="http://schemas.openxmlformats.org/officeDocument/2006/relationships/hyperlink" Target="https://pubs.acs.org/doi/10.1021/acsami.1c01734?goto=recommendations&amp;?ref=pdf" TargetMode="External"/><Relationship Id="rId24" Type="http://schemas.openxmlformats.org/officeDocument/2006/relationships/hyperlink" Target="https://pubs.acs.org/doi/10.1021/acsami.1c01734?goto=supporting-info&amp;ref=pdf" TargetMode="External"/><Relationship Id="rId25" Type="http://schemas.openxmlformats.org/officeDocument/2006/relationships/image" Target="media/image6.png"/><Relationship Id="rId26" Type="http://schemas.openxmlformats.org/officeDocument/2006/relationships/hyperlink" Target="https://dx.doi.org/10.1021/acsami.1c01734?ref=pdf" TargetMode="External"/><Relationship Id="rId27" Type="http://schemas.openxmlformats.org/officeDocument/2006/relationships/image" Target="media/image7.png"/><Relationship Id="rId28" Type="http://schemas.openxmlformats.org/officeDocument/2006/relationships/image" Target="media/image8.png"/><Relationship Id="rId29" Type="http://schemas.openxmlformats.org/officeDocument/2006/relationships/image" Target="media/image9.png"/><Relationship Id="rId30" Type="http://schemas.openxmlformats.org/officeDocument/2006/relationships/image" Target="media/image10.png"/><Relationship Id="rId31" Type="http://schemas.openxmlformats.org/officeDocument/2006/relationships/image" Target="media/image11.png"/><Relationship Id="rId32" Type="http://schemas.openxmlformats.org/officeDocument/2006/relationships/image" Target="media/image12.png"/><Relationship Id="rId33" Type="http://schemas.openxmlformats.org/officeDocument/2006/relationships/image" Target="media/image13.png"/><Relationship Id="rId34" Type="http://schemas.openxmlformats.org/officeDocument/2006/relationships/image" Target="media/image14.png"/><Relationship Id="rId35" Type="http://schemas.openxmlformats.org/officeDocument/2006/relationships/image" Target="media/image15.png"/><Relationship Id="rId36" Type="http://schemas.openxmlformats.org/officeDocument/2006/relationships/image" Target="media/image16.png"/><Relationship Id="rId37" Type="http://schemas.openxmlformats.org/officeDocument/2006/relationships/image" Target="media/image17.png"/><Relationship Id="rId38" Type="http://schemas.openxmlformats.org/officeDocument/2006/relationships/hyperlink" Target="http://pubs.acs.org/doi/suppl/10.1021/acsami.1c01734/suppl_file/am1c01734_si_001.pdf" TargetMode="External"/><Relationship Id="rId39" Type="http://schemas.openxmlformats.org/officeDocument/2006/relationships/image" Target="media/image18.png"/><Relationship Id="rId40" Type="http://schemas.openxmlformats.org/officeDocument/2006/relationships/image" Target="media/image19.png"/><Relationship Id="rId41" Type="http://schemas.openxmlformats.org/officeDocument/2006/relationships/image" Target="media/image20.png"/><Relationship Id="rId42" Type="http://schemas.openxmlformats.org/officeDocument/2006/relationships/image" Target="media/image21.png"/><Relationship Id="rId43" Type="http://schemas.openxmlformats.org/officeDocument/2006/relationships/image" Target="media/image22.png"/><Relationship Id="rId44" Type="http://schemas.openxmlformats.org/officeDocument/2006/relationships/image" Target="media/image23.png"/><Relationship Id="rId45" Type="http://schemas.openxmlformats.org/officeDocument/2006/relationships/image" Target="media/image24.png"/><Relationship Id="rId46" Type="http://schemas.openxmlformats.org/officeDocument/2006/relationships/image" Target="media/image25.png"/><Relationship Id="rId47" Type="http://schemas.openxmlformats.org/officeDocument/2006/relationships/image" Target="media/image26.png"/><Relationship Id="rId48" Type="http://schemas.openxmlformats.org/officeDocument/2006/relationships/image" Target="media/image27.png"/><Relationship Id="rId49" Type="http://schemas.openxmlformats.org/officeDocument/2006/relationships/image" Target="media/image28.png"/><Relationship Id="rId50" Type="http://schemas.openxmlformats.org/officeDocument/2006/relationships/image" Target="media/image29.png"/><Relationship Id="rId51" Type="http://schemas.openxmlformats.org/officeDocument/2006/relationships/image" Target="media/image30.png"/><Relationship Id="rId52" Type="http://schemas.openxmlformats.org/officeDocument/2006/relationships/image" Target="media/image31.png"/><Relationship Id="rId53" Type="http://schemas.openxmlformats.org/officeDocument/2006/relationships/image" Target="media/image32.png"/><Relationship Id="rId54" Type="http://schemas.openxmlformats.org/officeDocument/2006/relationships/image" Target="media/image33.png"/><Relationship Id="rId55" Type="http://schemas.openxmlformats.org/officeDocument/2006/relationships/image" Target="media/image34.png"/><Relationship Id="rId56" Type="http://schemas.openxmlformats.org/officeDocument/2006/relationships/image" Target="media/image35.png"/><Relationship Id="rId57" Type="http://schemas.openxmlformats.org/officeDocument/2006/relationships/image" Target="media/image36.png"/><Relationship Id="rId58" Type="http://schemas.openxmlformats.org/officeDocument/2006/relationships/image" Target="media/image37.png"/><Relationship Id="rId59" Type="http://schemas.openxmlformats.org/officeDocument/2006/relationships/image" Target="media/image38.png"/><Relationship Id="rId60" Type="http://schemas.openxmlformats.org/officeDocument/2006/relationships/image" Target="media/image39.png"/><Relationship Id="rId61" Type="http://schemas.openxmlformats.org/officeDocument/2006/relationships/image" Target="media/image40.png"/><Relationship Id="rId62" Type="http://schemas.openxmlformats.org/officeDocument/2006/relationships/image" Target="media/image41.png"/><Relationship Id="rId63" Type="http://schemas.openxmlformats.org/officeDocument/2006/relationships/image" Target="media/image42.png"/><Relationship Id="rId64" Type="http://schemas.openxmlformats.org/officeDocument/2006/relationships/image" Target="media/image43.png"/><Relationship Id="rId65" Type="http://schemas.openxmlformats.org/officeDocument/2006/relationships/image" Target="media/image44.png"/><Relationship Id="rId66" Type="http://schemas.openxmlformats.org/officeDocument/2006/relationships/image" Target="media/image45.png"/><Relationship Id="rId67" Type="http://schemas.openxmlformats.org/officeDocument/2006/relationships/image" Target="media/image46.png"/><Relationship Id="rId68" Type="http://schemas.openxmlformats.org/officeDocument/2006/relationships/image" Target="media/image47.png"/><Relationship Id="rId69" Type="http://schemas.openxmlformats.org/officeDocument/2006/relationships/image" Target="media/image48.png"/><Relationship Id="rId70" Type="http://schemas.openxmlformats.org/officeDocument/2006/relationships/image" Target="media/image49.png"/><Relationship Id="rId71" Type="http://schemas.openxmlformats.org/officeDocument/2006/relationships/image" Target="media/image50.png"/><Relationship Id="rId72" Type="http://schemas.openxmlformats.org/officeDocument/2006/relationships/image" Target="media/image51.png"/><Relationship Id="rId73" Type="http://schemas.openxmlformats.org/officeDocument/2006/relationships/image" Target="media/image52.png"/><Relationship Id="rId74" Type="http://schemas.openxmlformats.org/officeDocument/2006/relationships/image" Target="media/image53.png"/><Relationship Id="rId75" Type="http://schemas.openxmlformats.org/officeDocument/2006/relationships/hyperlink" Target="https://pubs.acs.org/doi/10.1021/acsami.1c01734?goto=supporting-info" TargetMode="External"/><Relationship Id="rId76" Type="http://schemas.openxmlformats.org/officeDocument/2006/relationships/image" Target="media/image54.png"/><Relationship Id="rId77" Type="http://schemas.openxmlformats.org/officeDocument/2006/relationships/hyperlink" Target="http://orcid.org/0000-0002-5741-7259" TargetMode="External"/><Relationship Id="rId78" Type="http://schemas.openxmlformats.org/officeDocument/2006/relationships/hyperlink" Target="mailto:robin.atle@eit.lth.se" TargetMode="External"/><Relationship Id="rId79" Type="http://schemas.openxmlformats.org/officeDocument/2006/relationships/image" Target="media/image55.png"/><Relationship Id="rId80" Type="http://schemas.openxmlformats.org/officeDocument/2006/relationships/hyperlink" Target="http://orcid.org/0000-0003-1217-369X" TargetMode="External"/><Relationship Id="rId81" Type="http://schemas.openxmlformats.org/officeDocument/2006/relationships/hyperlink" Target="mailto:mattias.borg@eit.lth.se" TargetMode="External"/><Relationship Id="rId82" Type="http://schemas.openxmlformats.org/officeDocument/2006/relationships/hyperlink" Target="https://dx.doi.org/10.1063/1.3634052" TargetMode="External"/><Relationship Id="rId83" Type="http://schemas.openxmlformats.org/officeDocument/2006/relationships/hyperlink" Target="https://dx.doi.org/10.1021/acsami.9b08189" TargetMode="External"/><Relationship Id="rId84" Type="http://schemas.openxmlformats.org/officeDocument/2006/relationships/hyperlink" Target="https://dx.doi.org/10.1109/led.2017.2698083" TargetMode="External"/><Relationship Id="rId85" Type="http://schemas.openxmlformats.org/officeDocument/2006/relationships/hyperlink" Target="https://dx.doi.org/10.1063/1.4954942" TargetMode="External"/><Relationship Id="rId86" Type="http://schemas.openxmlformats.org/officeDocument/2006/relationships/hyperlink" Target="https://dx.doi.org/10.1021/nl302049k" TargetMode="External"/><Relationship Id="rId87" Type="http://schemas.openxmlformats.org/officeDocument/2006/relationships/hyperlink" Target="https://dx.doi.org/10.1116/1.5002558" TargetMode="External"/><Relationship Id="rId88" Type="http://schemas.openxmlformats.org/officeDocument/2006/relationships/hyperlink" Target="https://dx.doi.org/10.1063/1.4993739" TargetMode="External"/><Relationship Id="rId89" Type="http://schemas.openxmlformats.org/officeDocument/2006/relationships/hyperlink" Target="https://dx.doi.org/10.1063/1.4916715" TargetMode="External"/><Relationship Id="rId90" Type="http://schemas.openxmlformats.org/officeDocument/2006/relationships/hyperlink" Target="https://dx.doi.org/10.1002/pssr.201409017" TargetMode="External"/><Relationship Id="rId91" Type="http://schemas.openxmlformats.org/officeDocument/2006/relationships/hyperlink" Target="https://dx.doi.org/10.1016/j.vacuum.2020.109317" TargetMode="External"/><Relationship Id="rId92" Type="http://schemas.openxmlformats.org/officeDocument/2006/relationships/hyperlink" Target="https://dx.doi.org/10.1063/1.3495776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