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288" w:lineRule="exact" w:before="42" w:after="0"/>
        <w:ind w:left="120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Chemical solution deposition of ferroelectric yttrium-doped hafnium oxide films on </w:t>
      </w:r>
      <w:r>
        <w:rPr>
          <w:rFonts w:ascii="Helvetica" w:hAnsi="Helvetica" w:eastAsia="Helvetica"/>
          <w:b/>
          <w:i w:val="0"/>
          <w:color w:val="000000"/>
          <w:sz w:val="24"/>
        </w:rPr>
        <w:t>platinum electrodes</w:t>
      </w:r>
    </w:p>
    <w:p>
      <w:pPr>
        <w:autoSpaceDN w:val="0"/>
        <w:autoSpaceDE w:val="0"/>
        <w:widowControl/>
        <w:spacing w:line="276" w:lineRule="exact" w:before="66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9" w:history="1">
          <w:r>
            <w:rPr>
              <w:rStyle w:val="Hyperlink"/>
            </w:rPr>
            <w:t>S. Starschich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0" w:history="1">
          <w:r>
            <w:rPr>
              <w:rStyle w:val="Hyperlink"/>
            </w:rPr>
            <w:t>D. Griesche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1" w:history="1">
          <w:r>
            <w:rPr>
              <w:rStyle w:val="Hyperlink"/>
            </w:rPr>
            <w:t>T. Schneller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R. Waser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3" w:history="1">
          <w:r>
            <w:rPr>
              <w:rStyle w:val="Hyperlink"/>
            </w:rPr>
            <w:t>U. Böttger</w:t>
          </w:r>
        </w:hyperlink>
      </w:r>
    </w:p>
    <w:p>
      <w:pPr>
        <w:autoSpaceDN w:val="0"/>
        <w:autoSpaceDE w:val="0"/>
        <w:widowControl/>
        <w:spacing w:line="276" w:lineRule="exact" w:before="444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Citation: </w:t>
      </w:r>
      <w:r>
        <w:rPr>
          <w:rFonts w:ascii="ArialMT" w:hAnsi="ArialMT" w:eastAsia="ArialMT"/>
          <w:b w:val="0"/>
          <w:i w:val="0"/>
          <w:color w:val="0000FF"/>
          <w:sz w:val="20"/>
        </w:rPr>
        <w:t>Appl. Phys. Lett.</w:t>
      </w:r>
      <w:r>
        <w:rPr>
          <w:rFonts w:ascii="Arial" w:hAnsi="Arial" w:eastAsia="Arial"/>
          <w:b/>
          <w:i w:val="0"/>
          <w:color w:val="000000"/>
          <w:sz w:val="20"/>
        </w:rPr>
        <w:t>104</w:t>
      </w:r>
      <w:r>
        <w:rPr>
          <w:rFonts w:ascii="ArialMT" w:hAnsi="ArialMT" w:eastAsia="ArialMT"/>
          <w:b w:val="0"/>
          <w:i w:val="0"/>
          <w:color w:val="000000"/>
          <w:sz w:val="20"/>
        </w:rPr>
        <w:t>, 202903 (2014);</w:t>
      </w:r>
    </w:p>
    <w:p>
      <w:pPr>
        <w:autoSpaceDN w:val="0"/>
        <w:autoSpaceDE w:val="0"/>
        <w:widowControl/>
        <w:spacing w:line="276" w:lineRule="exact" w:before="44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View online: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4" w:history="1">
          <w:r>
            <w:rPr>
              <w:rStyle w:val="Hyperlink"/>
            </w:rPr>
            <w:t>https://doi.org/10.1063/1.4879283</w:t>
          </w:r>
        </w:hyperlink>
      </w:r>
    </w:p>
    <w:p>
      <w:pPr>
        <w:autoSpaceDN w:val="0"/>
        <w:autoSpaceDE w:val="0"/>
        <w:widowControl/>
        <w:spacing w:line="276" w:lineRule="exact" w:before="44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View Table of Contents: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http://aip.scitation.org/toc/apl/104/20</w:t>
          </w:r>
        </w:hyperlink>
      </w:r>
    </w:p>
    <w:p>
      <w:pPr>
        <w:autoSpaceDN w:val="0"/>
        <w:autoSpaceDE w:val="0"/>
        <w:widowControl/>
        <w:spacing w:line="276" w:lineRule="exact" w:before="44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Published by the </w:t>
      </w:r>
      <w:r>
        <w:rPr>
          <w:rFonts w:ascii="ArialMT" w:hAnsi="ArialMT" w:eastAsia="ArialMT"/>
          <w:b w:val="0"/>
          <w:i w:val="0"/>
          <w:color w:val="0000FF"/>
          <w:sz w:val="20"/>
        </w:rPr>
        <w:hyperlink r:id="rId16" w:history="1">
          <w:r>
            <w:rPr>
              <w:rStyle w:val="Hyperlink"/>
            </w:rPr>
            <w:t>American Institute of Physics</w:t>
          </w:r>
        </w:hyperlink>
      </w:r>
    </w:p>
    <w:p>
      <w:pPr>
        <w:autoSpaceDN w:val="0"/>
        <w:autoSpaceDE w:val="0"/>
        <w:widowControl/>
        <w:spacing w:line="274" w:lineRule="exact" w:before="454" w:after="0"/>
        <w:ind w:left="1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Articles you may be interested in</w:t>
      </w:r>
    </w:p>
    <w:p>
      <w:pPr>
        <w:autoSpaceDN w:val="0"/>
        <w:autoSpaceDE w:val="0"/>
        <w:widowControl/>
        <w:spacing w:line="230" w:lineRule="exact" w:before="90" w:after="0"/>
        <w:ind w:left="120" w:right="4320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17" w:history="1">
          <w:r>
            <w:rPr>
              <w:rStyle w:val="Hyperlink"/>
            </w:rPr>
            <w:t xml:space="preserve">Ferroelectricity in hafnium oxide thin films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 xml:space="preserve">Applied Physics Letters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17" w:history="1">
          <w:r>
            <w:rPr>
              <w:rStyle w:val="Hyperlink"/>
            </w:rPr>
            <w:t>99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 102903 (2011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>); 10.1063/1.3634052</w:t>
      </w:r>
    </w:p>
    <w:p>
      <w:pPr>
        <w:autoSpaceDN w:val="0"/>
        <w:autoSpaceDE w:val="0"/>
        <w:widowControl/>
        <w:spacing w:line="230" w:lineRule="exact" w:before="250" w:after="0"/>
        <w:ind w:left="120" w:right="4032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18" w:history="1">
          <w:r>
            <w:rPr>
              <w:rStyle w:val="Hyperlink"/>
            </w:rPr>
            <w:t xml:space="preserve">Ferroelectricity in yttrium-doped hafnium oxide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 xml:space="preserve">Journal of Applied Physics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18" w:history="1">
          <w:r>
            <w:rPr>
              <w:rStyle w:val="Hyperlink"/>
            </w:rPr>
            <w:t>110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, 114113 (2011)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>; 10.1063/1.3667205</w:t>
      </w:r>
    </w:p>
    <w:p>
      <w:pPr>
        <w:autoSpaceDN w:val="0"/>
        <w:autoSpaceDE w:val="0"/>
        <w:widowControl/>
        <w:spacing w:line="230" w:lineRule="exact" w:before="250" w:after="0"/>
        <w:ind w:left="120" w:right="4032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19" w:history="1">
          <w:r>
            <w:rPr>
              <w:rStyle w:val="Hyperlink"/>
            </w:rPr>
            <w:t xml:space="preserve">Stabilizing the ferroelectric phase in doped hafnium oxide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 xml:space="preserve">Journal of Applied Physics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19" w:history="1">
          <w:r>
            <w:rPr>
              <w:rStyle w:val="Hyperlink"/>
            </w:rPr>
            <w:t>118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, 072006 (2015); 10.1063/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>1.4927805</w:t>
      </w:r>
    </w:p>
    <w:p>
      <w:pPr>
        <w:autoSpaceDN w:val="0"/>
        <w:autoSpaceDE w:val="0"/>
        <w:widowControl/>
        <w:spacing w:line="230" w:lineRule="exact" w:before="250" w:after="0"/>
        <w:ind w:left="120" w:right="4176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20" w:history="1">
          <w:r>
            <w:rPr>
              <w:rStyle w:val="Hyperlink"/>
            </w:rPr>
            <w:t xml:space="preserve"> Enhancing ferroelectricity in dopant-free hafnium oxide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 xml:space="preserve">Applied Physics Letters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20" w:history="1">
          <w:r>
            <w:rPr>
              <w:rStyle w:val="Hyperlink"/>
            </w:rPr>
            <w:t>110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, 022903 (2017); 10.1063/1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>.4973928</w:t>
      </w:r>
    </w:p>
    <w:p>
      <w:pPr>
        <w:autoSpaceDN w:val="0"/>
        <w:autoSpaceDE w:val="0"/>
        <w:widowControl/>
        <w:spacing w:line="230" w:lineRule="exact" w:before="250" w:after="0"/>
        <w:ind w:left="120" w:right="2592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21" w:history="1">
          <w:r>
            <w:rPr>
              <w:rStyle w:val="Hyperlink"/>
            </w:rPr>
            <w:t xml:space="preserve">Co-sputtering yttrium into hafnium oxide thin films to produce ferroelectric properties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 xml:space="preserve">Applied Physics Letters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21" w:history="1">
          <w:r>
            <w:rPr>
              <w:rStyle w:val="Hyperlink"/>
            </w:rPr>
            <w:t>101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, 082905 (2012); 10.1063/1.4747209</w:t>
          </w:r>
        </w:hyperlink>
      </w:r>
    </w:p>
    <w:p>
      <w:pPr>
        <w:autoSpaceDN w:val="0"/>
        <w:autoSpaceDE w:val="0"/>
        <w:widowControl/>
        <w:spacing w:line="230" w:lineRule="exact" w:before="250" w:after="0"/>
        <w:ind w:left="120" w:right="4176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</w:rPr>
        <w:hyperlink r:id="rId22" w:history="1">
          <w:r>
            <w:rPr>
              <w:rStyle w:val="Hyperlink"/>
            </w:rPr>
            <w:t xml:space="preserve">Ferroelectricity in undoped hafnium oxide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 xml:space="preserve">Applied Physics Letters 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hyperlink r:id="rId22" w:history="1">
          <w:r>
            <w:rPr>
              <w:rStyle w:val="Hyperlink"/>
            </w:rPr>
            <w:t>106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, 232905 (201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>5); 10.1063/1.4922272</w:t>
      </w:r>
    </w:p>
    <w:p>
      <w:pPr>
        <w:autoSpaceDN w:val="0"/>
        <w:autoSpaceDE w:val="0"/>
        <w:widowControl/>
        <w:spacing w:line="240" w:lineRule="auto" w:before="334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2615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6199"/>
          <w:pgMar w:top="328" w:right="1114" w:bottom="568" w:left="988" w:header="720" w:footer="720" w:gutter="0"/>
          <w:cols w:space="720" w:num="1" w:equalWidth="0"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tabs>
          <w:tab w:pos="8680" w:val="left"/>
        </w:tabs>
        <w:autoSpaceDE w:val="0"/>
        <w:widowControl/>
        <w:spacing w:line="240" w:lineRule="auto" w:before="0" w:after="0"/>
        <w:ind w:left="31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8"/>
        </w:rPr>
        <w:t>APPLIED PHYSICS LETTERS</w:t>
      </w:r>
      <w:r>
        <w:rPr>
          <w:rFonts w:ascii="AdvP6960" w:hAnsi="AdvP6960" w:eastAsia="AdvP6960"/>
          <w:b w:val="0"/>
          <w:i w:val="0"/>
          <w:color w:val="221F1F"/>
          <w:sz w:val="18"/>
        </w:rPr>
        <w:t xml:space="preserve"> 104</w:t>
      </w:r>
      <w:r>
        <w:rPr>
          <w:rFonts w:ascii="AdvP6975" w:hAnsi="AdvP6975" w:eastAsia="AdvP6975"/>
          <w:b w:val="0"/>
          <w:i w:val="0"/>
          <w:color w:val="221F1F"/>
          <w:sz w:val="18"/>
        </w:rPr>
        <w:t>, 202903 (2014)</w:t>
      </w:r>
      <w:r>
        <w:tab/>
      </w:r>
      <w:r>
        <w:drawing>
          <wp:inline xmlns:a="http://schemas.openxmlformats.org/drawingml/2006/main" xmlns:pic="http://schemas.openxmlformats.org/drawingml/2006/picture">
            <wp:extent cx="635000" cy="266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02" w:after="0"/>
        <w:ind w:left="0" w:right="1152" w:firstLine="0"/>
        <w:jc w:val="left"/>
      </w:pPr>
      <w:r>
        <w:rPr>
          <w:rFonts w:ascii="AdvHelv_B" w:hAnsi="AdvHelv_B" w:eastAsia="AdvHelv_B"/>
          <w:b w:val="0"/>
          <w:i w:val="0"/>
          <w:color w:val="0000FF"/>
          <w:sz w:val="28"/>
        </w:rPr>
        <w:hyperlink r:id="rId25" w:history="1">
          <w:r>
            <w:rPr>
              <w:rStyle w:val="Hyperlink"/>
            </w:rPr>
            <w:t xml:space="preserve">Chemical solution deposition of ferroelectric yttrium-doped hafnium </w:t>
          </w:r>
        </w:hyperlink>
      </w:r>
      <w:r>
        <w:rPr>
          <w:rFonts w:ascii="AdvHelv_B" w:hAnsi="AdvHelv_B" w:eastAsia="AdvHelv_B"/>
          <w:b w:val="0"/>
          <w:i w:val="0"/>
          <w:color w:val="0000FF"/>
          <w:sz w:val="28"/>
        </w:rPr>
        <w:hyperlink r:id="rId25" w:history="1">
          <w:r>
            <w:rPr>
              <w:rStyle w:val="Hyperlink"/>
            </w:rPr>
            <w:t>oxide films on platinum electrodes</w:t>
          </w:r>
        </w:hyperlink>
      </w:r>
    </w:p>
    <w:p>
      <w:pPr>
        <w:autoSpaceDN w:val="0"/>
        <w:autoSpaceDE w:val="0"/>
        <w:widowControl/>
        <w:spacing w:line="200" w:lineRule="exact" w:before="164" w:after="0"/>
        <w:ind w:left="720" w:right="2592" w:firstLine="0"/>
        <w:jc w:val="left"/>
      </w:pPr>
      <w:r>
        <w:rPr>
          <w:rFonts w:ascii="AdvHelv_R" w:hAnsi="AdvHelv_R" w:eastAsia="AdvHelv_R"/>
          <w:b w:val="0"/>
          <w:i w:val="0"/>
          <w:color w:val="221F1F"/>
          <w:sz w:val="20"/>
        </w:rPr>
        <w:t>S. Starschich,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D. Griesche,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T. Schneller,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R. Waser,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1,2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and U. B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>€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ottger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 xml:space="preserve">1 </w:t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1</w:t>
      </w:r>
      <w:r>
        <w:rPr>
          <w:rFonts w:ascii="AdvP696A" w:hAnsi="AdvP696A" w:eastAsia="AdvP696A"/>
          <w:b w:val="0"/>
          <w:i w:val="0"/>
          <w:color w:val="221F1F"/>
          <w:sz w:val="18"/>
        </w:rPr>
        <w:t>Institut f</w:t>
      </w:r>
      <w:r>
        <w:rPr>
          <w:rFonts w:ascii="AdvP4C4E59" w:hAnsi="AdvP4C4E59" w:eastAsia="AdvP4C4E59"/>
          <w:b w:val="0"/>
          <w:i w:val="0"/>
          <w:color w:val="221F1F"/>
          <w:sz w:val="18"/>
        </w:rPr>
        <w:t>€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ur Werkstoffe der Elektrotechnik 2, RWTH Aachen University, Sommerfeldstraße 24, 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D-52074 Aachen,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2</w:t>
      </w:r>
      <w:r>
        <w:rPr>
          <w:rFonts w:ascii="AdvP696A" w:hAnsi="AdvP696A" w:eastAsia="AdvP696A"/>
          <w:b w:val="0"/>
          <w:i w:val="0"/>
          <w:color w:val="221F1F"/>
          <w:sz w:val="18"/>
        </w:rPr>
        <w:t>Peter Gr</w:t>
      </w:r>
      <w:r>
        <w:rPr>
          <w:rFonts w:ascii="AdvP4C4E59" w:hAnsi="AdvP4C4E59" w:eastAsia="AdvP4C4E59"/>
          <w:b w:val="0"/>
          <w:i w:val="0"/>
          <w:color w:val="221F1F"/>
          <w:sz w:val="18"/>
        </w:rPr>
        <w:t>€</w:t>
      </w:r>
      <w:r>
        <w:rPr>
          <w:rFonts w:ascii="AdvP696A" w:hAnsi="AdvP696A" w:eastAsia="AdvP696A"/>
          <w:b w:val="0"/>
          <w:i w:val="0"/>
          <w:color w:val="221F1F"/>
          <w:sz w:val="18"/>
        </w:rPr>
        <w:t>unberg Institut 7, Forschungszentrum J</w:t>
      </w:r>
      <w:r>
        <w:rPr>
          <w:rFonts w:ascii="AdvP4C4E59" w:hAnsi="AdvP4C4E59" w:eastAsia="AdvP4C4E59"/>
          <w:b w:val="0"/>
          <w:i w:val="0"/>
          <w:color w:val="221F1F"/>
          <w:sz w:val="18"/>
        </w:rPr>
        <w:t>€</w:t>
      </w:r>
      <w:r>
        <w:rPr>
          <w:rFonts w:ascii="AdvP696A" w:hAnsi="AdvP696A" w:eastAsia="AdvP696A"/>
          <w:b w:val="0"/>
          <w:i w:val="0"/>
          <w:color w:val="221F1F"/>
          <w:sz w:val="18"/>
        </w:rPr>
        <w:t>ulich GmbH, D-52425 J</w:t>
      </w:r>
      <w:r>
        <w:rPr>
          <w:rFonts w:ascii="AdvP4C4E59" w:hAnsi="AdvP4C4E59" w:eastAsia="AdvP4C4E59"/>
          <w:b w:val="0"/>
          <w:i w:val="0"/>
          <w:color w:val="221F1F"/>
          <w:sz w:val="18"/>
        </w:rPr>
        <w:t>€</w:t>
      </w:r>
      <w:r>
        <w:rPr>
          <w:rFonts w:ascii="AdvP696A" w:hAnsi="AdvP696A" w:eastAsia="AdvP696A"/>
          <w:b w:val="0"/>
          <w:i w:val="0"/>
          <w:color w:val="221F1F"/>
          <w:sz w:val="18"/>
        </w:rPr>
        <w:t>ulich, Germany</w:t>
      </w:r>
    </w:p>
    <w:p>
      <w:pPr>
        <w:autoSpaceDN w:val="0"/>
        <w:autoSpaceDE w:val="0"/>
        <w:widowControl/>
        <w:spacing w:line="200" w:lineRule="exact" w:before="158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(Received 17 April 2014; accepted 11 May 2014; published online 21 May 2014)</w:t>
      </w:r>
    </w:p>
    <w:p>
      <w:pPr>
        <w:autoSpaceDN w:val="0"/>
        <w:tabs>
          <w:tab w:pos="6364" w:val="left"/>
        </w:tabs>
        <w:autoSpaceDE w:val="0"/>
        <w:widowControl/>
        <w:spacing w:line="240" w:lineRule="exact" w:before="122" w:after="352"/>
        <w:ind w:left="720" w:right="144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Ferroelectric hafnium oxide films were fabricated by chemical solution deposition with a remnant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polarization of</w:t>
      </w:r>
      <w:r>
        <w:rPr>
          <w:rFonts w:ascii="AdvP4C4E51" w:hAnsi="AdvP4C4E51" w:eastAsia="AdvP4C4E51"/>
          <w:b w:val="0"/>
          <w:i w:val="0"/>
          <w:color w:val="221F1F"/>
          <w:sz w:val="20"/>
        </w:rPr>
        <w:t xml:space="preserve"> &gt;</w:t>
      </w:r>
      <w:r>
        <w:rPr>
          <w:rFonts w:ascii="AdvP6975" w:hAnsi="AdvP6975" w:eastAsia="AdvP6975"/>
          <w:b w:val="0"/>
          <w:i w:val="0"/>
          <w:color w:val="221F1F"/>
          <w:sz w:val="20"/>
        </w:rPr>
        <w:t>13</w:t>
      </w:r>
      <w:r>
        <w:rPr>
          <w:rFonts w:ascii="AdvPSMP10" w:hAnsi="AdvPSMP10" w:eastAsia="AdvPSMP10"/>
          <w:b w:val="0"/>
          <w:i w:val="0"/>
          <w:color w:val="221F1F"/>
          <w:sz w:val="20"/>
        </w:rPr>
        <w:t xml:space="preserve"> l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C/cm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The samples were prepared with 5.2 mol.% yttrium-doping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thickness varied from 18 nm to 70 nm. The hafnium oxide layer was integrated into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metal-insulator-metal capacitor using platinum electrodes. Due to the processing procedure, no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thickness dependence of the ferroelectric properties was observed. To confirm the ferroelectric nature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of the deposited samples, polarization, capacitance, and piezoelectric displacement measurements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were performed. However, no evidence of the orthorhombic phase was found which has been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proposed to be the non-centrosymmetric, ferroelectric phase in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  <w:r>
        <w:rPr>
          <w:w w:val="102.53059162813074"/>
          <w:rFonts w:ascii="AdvP80516" w:hAnsi="AdvP80516" w:eastAsia="AdvP80516"/>
          <w:b w:val="0"/>
          <w:i w:val="0"/>
          <w:color w:val="221F1F"/>
          <w:sz w:val="17"/>
        </w:rPr>
        <w:t xml:space="preserve"> V </w:t>
      </w:r>
      <w:r>
        <w:br/>
      </w:r>
      <w:r>
        <w:rPr>
          <w:rFonts w:ascii="AdvP6975" w:hAnsi="AdvP6975" w:eastAsia="AdvP6975"/>
          <w:b w:val="0"/>
          <w:i w:val="0"/>
          <w:color w:val="221F1F"/>
          <w:sz w:val="12"/>
        </w:rPr>
        <w:t>C</w:t>
      </w:r>
      <w:r>
        <w:rPr>
          <w:rFonts w:ascii="AdvP696A" w:hAnsi="AdvP696A" w:eastAsia="AdvP696A"/>
          <w:b w:val="0"/>
          <w:i w:val="0"/>
          <w:color w:val="221F1F"/>
          <w:sz w:val="20"/>
        </w:rPr>
        <w:t xml:space="preserve"> 2014 AIP Publishing LLC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[</w:t>
      </w:r>
      <w:r>
        <w:rPr>
          <w:rFonts w:ascii="AdvP6975" w:hAnsi="AdvP6975" w:eastAsia="AdvP6975"/>
          <w:b w:val="0"/>
          <w:i w:val="0"/>
          <w:color w:val="0000FF"/>
          <w:sz w:val="20"/>
        </w:rPr>
        <w:hyperlink r:id="rId25" w:history="1">
          <w:r>
            <w:rPr>
              <w:rStyle w:val="Hyperlink"/>
            </w:rPr>
            <w:t>http://dx.doi.org/10.1063/1.4879283</w:t>
          </w:r>
        </w:hyperlink>
      </w:r>
      <w:r>
        <w:rPr>
          <w:rFonts w:ascii="AdvP6975" w:hAnsi="AdvP6975" w:eastAsia="AdvP6975"/>
          <w:b w:val="0"/>
          <w:i w:val="0"/>
          <w:color w:val="221F1F"/>
          <w:sz w:val="20"/>
        </w:rPr>
        <w:t>]</w:t>
      </w:r>
    </w:p>
    <w:p>
      <w:pPr>
        <w:sectPr>
          <w:pgSz w:w="12240" w:h="16199"/>
          <w:pgMar w:top="210" w:right="1000" w:bottom="382" w:left="1020" w:header="720" w:footer="720" w:gutter="0"/>
          <w:cols w:space="720" w:num="1" w:equalWidth="0"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360" w:val="left"/>
          <w:tab w:pos="932" w:val="left"/>
          <w:tab w:pos="1840" w:val="left"/>
          <w:tab w:pos="2300" w:val="left"/>
          <w:tab w:pos="2626" w:val="left"/>
          <w:tab w:pos="2986" w:val="left"/>
          <w:tab w:pos="3720" w:val="left"/>
        </w:tabs>
        <w:autoSpaceDE w:val="0"/>
        <w:widowControl/>
        <w:spacing w:line="238" w:lineRule="exact" w:before="0" w:after="0"/>
        <w:ind w:left="0" w:right="144" w:firstLine="0"/>
        <w:jc w:val="left"/>
      </w:pP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Ferroelectric memories are promising candidates for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future high density, low power, and nonvolatile memory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technology. The perovskite structured lead zirconate titanate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(PZT) is up to now the state-of-the-art material for ferroelec-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tric memory fabrication.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drawback of PZT and many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other ferroelectric materials is the difficult integration into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CMOS technology and the partially toxic materials used,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such as lead. As a consequence, the integration density 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much lower compared to, e.g., NAND Flash.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Hafnium oxide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is widely used as a dielectric in CMOS and DRAM devices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can overcome the common integration problems for fer-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roelectric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materials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due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its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CMOS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compatibility.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3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Recently, the ferroelectric nature of doped hafnium oxide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was shown for several dopants (Si,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5</w:t>
      </w:r>
      <w:r>
        <w:rPr>
          <w:rFonts w:ascii="AdvP6975" w:hAnsi="AdvP6975" w:eastAsia="AdvP6975"/>
          <w:b w:val="0"/>
          <w:i w:val="0"/>
          <w:color w:val="221F1F"/>
          <w:sz w:val="20"/>
        </w:rPr>
        <w:t>Zr,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6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Al,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7</w:t>
      </w:r>
      <w:r>
        <w:rPr>
          <w:rFonts w:ascii="AdvP6975" w:hAnsi="AdvP6975" w:eastAsia="AdvP6975"/>
          <w:b w:val="0"/>
          <w:i w:val="0"/>
          <w:color w:val="221F1F"/>
          <w:sz w:val="20"/>
        </w:rPr>
        <w:t>Gd,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8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Sr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9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 deposited by atomic layer deposition (ALD)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sputtering.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10 </w:t>
      </w:r>
      <w:r>
        <w:br/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 this Letter, we report our results on 5.2% yttrium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doped hafnium oxide deposited by chemical solution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deposition (CSD) using platinum electrodes. CSD is an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inexpensive and flexible deposition technique with good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adjustability of concentration and stoichiometry and 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widely used for ferroelectric and piezoelectric ceramic thin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films.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dopant ratio was chosen, because it was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reported to exhibit the highest remanent polarization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ALD deposited samples.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5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 confirm the ferroelectric prop-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erties of the deposited films polarization-voltage (P-V),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capacitance-voltage (C-V) and piezoelectric displacement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measurements were performed.</w:t>
      </w:r>
    </w:p>
    <w:p>
      <w:pPr>
        <w:autoSpaceDN w:val="0"/>
        <w:autoSpaceDE w:val="0"/>
        <w:widowControl/>
        <w:spacing w:line="240" w:lineRule="exact" w:before="0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Planar metal-insulator-metal (MIM) capacitors were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manufactured on 1 in.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oxidized silicon substrates. 100 nm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thick platinum bottom electrodes with a titanium dioxide ad-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hesion layer were deposited by sputtering from a 6 in. target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with 200 W at 150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C. For the preparation of the precursor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solution, a hybrid-type routine was applied.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For the sol-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gel-educt (hafnium ethoxide, Alfa Aesar, 99.9%), all prepa-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rations were carried out under inert gas atmosphere by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use of standard Schlenk techniques and a glove box.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desired amount of hafnium ethoxide was weighted into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Schlenk flask and dry ethanol was added. After heating at</w:t>
      </w:r>
    </w:p>
    <w:p>
      <w:pPr>
        <w:sectPr>
          <w:type w:val="continuous"/>
          <w:pgSz w:w="12240" w:h="16199"/>
          <w:pgMar w:top="210" w:right="1000" w:bottom="382" w:left="1020" w:header="720" w:footer="720" w:gutter="0"/>
          <w:cols w:space="720" w:num="2" w:equalWidth="0"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4" w:after="0"/>
        <w:ind w:left="180" w:right="2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60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 for 30 min in an oil bath, a transparent solution was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formed, which was stabilized by adding one equivalent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2,4-pentanedionate (Sigma-Aldrich, GC-grade) per hafnium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ion. Yttrium 2,4-pentanedionate (Sigma Aldrich, 99.95%)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was dissolved in a mixture (5:1) of propionic acid (Merck,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f. s.) and propionic anhydride (Merck, f. s.) at 100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two solutions were combined and the concentration was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adjusted to 0.1 mol with propionic acid. The resulting solu-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tion was spin coated on the substrate and heated up in a RTP</w:t>
      </w:r>
    </w:p>
    <w:p>
      <w:pPr>
        <w:autoSpaceDN w:val="0"/>
        <w:autoSpaceDE w:val="0"/>
        <w:widowControl/>
        <w:spacing w:line="240" w:lineRule="auto" w:before="358" w:after="0"/>
        <w:ind w:left="4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3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19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72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84" w:after="298"/>
        <w:ind w:left="180" w:right="2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FIG. 1. Characteristic (a) polarization and (b) relative permittivity results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for a Pt/HfO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(35 nm)/Pt sample measured after 1000 wake up cycles. The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hysteresis shows a remanent polarization of</w:t>
      </w:r>
      <w:r>
        <w:rPr>
          <w:rFonts w:ascii="AdvP4C4E51" w:hAnsi="AdvP4C4E51" w:eastAsia="AdvP4C4E51"/>
          <w:b w:val="0"/>
          <w:i w:val="0"/>
          <w:color w:val="221F1F"/>
          <w:sz w:val="16"/>
        </w:rPr>
        <w:t xml:space="preserve"> &gt;</w:t>
      </w:r>
      <w:r>
        <w:rPr>
          <w:rFonts w:ascii="AdvP6975" w:hAnsi="AdvP6975" w:eastAsia="AdvP6975"/>
          <w:b w:val="0"/>
          <w:i w:val="0"/>
          <w:color w:val="221F1F"/>
          <w:sz w:val="16"/>
        </w:rPr>
        <w:t>13</w:t>
      </w:r>
      <w:r>
        <w:rPr>
          <w:rFonts w:ascii="AdvPSMP10" w:hAnsi="AdvPSMP10" w:eastAsia="AdvPSMP10"/>
          <w:b w:val="0"/>
          <w:i w:val="0"/>
          <w:color w:val="221F1F"/>
          <w:sz w:val="16"/>
        </w:rPr>
        <w:t xml:space="preserve"> l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C/cm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and a coercive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voltage of</w:t>
      </w:r>
      <w:r>
        <w:rPr>
          <w:rFonts w:ascii="AdvP80675" w:hAnsi="AdvP80675" w:eastAsia="AdvP80675"/>
          <w:b w:val="0"/>
          <w:i w:val="0"/>
          <w:color w:val="221F1F"/>
          <w:sz w:val="16"/>
        </w:rPr>
        <w:t xml:space="preserve"> 6</w:t>
      </w:r>
      <w:r>
        <w:rPr>
          <w:rFonts w:ascii="AdvP6975" w:hAnsi="AdvP6975" w:eastAsia="AdvP6975"/>
          <w:b w:val="0"/>
          <w:i w:val="0"/>
          <w:color w:val="221F1F"/>
          <w:sz w:val="16"/>
        </w:rPr>
        <w:t>7</w:t>
      </w:r>
      <w:r>
        <w:rPr>
          <w:rFonts w:ascii="AdvP4C4E51" w:hAnsi="AdvP4C4E51" w:eastAsia="AdvP4C4E51"/>
          <w:b w:val="0"/>
          <w:i w:val="0"/>
          <w:color w:val="221F1F"/>
          <w:sz w:val="16"/>
        </w:rPr>
        <w:t>:</w:t>
      </w:r>
      <w:r>
        <w:rPr>
          <w:rFonts w:ascii="AdvP6975" w:hAnsi="AdvP6975" w:eastAsia="AdvP6975"/>
          <w:b w:val="0"/>
          <w:i w:val="0"/>
          <w:color w:val="221F1F"/>
          <w:sz w:val="16"/>
        </w:rPr>
        <w:t>5 V. The</w:t>
      </w:r>
      <w:r>
        <w:rPr>
          <w:rFonts w:ascii="AdvPSMP10" w:hAnsi="AdvPSMP10" w:eastAsia="AdvPSMP10"/>
          <w:b w:val="0"/>
          <w:i w:val="0"/>
          <w:color w:val="221F1F"/>
          <w:sz w:val="16"/>
        </w:rPr>
        <w:t xml:space="preserve"> e</w:t>
      </w:r>
      <w:r>
        <w:rPr>
          <w:w w:val="101.81454745205967"/>
          <w:rFonts w:ascii="AdvP696A" w:hAnsi="AdvP696A" w:eastAsia="AdvP696A"/>
          <w:b w:val="0"/>
          <w:i w:val="0"/>
          <w:color w:val="221F1F"/>
          <w:sz w:val="11"/>
        </w:rPr>
        <w:t>r</w:t>
      </w:r>
      <w:r>
        <w:rPr>
          <w:rFonts w:ascii="AdvP6975" w:hAnsi="AdvP6975" w:eastAsia="AdvP6975"/>
          <w:b w:val="0"/>
          <w:i w:val="0"/>
          <w:color w:val="221F1F"/>
          <w:sz w:val="16"/>
        </w:rPr>
        <w:t>-curve exhibits the typical double peaks during fer-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roelectric switching.</w:t>
      </w:r>
    </w:p>
    <w:p>
      <w:pPr>
        <w:sectPr>
          <w:type w:val="nextColumn"/>
          <w:pgSz w:w="12240" w:h="16199"/>
          <w:pgMar w:top="210" w:right="1000" w:bottom="382" w:left="1020" w:header="720" w:footer="720" w:gutter="0"/>
          <w:cols w:space="720" w:num="2" w:equalWidth="0"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6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0003-6951/2014/104(20)/202903/4/$30.00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328" w:firstLine="0"/>
              <w:jc w:val="right"/>
            </w:pP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>104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202903-1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right"/>
            </w:pPr>
            <w:r>
              <w:rPr>
                <w:rFonts w:ascii="AdvP80516" w:hAnsi="AdvP80516" w:eastAsia="AdvP80516"/>
                <w:b w:val="0"/>
                <w:i w:val="0"/>
                <w:color w:val="221F1F"/>
                <w:sz w:val="14"/>
              </w:rPr>
              <w:t xml:space="preserve">V </w:t>
            </w:r>
            <w:r>
              <w:rPr>
                <w:w w:val="95.61599731445312"/>
                <w:rFonts w:ascii="AdvHelv_R" w:hAnsi="AdvHelv_R" w:eastAsia="AdvHelv_R"/>
                <w:b w:val="0"/>
                <w:i w:val="0"/>
                <w:color w:val="221F1F"/>
                <w:sz w:val="10"/>
              </w:rPr>
              <w:t>C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 xml:space="preserve"> 2014 AIP Publishing LLC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6199"/>
          <w:pgMar w:top="210" w:right="1000" w:bottom="382" w:left="1020" w:header="720" w:footer="720" w:gutter="0"/>
          <w:cols w:space="720" w:num="1" w:equalWidth="0"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202903-2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Starschich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104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202903 (2014)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8"/>
        <w:ind w:left="0" w:right="0"/>
      </w:pPr>
    </w:p>
    <w:p>
      <w:pPr>
        <w:sectPr>
          <w:pgSz w:w="12240" w:h="16199"/>
          <w:pgMar w:top="306" w:right="998" w:bottom="400" w:left="1020" w:header="720" w:footer="720" w:gutter="0"/>
          <w:cols w:space="720" w:num="1" w:equalWidth="0"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98800" cy="1917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89000" cy="8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94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FIG. 2. Piezoelectric measurement (dashed line) with the corresponding P-V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curve (straight line) for a 70 nm Y:HfO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MIM capacitor clearly reveals a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butterfly hysteresis for the mechanical displacement. The both minima of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the displacement curve indicate the polarization switching. The linear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behavior reveals the piezoelectric properties of the sample.</w:t>
      </w: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8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characteristic P-V and C-V curves for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35 nm thick Y:HfO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layer with a remanent polarization of </w:t>
      </w:r>
      <w:r>
        <w:rPr>
          <w:rFonts w:ascii="AdvP4C4E51" w:hAnsi="AdvP4C4E51" w:eastAsia="AdvP4C4E51"/>
          <w:b w:val="0"/>
          <w:i w:val="0"/>
          <w:color w:val="221F1F"/>
          <w:sz w:val="20"/>
        </w:rPr>
        <w:t>&gt;</w:t>
      </w:r>
      <w:r>
        <w:rPr>
          <w:rFonts w:ascii="AdvP6975" w:hAnsi="AdvP6975" w:eastAsia="AdvP6975"/>
          <w:b w:val="0"/>
          <w:i w:val="0"/>
          <w:color w:val="221F1F"/>
          <w:sz w:val="20"/>
        </w:rPr>
        <w:t>13</w:t>
      </w:r>
      <w:r>
        <w:rPr>
          <w:rFonts w:ascii="AdvPSMP10" w:hAnsi="AdvPSMP10" w:eastAsia="AdvPSMP10"/>
          <w:b w:val="0"/>
          <w:i w:val="0"/>
          <w:color w:val="221F1F"/>
          <w:sz w:val="20"/>
        </w:rPr>
        <w:t xml:space="preserve"> l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C/cm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1(a)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 and the characteristic double peak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for the relative permittivity</w:t>
      </w:r>
      <w:r>
        <w:rPr>
          <w:rFonts w:ascii="AdvPSMP10" w:hAnsi="AdvPSMP10" w:eastAsia="AdvPSMP10"/>
          <w:b w:val="0"/>
          <w:i w:val="0"/>
          <w:color w:val="221F1F"/>
          <w:sz w:val="20"/>
        </w:rPr>
        <w:t xml:space="preserve"> e</w:t>
      </w:r>
      <w:r>
        <w:rPr>
          <w:rFonts w:ascii="AdvP696A" w:hAnsi="AdvP696A" w:eastAsia="AdvP696A"/>
          <w:b w:val="0"/>
          <w:i w:val="0"/>
          <w:color w:val="221F1F"/>
          <w:sz w:val="14"/>
        </w:rPr>
        <w:t>r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, calculated from the measured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capacitance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1(b)</w:t>
      </w:r>
      <w:r>
        <w:rPr>
          <w:rFonts w:ascii="AdvP6975" w:hAnsi="AdvP6975" w:eastAsia="AdvP6975"/>
          <w:b w:val="0"/>
          <w:i w:val="0"/>
          <w:color w:val="221F1F"/>
          <w:sz w:val="20"/>
        </w:rPr>
        <w:t>).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so far reported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based fer-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roelectric MIM structures used TiN as a bottom electrode.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By the use of platinum electrodes, we can exclude that oxy-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gen scavenging, as reported for TiN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x</w:t>
      </w:r>
      <w:r>
        <w:rPr>
          <w:rFonts w:ascii="AdvP6975" w:hAnsi="AdvP6975" w:eastAsia="AdvP6975"/>
          <w:b w:val="0"/>
          <w:i w:val="0"/>
          <w:color w:val="221F1F"/>
          <w:sz w:val="20"/>
        </w:rPr>
        <w:t>/HfO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interfaces,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15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primary cause for ferroelectricity in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based films.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results of a piezoelectric displacement measurement are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shown in 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, in order to confirm the ferroelectric proper-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ties of the deposited films. A butterfly loop is clearly visible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with its minima at the ferroelectric switching points.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Contrary to other reported displacement hysteresis,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6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 lin-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ear behavior is observed outside the switching range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unequivocally identifying the piezoelectric nature.</w:t>
      </w:r>
    </w:p>
    <w:p>
      <w:pPr>
        <w:autoSpaceDN w:val="0"/>
        <w:autoSpaceDE w:val="0"/>
        <w:widowControl/>
        <w:spacing w:line="240" w:lineRule="exact" w:before="0" w:after="18"/>
        <w:ind w:left="18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achieve the maximum remanent polarization, an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amount of “wake up” cycles is necessary as reported by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Zhou</w:t>
      </w:r>
      <w:r>
        <w:rPr>
          <w:rFonts w:ascii="AdvP696A" w:hAnsi="AdvP696A" w:eastAsia="AdvP696A"/>
          <w:b w:val="0"/>
          <w:i w:val="0"/>
          <w:color w:val="221F1F"/>
          <w:sz w:val="20"/>
        </w:rPr>
        <w:t xml:space="preserve"> et al.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16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for Si-doped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 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the influence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of cycling on the hysteresis for a 56 nm thick Y:HfO2 sam-</w:t>
      </w:r>
    </w:p>
    <w:p>
      <w:pPr>
        <w:sectPr>
          <w:type w:val="nextColumn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>
        <w:trPr>
          <w:trHeight w:hRule="exact" w:val="22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700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min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oxygen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atmosphere.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8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ple. At an initial sweep with a maximum voltage of 16 V, no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6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Approximately, 7 nm Y:HfO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was deposited by each spin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coating step. The film thickness was adjusted by repeating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deposition steps. The patterned top 50 nm platinum elec-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trodes were deposited by a negative lift-off process at room</w:t>
      </w: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ferroelectric hysteresis is observed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3(a)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). After 1000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cycles at the same conditions, a hysteresis occurs with clear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current peaks during polarization switching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3(b)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remanent polarization can be further improved by more</w:t>
      </w:r>
    </w:p>
    <w:p>
      <w:pPr>
        <w:sectPr>
          <w:type w:val="nextColumn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5280" w:val="left"/>
        </w:tabs>
        <w:autoSpaceDE w:val="0"/>
        <w:widowControl/>
        <w:spacing w:line="200" w:lineRule="exact" w:before="0" w:after="40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temperature.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cycles at a higher voltage shown in Figs.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3(c)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3(d)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 Due</w:t>
      </w: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4" w:firstLine="36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P-V and piezoelectric measurements were per-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formed using an aixACCT Systems TF Analyzer 2000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 aixACCT Systems aixDBLI double beam laser interfer-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ometer,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respectively. The capacitance measurements were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recorded with a HP4284A LCR meter, whereas the grazing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incidence x-ray diffractions (GI-XRD) and x-ray reflectivity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(to determine the layer thickness) data were measured by</w:t>
      </w:r>
      <w:r>
        <w:rPr>
          <w:rFonts w:ascii="AdvP6975" w:hAnsi="AdvP6975" w:eastAsia="AdvP6975"/>
          <w:b w:val="0"/>
          <w:i w:val="0"/>
          <w:color w:val="221F1F"/>
          <w:sz w:val="20"/>
        </w:rPr>
        <w:t>¸</w:t>
      </w:r>
      <w:r>
        <w:br/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PANalytical XoˆC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Pert Pro. The P-V and C-V curves were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measured at a frequency of 1 kHz with a 50 mV ac probing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signal for the C-V measurements on device areas of</w:t>
      </w: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the influence of the wake up cycles, an equal amount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cycles at the same electric field is performed for the samples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shown in 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For the reason of clarity, only three different </w:t>
      </w:r>
      <w:r>
        <w:rPr>
          <w:rFonts w:ascii="AdvP696A" w:hAnsi="AdvP696A" w:eastAsia="AdvP696A"/>
          <w:b w:val="0"/>
          <w:i w:val="0"/>
          <w:color w:val="221F1F"/>
          <w:sz w:val="20"/>
        </w:rPr>
        <w:t>Y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 xml:space="preserve"> :</w:t>
      </w:r>
      <w:r>
        <w:rPr>
          <w:rFonts w:ascii="AdvP696A" w:hAnsi="AdvP696A" w:eastAsia="AdvP696A"/>
          <w:b w:val="0"/>
          <w:i w:val="0"/>
          <w:color w:val="221F1F"/>
          <w:sz w:val="20"/>
        </w:rPr>
        <w:t>HfO</w:t>
      </w:r>
      <w:r>
        <w:rPr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thicknesses are shown in 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Contrary to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ALD deposited samples,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17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CSD samples show no reduc-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tion of the remanent polarization with higher film thick-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nesses. This is possibly attributed to the high temperature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treatment after each layer deposition resulting in a step by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step crystallization of the Y:HfO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00" w:lineRule="exact" w:before="20" w:after="10"/>
        <w:ind w:left="54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origin of the ferroelectricity is attributed to a non-</w:t>
      </w:r>
    </w:p>
    <w:p>
      <w:pPr>
        <w:sectPr>
          <w:type w:val="nextColumn"/>
          <w:pgSz w:w="12240" w:h="16199"/>
          <w:pgMar w:top="306" w:right="998" w:bottom="400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5280" w:val="left"/>
        </w:tabs>
        <w:autoSpaceDE w:val="0"/>
        <w:widowControl/>
        <w:spacing w:line="380" w:lineRule="exact" w:before="0" w:after="0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2</w:t>
      </w:r>
      <w:r>
        <w:rPr>
          <w:rFonts w:ascii="AdvP4C4E51" w:hAnsi="AdvP4C4E51" w:eastAsia="AdvP4C4E51"/>
          <w:b w:val="0"/>
          <w:i w:val="0"/>
          <w:color w:val="221F1F"/>
          <w:sz w:val="20"/>
        </w:rPr>
        <w:t>:</w:t>
      </w:r>
      <w:r>
        <w:rPr>
          <w:rFonts w:ascii="AdvP6975" w:hAnsi="AdvP6975" w:eastAsia="AdvP6975"/>
          <w:b w:val="0"/>
          <w:i w:val="0"/>
          <w:color w:val="221F1F"/>
          <w:sz w:val="20"/>
        </w:rPr>
        <w:t>5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10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cm</w:t>
      </w:r>
      <w:r>
        <w:rPr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centrosymmetric orthorhombic space group which is only</w:t>
      </w:r>
    </w:p>
    <w:p>
      <w:pPr>
        <w:autoSpaceDN w:val="0"/>
        <w:tabs>
          <w:tab w:pos="7680" w:val="left"/>
        </w:tabs>
        <w:autoSpaceDE w:val="0"/>
        <w:widowControl/>
        <w:spacing w:line="240" w:lineRule="auto" w:before="51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3009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After 1000 cycles a hysteresis curve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appears with distinctive current peaks,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indicating the ferroelectric switching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(b). Further cycling at higher voltages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>leads to an improvement of the rema-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nent polarization (c) and (d).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>FIG. 3. The influence of “wake up”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cycles are exemplarily shown for a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>56 nm thick Y:HfO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layer. Initially, no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>ferroelectric switching is observed (a).</w:t>
      </w:r>
    </w:p>
    <w:p>
      <w:pPr>
        <w:autoSpaceDN w:val="0"/>
        <w:tabs>
          <w:tab w:pos="4780" w:val="left"/>
        </w:tabs>
        <w:autoSpaceDE w:val="0"/>
        <w:widowControl/>
        <w:spacing w:line="240" w:lineRule="auto" w:before="60" w:after="0"/>
        <w:ind w:left="1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3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937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6199"/>
          <w:pgMar w:top="306" w:right="998" w:bottom="400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202903-3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Starschich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104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202903 (2014)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pgSz w:w="12240" w:h="16199"/>
          <w:pgMar w:top="306" w:right="998" w:bottom="382" w:left="1020" w:header="720" w:footer="720" w:gutter="0"/>
          <w:cols w:space="720" w:num="1" w:equalWidth="0"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6199"/>
          <w:pgMar w:top="306" w:right="998" w:bottom="382" w:left="1020" w:header="720" w:footer="720" w:gutter="0"/>
          <w:cols w:space="720" w:num="2" w:equalWidth="0"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8"/>
        <w:ind w:left="33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 summary, we have fabricated ferroelectric yttrium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doped hafnium oxide films with chemical solution deposition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using platinum electrodes. Due to the deposition procedure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thicker films up to 70 nm were produced without showing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any decrease of the polarization. This was attributed to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step by step annealing after each spinning of the solution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resulting in a layered Y:HfO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film. The deposition of thicker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films has the potential for piezoelectric sensors and actuators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based on hafnium oxide. It was shown that wake up cycles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 not only improve the remanent polarization but are also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essential for the forming of a hysteresis. This necessarily cy-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cling was assumed to correlate with the fact that initially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cubic phase was found. Due to cycling a phase transition</w:t>
      </w:r>
    </w:p>
    <w:p>
      <w:pPr>
        <w:sectPr>
          <w:type w:val="nextColumn"/>
          <w:pgSz w:w="12240" w:h="16199"/>
          <w:pgMar w:top="306" w:right="998" w:bottom="382" w:left="1020" w:header="720" w:footer="720" w:gutter="0"/>
          <w:cols w:space="720" w:num="2" w:equalWidth="0"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5280" w:val="left"/>
        </w:tabs>
        <w:autoSpaceDE w:val="0"/>
        <w:widowControl/>
        <w:spacing w:line="240" w:lineRule="auto" w:before="0" w:after="154"/>
        <w:ind w:left="22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3100" cy="101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could occur to a ferroelectric non-centrosymmetric phase.</w:t>
      </w:r>
    </w:p>
    <w:p>
      <w:pPr>
        <w:sectPr>
          <w:type w:val="continuous"/>
          <w:pgSz w:w="12240" w:h="16199"/>
          <w:pgMar w:top="306" w:right="998" w:bottom="382" w:left="1020" w:header="720" w:footer="720" w:gutter="0"/>
          <w:cols w:space="720" w:num="1" w:equalWidth="0"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26" w:after="0"/>
        <w:ind w:left="0" w:right="144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4. P-V curves for different thicknesses of the Y:HfO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layer. No signifi-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cant influence of the layer thickness on the polarization is observed at all.</w:t>
      </w:r>
    </w:p>
    <w:p>
      <w:pPr>
        <w:autoSpaceDN w:val="0"/>
        <w:autoSpaceDE w:val="0"/>
        <w:widowControl/>
        <w:spacing w:line="240" w:lineRule="exact" w:before="304" w:after="0"/>
        <w:ind w:left="0" w:right="18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stable at particular conditions.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5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the grazing inci-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dence XRD diffractograms for two samples with a layer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thickness of 18 nm and 70 nm, respectively. Both diffracto-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grams reveal a clear cubic phase without any hints at an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orthorhombic phase. An explanation could be correlated to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wake up cycles needed to obtain a hysteresis. During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cycling a field-driven phase transition might occur, leading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a non-centrosymmetric ferroelectric phase. Field induced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phase transition to a ferroelectric phase is reported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Ref.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18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Such a transition was not found in GI-XRD spectra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performed on the samples before and after the wake-up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cycles. That could be due to the small cross section observed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during the measurement.</w:t>
      </w:r>
    </w:p>
    <w:p>
      <w:pPr>
        <w:autoSpaceDN w:val="0"/>
        <w:autoSpaceDE w:val="0"/>
        <w:widowControl/>
        <w:spacing w:line="240" w:lineRule="auto" w:before="43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98800" cy="3365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2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2900" cy="88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2" w:lineRule="exact" w:before="218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5. GI-XRD patterns of 18 nm and 70 nm thick Y:HfO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on platinum.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Both samples show almost the same diffractograms with a definite cubic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phase and no evidence measured of a monoclinic or orthorhombic phase. A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grain size of approximately 10 nm was calculated for the 70 nm thick sample</w:t>
      </w:r>
    </w:p>
    <w:p>
      <w:pPr>
        <w:sectPr>
          <w:type w:val="continuous"/>
          <w:pgSz w:w="12240" w:h="16199"/>
          <w:pgMar w:top="306" w:right="998" w:bottom="382" w:left="1020" w:header="720" w:footer="720" w:gutter="0"/>
          <w:cols w:space="720" w:num="2" w:equalWidth="0"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7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Further work to prove this hypothesis is in progress.</w:t>
      </w:r>
    </w:p>
    <w:p>
      <w:pPr>
        <w:autoSpaceDN w:val="0"/>
        <w:autoSpaceDE w:val="0"/>
        <w:widowControl/>
        <w:spacing w:line="240" w:lineRule="exact" w:before="240" w:after="0"/>
        <w:ind w:left="178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work was funded by the German Research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Foundation (Deutsche Forschungsgemeinschaft) within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scope of the project “Inferox” (Project No. MI 1247/11-1).</w:t>
      </w:r>
    </w:p>
    <w:p>
      <w:pPr>
        <w:autoSpaceDN w:val="0"/>
        <w:autoSpaceDE w:val="0"/>
        <w:widowControl/>
        <w:spacing w:line="190" w:lineRule="exact" w:before="522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K. Kim and S. Lee, “Integration of lead zirconium titanate thin films for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high density ferroelectric random access memory,”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37" w:history="1">
          <w:r>
            <w:rPr>
              <w:rStyle w:val="Hyperlink"/>
            </w:rPr>
            <w:t>J. 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100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051604 (2006).</w:t>
      </w:r>
    </w:p>
    <w:p>
      <w:pPr>
        <w:autoSpaceDN w:val="0"/>
        <w:autoSpaceDE w:val="0"/>
        <w:widowControl/>
        <w:spacing w:line="192" w:lineRule="exact" w:before="0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M. Qazi, M. Clinton, S. Bartling, and A. P. Chandrakasan, “A low-voltage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1Mb FRAM in 0.13</w:t>
      </w:r>
      <w:r>
        <w:rPr>
          <w:rFonts w:ascii="AdvPSMP10" w:hAnsi="AdvPSMP10" w:eastAsia="AdvPSMP10"/>
          <w:b w:val="0"/>
          <w:i w:val="0"/>
          <w:color w:val="221F1F"/>
          <w:sz w:val="16"/>
        </w:rPr>
        <w:t xml:space="preserve"> l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m CMOS featuring time-to-digital sensing for expanded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operating margin,”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38" w:history="1">
          <w:r>
            <w:rPr>
              <w:rStyle w:val="Hyperlink"/>
            </w:rPr>
            <w:t>IEEE J. Solid-State Circuits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47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141–150 (2012).</w:t>
      </w:r>
    </w:p>
    <w:p>
      <w:pPr>
        <w:autoSpaceDN w:val="0"/>
        <w:tabs>
          <w:tab w:pos="298" w:val="left"/>
        </w:tabs>
        <w:autoSpaceDE w:val="0"/>
        <w:widowControl/>
        <w:spacing w:line="186" w:lineRule="exact" w:before="14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3</w:t>
      </w:r>
      <w:r>
        <w:rPr>
          <w:rFonts w:ascii="AdvP696A" w:hAnsi="AdvP696A" w:eastAsia="AdvP696A"/>
          <w:b w:val="0"/>
          <w:i w:val="0"/>
          <w:color w:val="221F1F"/>
          <w:sz w:val="16"/>
        </w:rPr>
        <w:t>Nanoelectronics and Information Technology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3rd ed., edited by R. Waser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(Wiley-VCH, 2012).</w:t>
      </w:r>
    </w:p>
    <w:p>
      <w:pPr>
        <w:autoSpaceDN w:val="0"/>
        <w:autoSpaceDE w:val="0"/>
        <w:widowControl/>
        <w:spacing w:line="190" w:lineRule="exact" w:before="4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 S. Boescke, J. Mueller, D. Braeuhaus, U. Schroeder, and U. Boettger,</w:t>
      </w:r>
      <w:r>
        <w:rPr>
          <w:rFonts w:ascii="AdvP6975" w:hAnsi="AdvP6975" w:eastAsia="AdvP6975"/>
          <w:b w:val="0"/>
          <w:i w:val="0"/>
          <w:color w:val="221F1F"/>
          <w:sz w:val="16"/>
        </w:rPr>
        <w:t>“Ferroelectricity in hafnium oxide thin films,”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39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99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102903 (2011).</w:t>
      </w:r>
    </w:p>
    <w:p>
      <w:pPr>
        <w:autoSpaceDN w:val="0"/>
        <w:autoSpaceDE w:val="0"/>
        <w:widowControl/>
        <w:spacing w:line="190" w:lineRule="exact" w:before="6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5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J. Mueller, U. Schroeder, T. S. Boescke, I. Mueller, U. Boettger, L. Wilde,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Sundqvist, M. Lemberger, P. Kuecher, T. Mikolajick, and L. Frey,</w:t>
      </w:r>
      <w:r>
        <w:rPr>
          <w:rFonts w:ascii="AdvP6975" w:hAnsi="AdvP6975" w:eastAsia="AdvP6975"/>
          <w:b w:val="0"/>
          <w:i w:val="0"/>
          <w:color w:val="221F1F"/>
          <w:sz w:val="16"/>
        </w:rPr>
        <w:t>“Ferroelectricity in yttrium-doped hafnium oxide,”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0" w:history="1">
          <w:r>
            <w:rPr>
              <w:rStyle w:val="Hyperlink"/>
            </w:rPr>
            <w:t>J. 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110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114113 (2011).</w:t>
      </w:r>
    </w:p>
    <w:p>
      <w:pPr>
        <w:autoSpaceDN w:val="0"/>
        <w:autoSpaceDE w:val="0"/>
        <w:widowControl/>
        <w:spacing w:line="192" w:lineRule="exact" w:before="2" w:after="0"/>
        <w:ind w:left="298" w:right="20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6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J. Mueller, T. S. Boescke, D. Braeuhaus, U. Schroeder, U. Boettger, J.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Sundqvist, P. Kuecher, T. Mikolajick, and L. Frey, “Ferroelectric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Zr(0.5)Hf(0.5)O(2) thin films for nonvolatile memory applications,”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1" w:history="1">
          <w:r>
            <w:rPr>
              <w:rStyle w:val="Hyperlink"/>
            </w:rPr>
            <w:t xml:space="preserve">Appl. </w:t>
          </w:r>
        </w:hyperlink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1" w:history="1">
          <w:r>
            <w:rPr>
              <w:rStyle w:val="Hyperlink"/>
            </w:rPr>
            <w:t>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99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112901-1–112901-3 (2011).</w:t>
      </w:r>
    </w:p>
    <w:p>
      <w:pPr>
        <w:autoSpaceDN w:val="0"/>
        <w:autoSpaceDE w:val="0"/>
        <w:widowControl/>
        <w:spacing w:line="192" w:lineRule="exact" w:before="4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7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S. Mueller, J. Mueller, A. Singh, S. Riedel, J. Sundqvist, U. Schroeder,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and T. Mikolajick, “Incipient ferroelectricity in Al-doped HfO2 thin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films,”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2" w:history="1">
          <w:r>
            <w:rPr>
              <w:rStyle w:val="Hyperlink"/>
            </w:rPr>
            <w:t>Adv. Funct. Mater.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2412–2417 (2012).</w:t>
      </w:r>
    </w:p>
    <w:p>
      <w:pPr>
        <w:autoSpaceDN w:val="0"/>
        <w:autoSpaceDE w:val="0"/>
        <w:widowControl/>
        <w:spacing w:line="192" w:lineRule="exact" w:before="2" w:after="0"/>
        <w:ind w:left="298" w:right="22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8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S. Mueller, C. Adelmann, A. Singh, S. Van Elshocht, U. Schroeder, and T.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Mikolajick, “Ferroelectricity in Gd-doped HfO2 thin films,”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3" w:history="1">
          <w:r>
            <w:rPr>
              <w:rStyle w:val="Hyperlink"/>
            </w:rPr>
            <w:t xml:space="preserve">ECS J. Solid </w:t>
          </w:r>
        </w:hyperlink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3" w:history="1">
          <w:r>
            <w:rPr>
              <w:rStyle w:val="Hyperlink"/>
            </w:rPr>
            <w:t>State Sci. Technol.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N123–N126 (2012).</w:t>
      </w:r>
    </w:p>
    <w:p>
      <w:pPr>
        <w:autoSpaceDN w:val="0"/>
        <w:autoSpaceDE w:val="0"/>
        <w:widowControl/>
        <w:spacing w:line="190" w:lineRule="exact" w:before="6" w:after="0"/>
        <w:ind w:left="298" w:right="20" w:hanging="6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9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T. Schenk, S. Mueller, U. Schroeder, R. Materlik, A. Kersch, M. Popovici,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C. Adelmann, S. Van Elshocht, and T. Mikolajick, “Strontium doped haf-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nium oxide thin films: Wide process window for ferroelectric memories,”</w:t>
      </w:r>
      <w:r>
        <w:rPr>
          <w:rFonts w:ascii="AdvP6975" w:hAnsi="AdvP6975" w:eastAsia="AdvP6975"/>
          <w:b w:val="0"/>
          <w:i w:val="0"/>
          <w:color w:val="221F1F"/>
          <w:sz w:val="16"/>
        </w:rPr>
        <w:t>in ESSDERC, 2013.</w:t>
      </w:r>
    </w:p>
    <w:p>
      <w:pPr>
        <w:autoSpaceDN w:val="0"/>
        <w:autoSpaceDE w:val="0"/>
        <w:widowControl/>
        <w:spacing w:line="192" w:lineRule="exact" w:before="2" w:after="0"/>
        <w:ind w:left="298" w:right="22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10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T. Olsen, U. Schroeder, S. Mueller, A. Krause, D. Martin, A. Singh, J.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Mueller, M. Geidel, and T. Mikolajick, “Co-sputtering yttrium into haf-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nium oxide thin films to produce ferroelectric properties,”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4" w:history="1">
          <w:r>
            <w:rPr>
              <w:rStyle w:val="Hyperlink"/>
            </w:rPr>
            <w:t xml:space="preserve">Appl. Phys. </w:t>
          </w:r>
        </w:hyperlink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4" w:history="1">
          <w:r>
            <w:rPr>
              <w:rStyle w:val="Hyperlink"/>
            </w:rPr>
            <w:t>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082905-1–082905-4 (2012).</w:t>
      </w:r>
    </w:p>
    <w:p>
      <w:pPr>
        <w:autoSpaceDN w:val="0"/>
        <w:tabs>
          <w:tab w:pos="298" w:val="left"/>
        </w:tabs>
        <w:autoSpaceDE w:val="0"/>
        <w:widowControl/>
        <w:spacing w:line="190" w:lineRule="exact" w:before="10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 Schneller, R. Waser, M. Kosec, and D. Payne,</w:t>
      </w:r>
      <w:r>
        <w:rPr>
          <w:rFonts w:ascii="AdvP696A" w:hAnsi="AdvP696A" w:eastAsia="AdvP696A"/>
          <w:b w:val="0"/>
          <w:i w:val="0"/>
          <w:color w:val="221F1F"/>
          <w:sz w:val="16"/>
        </w:rPr>
        <w:t xml:space="preserve"> Chemical Solution </w:t>
      </w:r>
      <w:r>
        <w:tab/>
      </w:r>
      <w:r>
        <w:rPr>
          <w:rFonts w:ascii="AdvP696A" w:hAnsi="AdvP696A" w:eastAsia="AdvP696A"/>
          <w:b w:val="0"/>
          <w:i w:val="0"/>
          <w:color w:val="221F1F"/>
          <w:sz w:val="16"/>
        </w:rPr>
        <w:t>Deposition of Functional Oxide Thin Films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(Springer, 2013).</w:t>
      </w:r>
    </w:p>
    <w:p>
      <w:pPr>
        <w:autoSpaceDN w:val="0"/>
        <w:autoSpaceDE w:val="0"/>
        <w:widowControl/>
        <w:spacing w:line="192" w:lineRule="exact" w:before="4" w:after="0"/>
        <w:ind w:left="298" w:right="20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T. Schneller and R. Waser, “Chemical solution deposition of ferroelectric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thin films–state of the art and recent trends,”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5" w:history="1">
          <w:r>
            <w:rPr>
              <w:rStyle w:val="Hyperlink"/>
            </w:rPr>
            <w:t xml:space="preserve">Ferroelectrics, Switzerland 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>267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293–301 (2002).</w:t>
      </w:r>
    </w:p>
    <w:p>
      <w:pPr>
        <w:autoSpaceDN w:val="0"/>
        <w:autoSpaceDE w:val="0"/>
        <w:widowControl/>
        <w:spacing w:line="190" w:lineRule="exact" w:before="2" w:after="0"/>
        <w:ind w:left="298" w:right="20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13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P. Gerber, A. Roelofs, O. Lohse, C. Kugeler, S. Tiedke, U. Boettger, and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R. Waser, “Short-time piezoelectric measurements in ferroelectric thin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films using a double-beam laser interferometer,”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6" w:history="1">
          <w:r>
            <w:rPr>
              <w:rStyle w:val="Hyperlink"/>
            </w:rPr>
            <w:t>Rev. Sci. Instrum.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74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2613–2615 (2003).</w:t>
      </w:r>
    </w:p>
    <w:p>
      <w:pPr>
        <w:autoSpaceDN w:val="0"/>
        <w:autoSpaceDE w:val="0"/>
        <w:widowControl/>
        <w:spacing w:line="192" w:lineRule="exact" w:before="4" w:after="0"/>
        <w:ind w:left="298" w:right="20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D. Bolten, O. Lohse, M. Grossmann, and R. Waser, “Reversible and irre-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versible domain wall contributions to the polarization in ferroelectric thin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films,”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7" w:history="1">
          <w:r>
            <w:rPr>
              <w:rStyle w:val="Hyperlink"/>
            </w:rPr>
            <w:t>Ferroelectrics, Switzerland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221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251–257 (1999).</w:t>
      </w:r>
    </w:p>
    <w:p>
      <w:pPr>
        <w:autoSpaceDN w:val="0"/>
        <w:autoSpaceDE w:val="0"/>
        <w:widowControl/>
        <w:spacing w:line="192" w:lineRule="exact" w:before="0" w:after="26"/>
        <w:ind w:left="298" w:right="22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15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V. V. Afanas’ev, A. Stesmans, L. Pantisano, S. Cimino, C. Adelmann, L.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Goux, Y. Y. Chen, J. A. Kittl, D. Wouters, and M. Jurczak, “TiN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x</w:t>
      </w:r>
      <w:r>
        <w:rPr>
          <w:rFonts w:ascii="AdvP6975" w:hAnsi="AdvP6975" w:eastAsia="AdvP6975"/>
          <w:b w:val="0"/>
          <w:i w:val="0"/>
          <w:color w:val="221F1F"/>
          <w:sz w:val="16"/>
        </w:rPr>
        <w:t>/HfO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 xml:space="preserve">2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interface dipole induced by oxygen scavenging,”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8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sectPr>
          <w:type w:val="nextColumn"/>
          <w:pgSz w:w="12240" w:h="16199"/>
          <w:pgMar w:top="306" w:right="998" w:bottom="382" w:left="1020" w:header="720" w:footer="720" w:gutter="0"/>
          <w:cols w:space="720" w:num="2" w:equalWidth="0"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5400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using the Scherrer equation.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16"/>
        </w:rPr>
        <w:t>132901 (2011).</w:t>
      </w:r>
    </w:p>
    <w:p>
      <w:pPr>
        <w:sectPr>
          <w:type w:val="continuous"/>
          <w:pgSz w:w="12240" w:h="16199"/>
          <w:pgMar w:top="306" w:right="998" w:bottom="382" w:left="1020" w:header="720" w:footer="720" w:gutter="0"/>
          <w:cols w:space="720" w:num="1" w:equalWidth="0">
            <w:col w:w="10222" w:space="0"/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202903-4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Starschich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104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202903 (2014)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278"/>
        <w:ind w:left="0" w:right="0"/>
      </w:pPr>
    </w:p>
    <w:p>
      <w:pPr>
        <w:sectPr>
          <w:pgSz w:w="12240" w:h="16199"/>
          <w:pgMar w:top="306" w:right="998" w:bottom="1440" w:left="1020" w:header="720" w:footer="720" w:gutter="0"/>
          <w:cols w:space="720" w:num="1" w:equalWidth="0">
            <w:col w:w="10222" w:space="0"/>
            <w:col w:w="10222" w:space="0"/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2" w:after="0"/>
        <w:ind w:left="120" w:right="180" w:hanging="120"/>
        <w:jc w:val="both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16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D. Zhou, J. Xu, Q. Li, Y. Guan, F. Cao, X. Dong, J. Mueller, T. Schenk,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and U. Schroeder, “Wake-up effects in Si-doped hafnium oxide ferroelec-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tric thin films,”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9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192904 (2013).</w:t>
      </w: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M. H. Park, H. J. Kim, Y. J. Kim, T. Moon, and C. S. Hwang, “The</w:t>
      </w:r>
    </w:p>
    <w:p>
      <w:pPr>
        <w:sectPr>
          <w:type w:val="continuous"/>
          <w:pgSz w:w="12240" w:h="16199"/>
          <w:pgMar w:top="306" w:right="998" w:bottom="1440" w:left="1020" w:header="720" w:footer="720" w:gutter="0"/>
          <w:cols w:space="720" w:num="2" w:equalWidth="0">
            <w:col w:w="5102" w:space="0"/>
            <w:col w:w="5120" w:space="0"/>
            <w:col w:w="10222" w:space="0"/>
            <w:col w:w="10222" w:space="0"/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0.5O 2 film on its ferroelectricity,”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0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104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072901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(2014).</w:t>
      </w:r>
    </w:p>
    <w:p>
      <w:pPr>
        <w:autoSpaceDN w:val="0"/>
        <w:autoSpaceDE w:val="0"/>
        <w:widowControl/>
        <w:spacing w:line="190" w:lineRule="exact" w:before="4" w:after="26"/>
        <w:ind w:left="298" w:right="0" w:hanging="12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18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X. Tan, J. Frederick, C. Ma, W. Jo, and J. Roedel, “Can an electric field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induce an antiferroelectric phase out of a ferroelectric phase?”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1" w:history="1">
          <w:r>
            <w:rPr>
              <w:rStyle w:val="Hyperlink"/>
            </w:rPr>
            <w:t>Phys. Rev.</w:t>
          </w:r>
        </w:hyperlink>
      </w:r>
    </w:p>
    <w:p>
      <w:pPr>
        <w:sectPr>
          <w:type w:val="nextColumn"/>
          <w:pgSz w:w="12240" w:h="16199"/>
          <w:pgMar w:top="306" w:right="998" w:bottom="1440" w:left="1020" w:header="720" w:footer="720" w:gutter="0"/>
          <w:cols w:space="720" w:num="2" w:equalWidth="0">
            <w:col w:w="5102" w:space="0"/>
            <w:col w:w="5120" w:space="0"/>
            <w:col w:w="10222" w:space="0"/>
            <w:col w:w="10222" w:space="0"/>
            <w:col w:w="5102" w:space="0"/>
            <w:col w:w="5120" w:space="0"/>
            <w:col w:w="10222" w:space="0"/>
            <w:col w:w="4950" w:space="0"/>
            <w:col w:w="527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0" w:space="0"/>
            <w:col w:w="5100" w:space="0"/>
            <w:col w:w="5120" w:space="0"/>
            <w:col w:w="10220" w:space="0"/>
            <w:col w:w="10138" w:space="0"/>
          </w:cols>
          <w:docGrid w:linePitch="360"/>
        </w:sectPr>
      </w:pPr>
    </w:p>
    <w:p>
      <w:pPr>
        <w:autoSpaceDN w:val="0"/>
        <w:tabs>
          <w:tab w:pos="5400" w:val="left"/>
        </w:tabs>
        <w:autoSpaceDE w:val="0"/>
        <w:widowControl/>
        <w:spacing w:line="160" w:lineRule="exact" w:before="0" w:after="0"/>
        <w:ind w:left="1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effects of crystallographic orientation and strain of thin Hf 0.5Zr </w:t>
      </w:r>
      <w:r>
        <w:tab/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1" w:history="1">
          <w:r>
            <w:rPr>
              <w:rStyle w:val="Hyperlink"/>
            </w:rPr>
            <w:t>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255702 (2010).</w:t>
      </w:r>
    </w:p>
    <w:sectPr w:rsidR="00FC693F" w:rsidRPr="0006063C" w:rsidSect="00034616">
      <w:type w:val="continuous"/>
      <w:pgSz w:w="12240" w:h="16199"/>
      <w:pgMar w:top="306" w:right="998" w:bottom="1440" w:left="1020" w:header="720" w:footer="720" w:gutter="0"/>
      <w:cols w:space="720" w:num="1" w:equalWidth="0">
        <w:col w:w="10222" w:space="0"/>
        <w:col w:w="5102" w:space="0"/>
        <w:col w:w="5120" w:space="0"/>
        <w:col w:w="10222" w:space="0"/>
        <w:col w:w="10222" w:space="0"/>
        <w:col w:w="5102" w:space="0"/>
        <w:col w:w="5120" w:space="0"/>
        <w:col w:w="10222" w:space="0"/>
        <w:col w:w="4950" w:space="0"/>
        <w:col w:w="5272" w:space="0"/>
        <w:col w:w="10222" w:space="0"/>
        <w:col w:w="10222" w:space="0"/>
        <w:col w:w="5100" w:space="0"/>
        <w:col w:w="5122" w:space="0"/>
        <w:col w:w="10222" w:space="0"/>
        <w:col w:w="5100" w:space="0"/>
        <w:col w:w="5122" w:space="0"/>
        <w:col w:w="10222" w:space="0"/>
        <w:col w:w="5100" w:space="0"/>
        <w:col w:w="5122" w:space="0"/>
        <w:col w:w="10222" w:space="0"/>
        <w:col w:w="10220" w:space="0"/>
        <w:col w:w="5100" w:space="0"/>
        <w:col w:w="5120" w:space="0"/>
        <w:col w:w="10220" w:space="0"/>
        <w:col w:w="101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aip.scitation.org/author/Starschich%2C+S" TargetMode="External"/><Relationship Id="rId10" Type="http://schemas.openxmlformats.org/officeDocument/2006/relationships/hyperlink" Target="http://aip.scitation.org/author/Griesche%2C+D" TargetMode="External"/><Relationship Id="rId11" Type="http://schemas.openxmlformats.org/officeDocument/2006/relationships/hyperlink" Target="http://aip.scitation.org/author/Schneller%2C+T" TargetMode="External"/><Relationship Id="rId12" Type="http://schemas.openxmlformats.org/officeDocument/2006/relationships/hyperlink" Target="http://aip.scitation.org/author/Waser%2C+R" TargetMode="External"/><Relationship Id="rId13" Type="http://schemas.openxmlformats.org/officeDocument/2006/relationships/hyperlink" Target="http://aip.scitation.org/author/B%C3%B6ttger%2C+U" TargetMode="External"/><Relationship Id="rId14" Type="http://schemas.openxmlformats.org/officeDocument/2006/relationships/hyperlink" Target="https://doi.org/10.1063/1.4879283" TargetMode="External"/><Relationship Id="rId15" Type="http://schemas.openxmlformats.org/officeDocument/2006/relationships/hyperlink" Target="http://aip.scitation.org/toc/apl/104/20" TargetMode="External"/><Relationship Id="rId16" Type="http://schemas.openxmlformats.org/officeDocument/2006/relationships/hyperlink" Target="http://aip.scitation.org/publisher/" TargetMode="External"/><Relationship Id="rId17" Type="http://schemas.openxmlformats.org/officeDocument/2006/relationships/hyperlink" Target="http://aip.scitation.org/doi/abs/10.1063/1.3634052" TargetMode="External"/><Relationship Id="rId18" Type="http://schemas.openxmlformats.org/officeDocument/2006/relationships/hyperlink" Target="http://aip.scitation.org/doi/abs/10.1063/1.3667205" TargetMode="External"/><Relationship Id="rId19" Type="http://schemas.openxmlformats.org/officeDocument/2006/relationships/hyperlink" Target="http://aip.scitation.org/doi/abs/10.1063/1.4927805" TargetMode="External"/><Relationship Id="rId20" Type="http://schemas.openxmlformats.org/officeDocument/2006/relationships/hyperlink" Target="http://aip.scitation.org/doi/abs/10.1063/1.4973928" TargetMode="External"/><Relationship Id="rId21" Type="http://schemas.openxmlformats.org/officeDocument/2006/relationships/hyperlink" Target="http://aip.scitation.org/doi/abs/10.1063/1.4747209" TargetMode="External"/><Relationship Id="rId22" Type="http://schemas.openxmlformats.org/officeDocument/2006/relationships/hyperlink" Target="http://aip.scitation.org/doi/abs/10.1063/1.4922272" TargetMode="Externa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hyperlink" Target="http://dx.doi.org/10.1063/1.4879283" TargetMode="External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hyperlink" Target="http://dx.doi.org/10.1063/1.2337361" TargetMode="External"/><Relationship Id="rId38" Type="http://schemas.openxmlformats.org/officeDocument/2006/relationships/hyperlink" Target="http://dx.doi.org/10.1109/JSSC.2011.2164732" TargetMode="External"/><Relationship Id="rId39" Type="http://schemas.openxmlformats.org/officeDocument/2006/relationships/hyperlink" Target="http://dx.doi.org/10.1063/1.3634052" TargetMode="External"/><Relationship Id="rId40" Type="http://schemas.openxmlformats.org/officeDocument/2006/relationships/hyperlink" Target="http://dx.doi.org/10.1063/1.3667205" TargetMode="External"/><Relationship Id="rId41" Type="http://schemas.openxmlformats.org/officeDocument/2006/relationships/hyperlink" Target="http://dx.doi.org/10.1063/1.3636417" TargetMode="External"/><Relationship Id="rId42" Type="http://schemas.openxmlformats.org/officeDocument/2006/relationships/hyperlink" Target="http://dx.doi.org/10.1002/adfm.201103119" TargetMode="External"/><Relationship Id="rId43" Type="http://schemas.openxmlformats.org/officeDocument/2006/relationships/hyperlink" Target="http://dx.doi.org/10.1149/2.002301jss" TargetMode="External"/><Relationship Id="rId44" Type="http://schemas.openxmlformats.org/officeDocument/2006/relationships/hyperlink" Target="http://dx.doi.org/10.1063/1.4747209" TargetMode="External"/><Relationship Id="rId45" Type="http://schemas.openxmlformats.org/officeDocument/2006/relationships/hyperlink" Target="http://dx.doi.org/10.1080/00150190210989" TargetMode="External"/><Relationship Id="rId46" Type="http://schemas.openxmlformats.org/officeDocument/2006/relationships/hyperlink" Target="http://dx.doi.org/10.1063/1.1544415" TargetMode="External"/><Relationship Id="rId47" Type="http://schemas.openxmlformats.org/officeDocument/2006/relationships/hyperlink" Target="http://dx.doi.org/10.1080/00150199908016462" TargetMode="External"/><Relationship Id="rId48" Type="http://schemas.openxmlformats.org/officeDocument/2006/relationships/hyperlink" Target="http://dx.doi.org/10.1063/1.3570647" TargetMode="External"/><Relationship Id="rId49" Type="http://schemas.openxmlformats.org/officeDocument/2006/relationships/hyperlink" Target="http://dx.doi.org/10.1063/1.4829064" TargetMode="External"/><Relationship Id="rId50" Type="http://schemas.openxmlformats.org/officeDocument/2006/relationships/hyperlink" Target="http://dx.doi.org/10.1063/1.4866008" TargetMode="External"/><Relationship Id="rId51" Type="http://schemas.openxmlformats.org/officeDocument/2006/relationships/hyperlink" Target="http://dx.doi.org/10.1103/PhysRevLett.105.255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