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7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711200</wp:posOffset>
            </wp:positionV>
            <wp:extent cx="6400800" cy="292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3683000</wp:posOffset>
            </wp:positionV>
            <wp:extent cx="508000" cy="1016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6121400</wp:posOffset>
            </wp:positionH>
            <wp:positionV relativeFrom="page">
              <wp:posOffset>3606800</wp:posOffset>
            </wp:positionV>
            <wp:extent cx="393700" cy="1270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5384800</wp:posOffset>
            </wp:positionH>
            <wp:positionV relativeFrom="page">
              <wp:posOffset>3606800</wp:posOffset>
            </wp:positionV>
            <wp:extent cx="508000" cy="1270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4064000</wp:posOffset>
            </wp:positionH>
            <wp:positionV relativeFrom="page">
              <wp:posOffset>3517900</wp:posOffset>
            </wp:positionV>
            <wp:extent cx="381000" cy="5207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2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4749800</wp:posOffset>
            </wp:positionH>
            <wp:positionV relativeFrom="page">
              <wp:posOffset>3416300</wp:posOffset>
            </wp:positionV>
            <wp:extent cx="495300" cy="2540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5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4006850</wp:posOffset>
            </wp:positionH>
            <wp:positionV relativeFrom="page">
              <wp:posOffset>3241040</wp:posOffset>
            </wp:positionV>
            <wp:extent cx="3048000" cy="166116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611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4025900</wp:posOffset>
            </wp:positionH>
            <wp:positionV relativeFrom="page">
              <wp:posOffset>3390900</wp:posOffset>
            </wp:positionV>
            <wp:extent cx="38100" cy="508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4470400</wp:posOffset>
            </wp:positionH>
            <wp:positionV relativeFrom="page">
              <wp:posOffset>4178300</wp:posOffset>
            </wp:positionV>
            <wp:extent cx="355600" cy="3683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68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4051300</wp:posOffset>
            </wp:positionH>
            <wp:positionV relativeFrom="page">
              <wp:posOffset>4140200</wp:posOffset>
            </wp:positionV>
            <wp:extent cx="381000" cy="5334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3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3975100</wp:posOffset>
            </wp:positionV>
            <wp:extent cx="215900" cy="2159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1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3962400</wp:posOffset>
            </wp:positionV>
            <wp:extent cx="215900" cy="2032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3911600</wp:posOffset>
            </wp:positionV>
            <wp:extent cx="266700" cy="1016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5448300</wp:posOffset>
            </wp:positionH>
            <wp:positionV relativeFrom="page">
              <wp:posOffset>3873500</wp:posOffset>
            </wp:positionV>
            <wp:extent cx="419100" cy="419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4813300</wp:posOffset>
            </wp:positionH>
            <wp:positionV relativeFrom="page">
              <wp:posOffset>3822700</wp:posOffset>
            </wp:positionV>
            <wp:extent cx="393700" cy="5334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53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5499100</wp:posOffset>
            </wp:positionH>
            <wp:positionV relativeFrom="page">
              <wp:posOffset>3746500</wp:posOffset>
            </wp:positionV>
            <wp:extent cx="292100" cy="1016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3708400</wp:posOffset>
            </wp:positionV>
            <wp:extent cx="368300" cy="3683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180" w:val="left"/>
        </w:tabs>
        <w:autoSpaceDE w:val="0"/>
        <w:widowControl/>
        <w:spacing w:line="252" w:lineRule="exact" w:before="0" w:after="0"/>
        <w:ind w:left="10062" w:right="0" w:firstLine="0"/>
        <w:jc w:val="left"/>
      </w:pPr>
      <w:r>
        <w:rPr>
          <w:rFonts w:ascii="AdvOT46dcae81" w:hAnsi="AdvOT46dcae81" w:eastAsia="AdvOT46dcae81"/>
          <w:b w:val="0"/>
          <w:i w:val="0"/>
          <w:color w:val="FFFFFF"/>
          <w:sz w:val="16"/>
        </w:rPr>
        <w:t xml:space="preserve">Research Article </w:t>
      </w:r>
      <w:r>
        <w:br/>
      </w:r>
      <w:r>
        <w:tab/>
      </w:r>
      <w:r>
        <w:rPr>
          <w:rFonts w:ascii="AdvOT46dcae81" w:hAnsi="AdvOT46dcae81" w:eastAsia="AdvOT46dcae81"/>
          <w:b w:val="0"/>
          <w:i w:val="0"/>
          <w:color w:val="27903A"/>
          <w:sz w:val="16"/>
        </w:rPr>
        <w:t>www.acsami.org</w:t>
      </w:r>
    </w:p>
    <w:p>
      <w:pPr>
        <w:autoSpaceDN w:val="0"/>
        <w:autoSpaceDE w:val="0"/>
        <w:widowControl/>
        <w:spacing w:line="330" w:lineRule="exact" w:before="720" w:after="204"/>
        <w:ind w:left="1198" w:right="144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Computational Approach for Epitaxial Polymorph Stabilization </w:t>
      </w:r>
      <w:r>
        <w:rPr>
          <w:rFonts w:ascii="AdvOTce3d9a73" w:hAnsi="AdvOTce3d9a73" w:eastAsia="AdvOTce3d9a73"/>
          <w:b w:val="0"/>
          <w:i w:val="0"/>
          <w:color w:val="000000"/>
          <w:sz w:val="34"/>
        </w:rPr>
        <w:t xml:space="preserve">through Substrate Selection </w:t>
      </w:r>
      <w:r>
        <w:br/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Hong Ding,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Shyam S. Dwaraknath,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Lauren Garten,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Paul Ndione,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David Ginley,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‡</w:t>
      </w:r>
      <w:r>
        <w:br/>
      </w:r>
      <w:r>
        <w:rPr>
          <w:rFonts w:ascii="AdvOTd369e91e" w:hAnsi="AdvOTd369e91e" w:eastAsia="AdvOTd369e91e"/>
          <w:b w:val="0"/>
          <w:i w:val="0"/>
          <w:color w:val="000000"/>
          <w:sz w:val="26"/>
        </w:rPr>
        <w:t>and Kristin A. Persson</w:t>
      </w:r>
      <w:r>
        <w:rPr>
          <w:rFonts w:ascii="AdvOT8608a8d1" w:hAnsi="AdvOT8608a8d1" w:eastAsia="AdvOT8608a8d1"/>
          <w:b w:val="0"/>
          <w:i w:val="0"/>
          <w:color w:val="1B4BA0"/>
          <w:sz w:val="26"/>
        </w:rPr>
        <w:t>*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20" w:hAnsi="20" w:eastAsia="20"/>
          <w:b w:val="0"/>
          <w:i w:val="0"/>
          <w:color w:val="1B4BA0"/>
          <w:sz w:val="18"/>
        </w:rPr>
        <w:t>†</w:t>
      </w:r>
      <w:r>
        <w:rPr>
          <w:w w:val="102.12972429063585"/>
          <w:rFonts w:ascii="AdvOTd369e91e" w:hAnsi="AdvOTd369e91e" w:eastAsia="AdvOTd369e91e"/>
          <w:b w:val="0"/>
          <w:i w:val="0"/>
          <w:color w:val="1B4BA0"/>
          <w:sz w:val="18"/>
        </w:rPr>
        <w:t>,</w:t>
      </w:r>
      <w:r>
        <w:rPr>
          <w:w w:val="102.12972429063585"/>
          <w:rFonts w:ascii="AdvOT8608a8d1" w:hAnsi="AdvOT8608a8d1" w:eastAsia="AdvOT8608a8d1"/>
          <w:b w:val="0"/>
          <w:i w:val="0"/>
          <w:color w:val="1B4BA0"/>
          <w:sz w:val="18"/>
        </w:rPr>
        <w:t>§</w:t>
      </w:r>
      <w:r>
        <w:br/>
      </w: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†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Energy Technologies, Lawrence Berkeley National Laboratory, Berkeley, California 94720, United States</w:t>
      </w:r>
      <w:r>
        <w:br/>
      </w:r>
      <w:r>
        <w:rPr>
          <w:w w:val="101.00952557155065"/>
          <w:rFonts w:ascii="20" w:hAnsi="20" w:eastAsia="20"/>
          <w:b w:val="0"/>
          <w:i w:val="0"/>
          <w:color w:val="000000"/>
          <w:sz w:val="14"/>
        </w:rPr>
        <w:t>‡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Materials Chemistry Science and Technology, National Renewable Energy Laboratory, Golden, Colorado 80401, United States</w:t>
      </w:r>
      <w:r>
        <w:rPr>
          <w:w w:val="101.00952557155065"/>
          <w:rFonts w:ascii="AdvOT8608a8d1" w:hAnsi="AdvOT8608a8d1" w:eastAsia="AdvOT8608a8d1"/>
          <w:b w:val="0"/>
          <w:i w:val="0"/>
          <w:color w:val="000000"/>
          <w:sz w:val="14"/>
        </w:rPr>
        <w:t>§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Department of Materials Science and Engineering, University of California Berkeley, Berkeley, California 94704, United States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55"/>
        <w:gridCol w:w="1255"/>
        <w:gridCol w:w="1255"/>
        <w:gridCol w:w="1255"/>
        <w:gridCol w:w="1255"/>
        <w:gridCol w:w="1255"/>
        <w:gridCol w:w="1255"/>
        <w:gridCol w:w="1255"/>
        <w:gridCol w:w="1255"/>
      </w:tblGrid>
      <w:tr>
        <w:trPr>
          <w:trHeight w:hRule="exact" w:val="376"/>
        </w:trPr>
        <w:tc>
          <w:tcPr>
            <w:tcW w:type="dxa" w:w="1198"/>
            <w:vMerge w:val="restart"/>
            <w:tcBorders>
              <w:top w:sz="4.0" w:val="single" w:color="#90BC8B"/>
              <w:bottom w:sz="3.199999999999818" w:val="single" w:color="#90BC8B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0" w:right="0" w:firstLine="2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GEORGIA INST OF TECHNOLOGY on August 3, 2021 at 19:44:37 (UTC).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.org/sharingguidelines for options on how to legitimately share published articles.</w:t>
            </w:r>
          </w:p>
        </w:tc>
        <w:tc>
          <w:tcPr>
            <w:tcW w:type="dxa" w:w="5046"/>
            <w:gridSpan w:val="3"/>
            <w:tcBorders>
              <w:top w:sz="4.0" w:val="single" w:color="#90BC8B"/>
            </w:tcBorders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14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ABSTRACT: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With the ultimate goal of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nding new</w:t>
            </w:r>
          </w:p>
        </w:tc>
        <w:tc>
          <w:tcPr>
            <w:tcW w:type="dxa" w:w="294"/>
            <w:gridSpan w:val="2"/>
            <w:tcBorders>
              <w:top w:sz="4.0" w:val="single" w:color="#90BC8B"/>
            </w:tcBorders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2" w:after="0"/>
              <w:ind w:left="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50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0"/>
            <w:tcBorders>
              <w:top w:sz="4.0" w:val="single" w:color="#90BC8B"/>
            </w:tcBorders>
            <w:shd w:fill="e0f3fd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4300" cy="508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540"/>
            <w:gridSpan w:val="2"/>
            <w:tcBorders/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6" w:after="0"/>
              <w:ind w:left="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9700" cy="381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864"/>
        </w:trPr>
        <w:tc>
          <w:tcPr>
            <w:tcW w:type="dxa" w:w="1255"/>
            <w:vMerge/>
            <w:tcBorders>
              <w:top w:sz="4.0" w:val="single" w:color="#90BC8B"/>
              <w:bottom w:sz="3.199999999999818" w:val="single" w:color="#90BC8B"/>
            </w:tcBorders>
          </w:tcPr>
          <w:p/>
        </w:tc>
        <w:tc>
          <w:tcPr>
            <w:tcW w:type="dxa" w:w="10080"/>
            <w:gridSpan w:val="8"/>
            <w:tcBorders>
              <w:bottom w:sz="3.199999999999818" w:val="single" w:color="#90BC8B"/>
            </w:tcBorders>
            <w:shd w:fill="e0f3fd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070" w:val="left"/>
              </w:tabs>
              <w:autoSpaceDE w:val="0"/>
              <w:widowControl/>
              <w:spacing w:line="240" w:lineRule="auto" w:before="16" w:after="0"/>
              <w:ind w:left="178" w:right="4896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polymorphs through targeted synthesis conditions and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techniques, we outline a computational framework to select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optimal substrates for epitaxial growth using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rst principle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calculations of formation energies, elastic strain energy, and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topological information. To demonstrate the approach, we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study the stabilization of metastable VO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compounds which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provides a rich chemical and structural polymorph space. We </w:t>
            </w:r>
            <w:r>
              <w:br/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nd that common polymorph statistics, lattice matching, and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energy above hull considerations recommends homostructural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growth on TiO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substrates, where the VO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brookite phase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5130" w:val="left"/>
              </w:tabs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would be preferentially grown on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a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c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TiO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brookite plane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38100" cy="63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483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381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20" w:lineRule="exact" w:before="38" w:after="0"/>
              <w:ind w:left="178" w:right="144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while the columbite and anatase structures favor the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a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>b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plane </w:t>
            </w:r>
            <w:r>
              <w:br/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on the respective TiO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phases. Overall, we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nd that a model which incorporates a geometric unit cell area matching between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substrate and the target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 as well as the resulting strain energy density of the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provide qualitative agreement with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experimental observations for the heterostructural growth of known VO</w:t>
            </w:r>
            <w:r>
              <w:rPr>
                <w:w w:val="103.07692014254057"/>
                <w:rFonts w:ascii="AdvOT2e364b11" w:hAnsi="AdvOT2e364b11" w:eastAsia="AdvOT2e364b11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polymorphs: rutile, A and B phases. The minimal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interfacial geometry matching and estimated strain energy criteria provide several suggestions for substrates and substrate</w:t>
            </w:r>
            <w:r>
              <w:rPr>
                <w:rFonts w:ascii="22" w:hAnsi="22" w:eastAsia="22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orientations for the heterostructural growth of the hitherto hypothetical anatase, brookite, and columbite polymorphs. These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criteria serve as a preliminary guidance for the experimental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orts stabilizing new materials and/or polymorphs through epitaxy.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current screening algorithm is being integrated within the Materials Project online framework and data and hence publicly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available.</w:t>
            </w:r>
          </w:p>
          <w:p>
            <w:pPr>
              <w:autoSpaceDN w:val="0"/>
              <w:autoSpaceDE w:val="0"/>
              <w:widowControl/>
              <w:spacing w:line="220" w:lineRule="exact" w:before="58" w:after="0"/>
              <w:ind w:left="178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20"/>
              </w:rPr>
              <w:t>KEYWORDS:</w:t>
            </w:r>
            <w:r>
              <w:rPr>
                <w:rFonts w:ascii="AdvOT02ce3bbb.I" w:hAnsi="AdvOT02ce3bbb.I" w:eastAsia="AdvOT02ce3bbb.I"/>
                <w:b w:val="0"/>
                <w:i w:val="0"/>
                <w:color w:val="000000"/>
                <w:sz w:val="20"/>
              </w:rPr>
              <w:t xml:space="preserve"> epitaxy, substrate selection, topology, elastic energy, homoepitaxy, heteroepitaxy</w:t>
            </w:r>
          </w:p>
        </w:tc>
      </w:tr>
      <w:tr>
        <w:trPr>
          <w:trHeight w:hRule="exact" w:val="516"/>
        </w:trPr>
        <w:tc>
          <w:tcPr>
            <w:tcW w:type="dxa" w:w="1198"/>
            <w:vMerge w:val="restart"/>
            <w:tcBorders>
              <w:top w:sz="3.199999999999818" w:val="single" w:color="#90BC8B"/>
              <w:bottom w:sz="8.0" w:val="single" w:color="#27903A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2" w:after="0"/>
              <w:ind w:left="3162" w:right="0" w:hanging="206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Downloaded via </w:t>
            </w:r>
            <w:r>
              <w:br/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See https://pubs.acs</w:t>
            </w:r>
          </w:p>
        </w:tc>
        <w:tc>
          <w:tcPr>
            <w:tcW w:type="dxa" w:w="4810"/>
            <w:gridSpan w:val="2"/>
            <w:tcBorders>
              <w:top w:sz="3.199999999999818" w:val="single" w:color="#90BC8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74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1"/>
              </w:rPr>
              <w:t>1. INTRODUCTION</w:t>
            </w:r>
          </w:p>
        </w:tc>
        <w:tc>
          <w:tcPr>
            <w:tcW w:type="dxa" w:w="5270"/>
            <w:gridSpan w:val="6"/>
            <w:tcBorders>
              <w:top w:sz="3.199999999999818" w:val="single" w:color="#90BC8B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254" w:after="0"/>
              <w:ind w:left="47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invention of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cient blue-light-emitting diodes based on</w:t>
            </w:r>
          </w:p>
        </w:tc>
      </w:tr>
      <w:tr>
        <w:trPr>
          <w:trHeight w:hRule="exact" w:val="3716"/>
        </w:trPr>
        <w:tc>
          <w:tcPr>
            <w:tcW w:type="dxa" w:w="1255"/>
            <w:vMerge/>
            <w:tcBorders>
              <w:top w:sz="3.199999999999818" w:val="single" w:color="#90BC8B"/>
              <w:bottom w:sz="8.0" w:val="single" w:color="#27903A"/>
            </w:tcBorders>
          </w:tcPr>
          <w:p/>
        </w:tc>
        <w:tc>
          <w:tcPr>
            <w:tcW w:type="dxa" w:w="527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4" w:after="0"/>
              <w:ind w:left="0" w:right="478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Discovery and synthesis of new functional materials is essential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 materials research to enable breakthrough technologies in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energy storage, delivery, and utilization. Although computa-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tional approaches to predicting novel materials are becoming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increasingly popular,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ability to theoretically predict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preferred synthesis conditions of a target new material is less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routine. In this context, synthesis of highly textured or epitaxial 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lms</w:t>
            </w:r>
            <w:r>
              <w:rPr>
                <w:rFonts w:ascii="e0" w:hAnsi="e0" w:eastAsia="e0"/>
                <w:b w:val="0"/>
                <w:i w:val="0"/>
                <w:color w:val="000000"/>
                <w:sz w:val="20"/>
              </w:rPr>
              <w:t>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the natural or arti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cial growth of crystals on a crystalline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substrate</w:t>
            </w:r>
            <w:r>
              <w:rPr>
                <w:rFonts w:ascii="e0" w:hAnsi="e0" w:eastAsia="e0"/>
                <w:b w:val="0"/>
                <w:i w:val="0"/>
                <w:color w:val="000000"/>
                <w:sz w:val="20"/>
              </w:rPr>
              <w:t>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provides an ideal platform as it allows for many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control variables such as substrate selection, temperature,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interfacial chemistry, and deposition rates, etc., to favor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speci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 local minimum in the free-energy landscape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2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corresponding to the target material. Among the variable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conditions for epitaxy, the substrate selection is particularly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important as it can decrease the nucleation energy of a given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target, speci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cally metastable, phase which can exhibit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dramatically di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erent physical or chemical properties compared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to the ground state.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This is beautifully illustrated by the recent</w:t>
            </w:r>
          </w:p>
        </w:tc>
        <w:tc>
          <w:tcPr>
            <w:tcW w:type="dxa" w:w="4802"/>
            <w:gridSpan w:val="4"/>
            <w:tcBorders>
              <w:bottom w:sz="8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22" w:after="0"/>
              <w:ind w:left="2" w:right="0" w:firstLine="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epitaxially stabilized cubic GaN on a (001)-GaAs substrate.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 xml:space="preserve">4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An extensive overview of the applications, physics,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challenges in epitaxial growth, partially concerning transition-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metal oxide heterointerfaces, can be found in references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 xml:space="preserve"> 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 and </w:t>
            </w:r>
            <w:r>
              <w:rPr>
                <w:rFonts w:ascii="AdvOT2e364b11" w:hAnsi="AdvOT2e364b11" w:eastAsia="AdvOT2e364b11"/>
                <w:b w:val="0"/>
                <w:i w:val="0"/>
                <w:color w:val="1B4BA0"/>
                <w:sz w:val="20"/>
              </w:rPr>
              <w:t>6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.</w:t>
            </w:r>
          </w:p>
          <w:p>
            <w:pPr>
              <w:autoSpaceDN w:val="0"/>
              <w:autoSpaceDE w:val="0"/>
              <w:widowControl/>
              <w:spacing w:line="234" w:lineRule="exact" w:before="0" w:after="0"/>
              <w:ind w:left="2" w:right="0" w:firstLine="180"/>
              <w:jc w:val="both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Usually, an epitaxial substrate is manually selected from a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pool of common candidates using visualization software to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select an appropriate surface, a rough lattice parameter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matching, and intuition.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7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To broadly explore new functional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polymorphs using epitaxy, a more systematic,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cient, and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rational screening methodology of substrates is desirable.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Several recent experimental combinatorial e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>ff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orts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8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9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highlight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the need to correctly identify a suitable substrate and the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experimental conditions for high-throughput epitaxial</w:t>
            </w:r>
            <w:r>
              <w:rPr>
                <w:rFonts w:ascii="fb" w:hAnsi="fb" w:eastAsia="fb"/>
                <w:b w:val="0"/>
                <w:i w:val="0"/>
                <w:color w:val="000000"/>
                <w:sz w:val="20"/>
              </w:rPr>
              <w:t xml:space="preserve"> fi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 xml:space="preserve">lm 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growth. Computationally, Mehta et al.</w:t>
            </w:r>
            <w:r>
              <w:rPr>
                <w:w w:val="101.00952557155065"/>
                <w:rFonts w:ascii="AdvOT2e364b11" w:hAnsi="AdvOT2e364b11" w:eastAsia="AdvOT2e364b11"/>
                <w:b w:val="0"/>
                <w:i w:val="0"/>
                <w:color w:val="1B4BA0"/>
                <w:sz w:val="14"/>
              </w:rPr>
              <w:t>10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used ionic substitution</w:t>
            </w:r>
          </w:p>
        </w:tc>
      </w:tr>
      <w:tr>
        <w:trPr>
          <w:trHeight w:hRule="exact" w:val="324"/>
        </w:trPr>
        <w:tc>
          <w:tcPr>
            <w:tcW w:type="dxa" w:w="1198"/>
            <w:vMerge w:val="restart"/>
            <w:tcBorders>
              <w:top w:sz="8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020"/>
            <w:gridSpan w:val="4"/>
            <w:vMerge/>
            <w:tcBorders/>
          </w:tcPr>
          <w:p/>
        </w:tc>
        <w:tc>
          <w:tcPr>
            <w:tcW w:type="dxa" w:w="692"/>
            <w:gridSpan w:val="3"/>
            <w:tcBorders>
              <w:top w:sz="8.0" w:val="single" w:color="#27903A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6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Received:</w:t>
            </w:r>
          </w:p>
        </w:tc>
        <w:tc>
          <w:tcPr>
            <w:tcW w:type="dxa" w:w="4110"/>
            <w:tcBorders>
              <w:top w:sz="8.0" w:val="single" w:color="#27903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06" w:after="0"/>
              <w:ind w:left="1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February 6, 2016</w:t>
            </w:r>
          </w:p>
        </w:tc>
      </w:tr>
      <w:tr>
        <w:trPr>
          <w:trHeight w:hRule="exact" w:val="200"/>
        </w:trPr>
        <w:tc>
          <w:tcPr>
            <w:tcW w:type="dxa" w:w="1255"/>
            <w:vMerge/>
            <w:tcBorders>
              <w:top w:sz="8.0" w:val="single" w:color="#27903A"/>
            </w:tcBorders>
          </w:tcPr>
          <w:p/>
        </w:tc>
        <w:tc>
          <w:tcPr>
            <w:tcW w:type="dxa" w:w="5020"/>
            <w:gridSpan w:val="4"/>
            <w:vMerge/>
            <w:tcBorders/>
          </w:tcPr>
          <w:p/>
        </w:tc>
        <w:tc>
          <w:tcPr>
            <w:tcW w:type="dxa" w:w="69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Accepted:</w:t>
            </w:r>
          </w:p>
        </w:tc>
        <w:tc>
          <w:tcPr>
            <w:tcW w:type="dxa" w:w="4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180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May 4, 2016</w:t>
            </w:r>
          </w:p>
        </w:tc>
      </w:tr>
      <w:tr>
        <w:trPr>
          <w:trHeight w:hRule="exact" w:val="300"/>
        </w:trPr>
        <w:tc>
          <w:tcPr>
            <w:tcW w:type="dxa" w:w="1255"/>
            <w:vMerge/>
            <w:tcBorders>
              <w:top w:sz="8.0" w:val="single" w:color="#27903A"/>
            </w:tcBorders>
          </w:tcPr>
          <w:p/>
        </w:tc>
        <w:tc>
          <w:tcPr>
            <w:tcW w:type="dxa" w:w="481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6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20"/>
              </w:rPr>
              <w:t>2014 Nobel Prize in Physics, which was awarded for the</w:t>
            </w:r>
          </w:p>
        </w:tc>
        <w:tc>
          <w:tcPr>
            <w:tcW w:type="dxa" w:w="527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2" w:after="0"/>
              <w:ind w:left="470" w:right="0" w:firstLine="0"/>
              <w:jc w:val="left"/>
            </w:pPr>
            <w:r>
              <w:rPr>
                <w:rFonts w:ascii="AdvOT51c1769e" w:hAnsi="AdvOT51c1769e" w:eastAsia="AdvOT51c1769e"/>
                <w:b w:val="0"/>
                <w:i w:val="0"/>
                <w:color w:val="27903A"/>
                <w:sz w:val="18"/>
              </w:rPr>
              <w:t>Published: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 xml:space="preserve"> May 4, 2016</w:t>
            </w:r>
          </w:p>
        </w:tc>
      </w:tr>
      <w:tr>
        <w:trPr>
          <w:trHeight w:hRule="exact" w:val="444"/>
        </w:trPr>
        <w:tc>
          <w:tcPr>
            <w:tcW w:type="dxa" w:w="1255"/>
            <w:vMerge/>
            <w:tcBorders>
              <w:top w:sz="8.0" w:val="single" w:color="#27903A"/>
            </w:tcBorders>
          </w:tcPr>
          <w:p/>
        </w:tc>
        <w:tc>
          <w:tcPr>
            <w:tcW w:type="dxa" w:w="20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9200" cy="2413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1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7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184" w:after="0"/>
              <w:ind w:left="126" w:right="0" w:firstLine="0"/>
              <w:jc w:val="left"/>
            </w:pPr>
            <w:r>
              <w:rPr>
                <w:w w:val="98.46308047954852"/>
                <w:rFonts w:ascii="AdvOT46dcae81" w:hAnsi="AdvOT46dcae81" w:eastAsia="AdvOT46dcae81"/>
                <w:b w:val="0"/>
                <w:i w:val="0"/>
                <w:color w:val="000000"/>
                <w:sz w:val="13"/>
              </w:rPr>
              <w:t>© 2016 American Chemical Society</w:t>
            </w:r>
          </w:p>
        </w:tc>
        <w:tc>
          <w:tcPr>
            <w:tcW w:type="dxa" w:w="11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62" w:after="0"/>
              <w:ind w:left="3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000000"/>
                <w:sz w:val="15"/>
              </w:rPr>
              <w:t>13086</w:t>
            </w:r>
          </w:p>
        </w:tc>
        <w:tc>
          <w:tcPr>
            <w:tcW w:type="dxa" w:w="41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88" w:after="0"/>
              <w:ind w:left="1616" w:right="0" w:firstLine="1024"/>
              <w:jc w:val="left"/>
            </w:pP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t>DOI: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t xml:space="preserve"> </w:t>
            </w:r>
            <w:r>
              <w:rPr>
                <w:rFonts w:ascii="AdvOT46dcae81" w:hAnsi="AdvOT46dcae81" w:eastAsia="AdvOT46dcae81"/>
                <w:b w:val="0"/>
                <w:i w:val="0"/>
                <w:color w:val="1B4BA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10.1021/acsami.6b01630 </w:t>
                </w:r>
              </w:hyperlink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t>ACS Appl. Mater. Interface</w:t>
            </w:r>
            <w:r>
              <w:rPr>
                <w:rFonts w:ascii="AdvOT65f8a23b.I" w:hAnsi="AdvOT65f8a23b.I" w:eastAsia="AdvOT65f8a23b.I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s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 xml:space="preserve"> 2016, 8, 13086</w:t>
                </w:r>
              </w:hyperlink>
            </w:r>
            <w:r>
              <w:rPr>
                <w:rFonts w:ascii="22" w:hAnsi="22" w:eastAsia="22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−</w:t>
                </w:r>
              </w:hyperlink>
            </w:r>
            <w:r>
              <w:rPr>
                <w:rFonts w:ascii="AdvOT46dcae81" w:hAnsi="AdvOT46dcae81" w:eastAsia="AdvOT46dcae81"/>
                <w:b w:val="0"/>
                <w:i w:val="0"/>
                <w:color w:val="000000"/>
                <w:sz w:val="12"/>
              </w:rPr>
              <w:hyperlink r:id="rId16" w:history="1">
                <w:r>
                  <w:rPr>
                    <w:rStyle w:val="Hyperlink"/>
                  </w:rPr>
                  <w:t>13093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509" w:h="16367"/>
          <w:pgMar w:top="592" w:right="1198" w:bottom="342" w:left="12" w:header="720" w:footer="720" w:gutter="0"/>
          <w:cols w:space="720" w:num="1" w:equalWidth="0"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492750" cy="553466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5534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8" w:lineRule="exact" w:before="176" w:after="0"/>
        <w:ind w:left="0" w:right="0" w:firstLine="0"/>
        <w:jc w:val="center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1.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Illustration of the number of conformal oxide polymorphs within 100 meV/atom of the hull between two elements. Reddish color</w:t>
      </w:r>
    </w:p>
    <w:p>
      <w:pPr>
        <w:autoSpaceDN w:val="0"/>
        <w:autoSpaceDE w:val="0"/>
        <w:widowControl/>
        <w:spacing w:line="198" w:lineRule="exact" w:before="4" w:after="0"/>
        <w:ind w:left="0" w:right="0" w:firstLine="0"/>
        <w:jc w:val="center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indicates a high number of shared polymorphs, indicating that the two elements would be ideal for oxide homoepitaxy. The data are taken from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Materials Project Database, which contains mainly experimentally veri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ed compounds from the ICSD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33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but also an increasing number of</w:t>
      </w:r>
    </w:p>
    <w:p>
      <w:pPr>
        <w:autoSpaceDN w:val="0"/>
        <w:autoSpaceDE w:val="0"/>
        <w:widowControl/>
        <w:spacing w:line="200" w:lineRule="exact" w:before="2" w:after="120"/>
        <w:ind w:left="0" w:right="20" w:firstLine="0"/>
        <w:jc w:val="both"/>
      </w:pPr>
      <w:r>
        <w:rPr>
          <w:rFonts w:ascii="20" w:hAnsi="20" w:eastAsia="20"/>
          <w:b w:val="0"/>
          <w:i w:val="0"/>
          <w:color w:val="000000"/>
          <w:sz w:val="18"/>
        </w:rPr>
        <w:t>“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hypothetical</w:t>
      </w:r>
      <w:r>
        <w:rPr>
          <w:rFonts w:ascii="20" w:hAnsi="20" w:eastAsia="20"/>
          <w:b w:val="0"/>
          <w:i w:val="0"/>
          <w:color w:val="000000"/>
          <w:sz w:val="18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structures created by ionic substitution, removal of ions, and structure prediction methods, etc. To obtain a measure of chemical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similarity, the structures considered here were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ltered on the</w:t>
      </w:r>
      <w:r>
        <w:rPr>
          <w:rFonts w:ascii="20" w:hAnsi="20" w:eastAsia="20"/>
          <w:b w:val="0"/>
          <w:i w:val="0"/>
          <w:color w:val="000000"/>
          <w:sz w:val="18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energy above Hull</w:t>
      </w:r>
      <w:r>
        <w:rPr>
          <w:rFonts w:ascii="20" w:hAnsi="20" w:eastAsia="20"/>
          <w:b w:val="0"/>
          <w:i w:val="0"/>
          <w:color w:val="000000"/>
          <w:sz w:val="18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less than 100 meV/atom, which provides a reasonable upper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bound of accessible metastability.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34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evaluate polymorph metastability within several metal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dioxide systems where, not surprisingly, the calculated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formation energy of the target compound was found to be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guiding but inconclusive criteria to predict the resulting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epitaxial phase. To include an approximate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substrate, the bulk modulus of each polymorph was computed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construct a free energy substrate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model to evaluate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accessibility of the target phase. It is worth noticing that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work by Mehta 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focused on which polymorph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accessible through epitaxial growth, but did not address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reverse question: given a particular target material/polymorph,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what is the optimal substrate selection and resulting epitaxial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orientation?</w:t>
      </w:r>
    </w:p>
    <w:p>
      <w:pPr>
        <w:autoSpaceDN w:val="0"/>
        <w:autoSpaceDE w:val="0"/>
        <w:widowControl/>
        <w:spacing w:line="224" w:lineRule="exact" w:before="0" w:after="0"/>
        <w:ind w:left="0" w:right="2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facilitate the synthesis of novel functional metastable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materials, the goal of this work is to propose and implement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</w:t>
      </w:r>
      <w:r>
        <w:rPr>
          <w:rFonts w:ascii="fb" w:hAnsi="fb" w:eastAsia="fb"/>
          <w:b w:val="0"/>
          <w:i w:val="0"/>
          <w:color w:val="000000"/>
          <w:sz w:val="20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cient and general computational screening approach for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13087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10.1021/acsami.6b01630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31920" cy="26111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611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02" w:after="120"/>
        <w:ind w:left="0" w:right="20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2.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To estimate the accessible window of metastability we compare the calculated relative formation energies of various polymorphs in 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(red) and VO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(blue). The lowest-energy structure (anatase for 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and rutile for VO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) is used as the reference state. Dashed bars indicate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polymorphs that have not been synthesized.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distorted semiconducting monoclinic structure (M1). Addi-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tionally, two other structures, the A and B phases, have been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synthesized under hydrothermal and/or physical vapor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deposition conditions,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14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while other structures such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anatase, brookite, and columbite seen in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have not yet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been observed for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Hence, we are especially interested in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 recommendations for growing these hitherto unseen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polymorphs.</w:t>
      </w:r>
    </w:p>
    <w:p>
      <w:pPr>
        <w:autoSpaceDN w:val="0"/>
        <w:autoSpaceDE w:val="0"/>
        <w:widowControl/>
        <w:spacing w:line="238" w:lineRule="exact" w:before="156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27903A"/>
          <w:sz w:val="21"/>
        </w:rPr>
        <w:t>2. METHODOLOGY</w:t>
      </w:r>
    </w:p>
    <w:p>
      <w:pPr>
        <w:autoSpaceDN w:val="0"/>
        <w:autoSpaceDE w:val="0"/>
        <w:widowControl/>
        <w:spacing w:line="198" w:lineRule="exact" w:before="72" w:after="0"/>
        <w:ind w:left="0" w:right="20" w:firstLine="178"/>
        <w:jc w:val="both"/>
      </w:pPr>
      <w:r>
        <w:rPr>
          <w:rFonts w:ascii="AdvOTce3d9a73" w:hAnsi="AdvOTce3d9a73" w:eastAsia="AdvOTce3d9a73"/>
          <w:b w:val="0"/>
          <w:i w:val="0"/>
          <w:color w:val="000000"/>
          <w:sz w:val="18"/>
        </w:rPr>
        <w:t>2.1. Computational.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We aim to provide a fast and e</w:t>
      </w:r>
      <w:r>
        <w:rPr>
          <w:rFonts w:ascii="fb" w:hAnsi="fb" w:eastAsia="fb"/>
          <w:b w:val="0"/>
          <w:i w:val="0"/>
          <w:color w:val="000000"/>
          <w:sz w:val="18"/>
        </w:rPr>
        <w:t>ffi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cient model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to preselect substrates from a given pool for epitaxial growth of a target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polymorph/material. Here we investigate two di</w:t>
      </w:r>
      <w:r>
        <w:rPr>
          <w:rFonts w:ascii="fb" w:hAnsi="fb" w:eastAsia="fb"/>
          <w:b w:val="0"/>
          <w:i w:val="0"/>
          <w:color w:val="000000"/>
          <w:sz w:val="18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erent approaches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 variety of criteria associated with each. In the following we present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analyses, benchmarking, and recommendations for the following:</w:t>
      </w:r>
    </w:p>
    <w:p>
      <w:pPr>
        <w:autoSpaceDN w:val="0"/>
        <w:autoSpaceDE w:val="0"/>
        <w:widowControl/>
        <w:spacing w:line="202" w:lineRule="exact" w:before="66" w:after="0"/>
        <w:ind w:left="480" w:right="20" w:hanging="214"/>
        <w:jc w:val="both"/>
      </w:pPr>
      <w:r>
        <w:rPr>
          <w:rFonts w:ascii="20" w:hAnsi="20" w:eastAsia="20"/>
          <w:b w:val="0"/>
          <w:i w:val="0"/>
          <w:color w:val="000000"/>
          <w:sz w:val="18"/>
        </w:rPr>
        <w:t>•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Homostructural epitaxy. where a chemically and structurally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similar substrate material is selected based on common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polymorph statistics, lattice matching, and energy above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hull. In this model the optimal orientation relationship between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 and the substrate is chosen as the smallest lattice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mismatch between the common structures.</w:t>
      </w:r>
    </w:p>
    <w:p>
      <w:pPr>
        <w:autoSpaceDN w:val="0"/>
        <w:autoSpaceDE w:val="0"/>
        <w:widowControl/>
        <w:spacing w:line="202" w:lineRule="exact" w:before="42" w:after="0"/>
        <w:ind w:left="480" w:right="20" w:hanging="214"/>
        <w:jc w:val="both"/>
      </w:pPr>
      <w:r>
        <w:rPr>
          <w:rFonts w:ascii="20" w:hAnsi="20" w:eastAsia="20"/>
          <w:b w:val="0"/>
          <w:i w:val="0"/>
          <w:color w:val="000000"/>
          <w:sz w:val="18"/>
        </w:rPr>
        <w:t>•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Heterostructural epitaxy. where the pool of candidate substrates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can generally comprise any chemical system and the orientation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relationship between the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 and the substrate is obtained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through a set of criteria based on the minimal interfacial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geometry matching and estimated strain energy as a function of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 substrate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fb" w:hAnsi="fb" w:eastAsia="fb"/>
          <w:b w:val="0"/>
          <w:i w:val="0"/>
          <w:color w:val="000000"/>
          <w:sz w:val="18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 pair.</w:t>
      </w:r>
    </w:p>
    <w:p>
      <w:pPr>
        <w:autoSpaceDN w:val="0"/>
        <w:autoSpaceDE w:val="0"/>
        <w:widowControl/>
        <w:spacing w:line="198" w:lineRule="exact" w:before="56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Both models are explored and implemented within the infrastructure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of the Materials Project and benchmarked using available literature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references for the case of VO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polymorph stabilization. We emphasize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that a detailed investigation of interfacial chemical interactions</w:t>
      </w:r>
      <w:r>
        <w:rPr>
          <w:rFonts w:ascii="e0" w:hAnsi="e0" w:eastAsia="e0"/>
          <w:b w:val="0"/>
          <w:i w:val="0"/>
          <w:color w:val="000000"/>
          <w:sz w:val="18"/>
        </w:rPr>
        <w:t>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while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beyond this work</w:t>
      </w:r>
      <w:r>
        <w:rPr>
          <w:rFonts w:ascii="e0" w:hAnsi="e0" w:eastAsia="e0"/>
          <w:b w:val="0"/>
          <w:i w:val="0"/>
          <w:color w:val="000000"/>
          <w:sz w:val="18"/>
        </w:rPr>
        <w:t>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may be critical in some cases and can be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performed using slab calculations as an added, albeit more time-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consuming, computational approach. For a comprehensive collection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of candidate substrates, we used the Materials Project database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16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as an</w:t>
      </w:r>
      <w:r>
        <w:rPr>
          <w:rFonts w:ascii="20" w:hAnsi="20" w:eastAsia="20"/>
          <w:b w:val="0"/>
          <w:i w:val="0"/>
          <w:color w:val="000000"/>
          <w:sz w:val="18"/>
        </w:rPr>
        <w:t>“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 priori</w:t>
      </w:r>
      <w:r>
        <w:rPr>
          <w:rFonts w:ascii="20" w:hAnsi="20" w:eastAsia="20"/>
          <w:b w:val="0"/>
          <w:i w:val="0"/>
          <w:color w:val="000000"/>
          <w:sz w:val="18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calculated data set to search representative structures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evaluate the corresponding polymorph thermodynamic stability.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Density-functional-theory (DFT) calculations were performed as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necessary using the projector augmented wave (PAW) method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17</w:t>
      </w:r>
      <w:r>
        <w:rPr>
          <w:w w:val="97.89984042827899"/>
          <w:rFonts w:ascii="AdvOT2e364b11" w:hAnsi="AdvOT2e364b11" w:eastAsia="AdvOT2e364b11"/>
          <w:b w:val="0"/>
          <w:i w:val="0"/>
          <w:color w:val="000000"/>
          <w:sz w:val="13"/>
        </w:rPr>
        <w:t>,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 xml:space="preserve">18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as implemented in the Vienna Ab Initio Simulation Package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(VASP)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19</w:t>
      </w:r>
      <w:r>
        <w:rPr>
          <w:w w:val="97.89984042827899"/>
          <w:rFonts w:ascii="AdvOT2e364b11" w:hAnsi="AdvOT2e364b11" w:eastAsia="AdvOT2e364b11"/>
          <w:b w:val="0"/>
          <w:i w:val="0"/>
          <w:color w:val="000000"/>
          <w:sz w:val="13"/>
        </w:rPr>
        <w:t>,</w:t>
      </w:r>
      <w:r>
        <w:rPr>
          <w:w w:val="97.89984042827899"/>
          <w:rFonts w:ascii="AdvOT2e364b11" w:hAnsi="AdvOT2e364b11" w:eastAsia="AdvOT2e364b11"/>
          <w:b w:val="0"/>
          <w:i w:val="0"/>
          <w:color w:val="1B4BA0"/>
          <w:sz w:val="13"/>
        </w:rPr>
        <w:t>20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within the Perdew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Burke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Enzerhof (PBE) Generalized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Gradient Approximation (GGA) formulation of the exchange-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13088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10.1021/acsami.6b01630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32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42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Ni, Co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Fe, and Zr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Ti, which all exhibit more than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ve similar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polymorph structures within the given energy range. The binary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titanium oxides show an exceptionally high degree of common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polymorphism with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although we caution that this result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may be somewhat skewed by the high degree of interest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these systems (e.g., more structures reported and explored) due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their electronic and magnetic versatility as a function of small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structural changes. Given the large number of similar structures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common to the titanium and vanadium oxides, we select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system as a basis for homostructural growth, as well as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good benchmark. In natural minerals,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has three well-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known polymorphs, i.e., anatase, rutile, and brookite.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columbite structure of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also found in suevite from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</w:t>
      </w:r>
      <w:r>
        <w:rPr>
          <w:rFonts w:ascii="03" w:hAnsi="03" w:eastAsia="03"/>
          <w:b w:val="0"/>
          <w:i w:val="0"/>
          <w:color w:val="000000"/>
          <w:sz w:val="20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rdlinger Ries crater which was likely formed under impact-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induced high-pressure conditions.</w:t>
      </w:r>
    </w:p>
    <w:p>
      <w:pPr>
        <w:autoSpaceDN w:val="0"/>
        <w:autoSpaceDE w:val="0"/>
        <w:widowControl/>
        <w:spacing w:line="220" w:lineRule="exact" w:before="0" w:after="0"/>
        <w:ind w:left="0" w:right="2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Using DFT, we computationally relaxed the aforementioned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high-symmetry polymorphs of interest for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: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rutile, A and B phases (experimentally observed for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),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well as anatase, brookite, and columbite (experimentally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observed for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but not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). First, to obtain a sense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accessible energy scale through various synthesis techniques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 compare the calculated thermodynamic stability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available evidence of successful synthesis, for both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shows the relative bulk formation energies (at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= 0) for the various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structures and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 For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PBE-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DFT erroneously predicts anatase (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3.51 eV/atom) as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ground state at zero pressure. This is well within the standard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DFT error on formation energies for oxides which is normally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distributed with a mean of zero and a standard deviation of 25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meV/atom.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27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other three naturally occurring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polymorphs, i.e., rutile, brookite, and columbite, are close 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energy, about 15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30 meV/atom higher than anatase. These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results are consistent with previous examinations of the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system.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28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We now turn to the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family of polymorphs.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Because the strong lattice correspondence between the rutile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M1 phase and the small lattice expansion observed (1%),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 xml:space="preserve">29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 will in this work consider them as one system, referred to 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</w:t>
      </w:r>
      <w:r>
        <w:rPr>
          <w:rFonts w:ascii="20" w:hAnsi="20" w:eastAsia="20"/>
          <w:b w:val="0"/>
          <w:i w:val="0"/>
          <w:color w:val="000000"/>
          <w:sz w:val="20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R/M</w:t>
      </w:r>
      <w:r>
        <w:rPr>
          <w:rFonts w:ascii="20" w:hAnsi="20" w:eastAsia="20"/>
          <w:b w:val="0"/>
          <w:i w:val="0"/>
          <w:color w:val="000000"/>
          <w:sz w:val="20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phase. Among the polymorphs considered for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system, the R/M phase exhibits the lowest formation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energy (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2.48 eV/atom). Brookite and columbite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have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comparable formation energies, which are about 20 meV/atom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higher than that of the R/M phase, whereas anatase has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higher relative energy (about 60 meV/atom). These results are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also consistent with previous studies, which assessed the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formation energies in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prototype structures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for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range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functionals.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30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further evaluate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correlation between accessibility (e.g., successful synthesis)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calculated zero Kelvin energy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erence, we also present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results of the A and B phases. Our calculations show that the B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 is similar in energy to the brookite and columbite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structures, while the energy of the A phase is higher than all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other structures considered here (about 80 meV/atom higher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than the rutile structure). Comparing the energy range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polymorph space with evidence of successful synthesis (at some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conditions) provides us with a estimated</w:t>
      </w:r>
      <w:r>
        <w:rPr>
          <w:rFonts w:ascii="20" w:hAnsi="20" w:eastAsia="20"/>
          <w:b w:val="0"/>
          <w:i w:val="0"/>
          <w:color w:val="000000"/>
          <w:sz w:val="20"/>
        </w:rPr>
        <w:t xml:space="preserve"> “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accessible energy</w:t>
      </w:r>
      <w:r>
        <w:rPr>
          <w:rFonts w:ascii="20" w:hAnsi="20" w:eastAsia="20"/>
          <w:b w:val="0"/>
          <w:i w:val="0"/>
          <w:color w:val="000000"/>
          <w:sz w:val="20"/>
        </w:rPr>
        <w:t>”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scale. For example, we note that the metastable A phase has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been successfully synthesized using hydrothermal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14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physical vapor deposition techniques.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Hence, the present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results indicate, rather encouragingly, that a large exploration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energy window of metastability (up to 80 meV/atom including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potential inaccuracies in DFT) may be overcome using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customized synthesis techniques and conditions. Speci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cally,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we note that any failure of DFT to obtain the correct ground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13089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10.1021/acsami.6b01630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2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2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808729" cy="225425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8729" cy="2254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4" w:lineRule="exact" w:before="248" w:after="120"/>
        <w:ind w:left="0" w:right="0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3.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 Calculated minimal coincident interface area for substrate and VO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polymorph pairs and (b) corresponding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lm strain energy.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orientation of the target</w:t>
      </w:r>
      <w:r>
        <w:rPr>
          <w:rFonts w:ascii="fb" w:hAnsi="fb" w:eastAsia="fb"/>
          <w:b w:val="0"/>
          <w:i w:val="0"/>
          <w:color w:val="000000"/>
          <w:sz w:val="18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lm is labeled with the corresponding Miller index in (a).</w:t>
      </w: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92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lattices within a given strain constraint. This approach is an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improvement from traditional lattice parameter matching,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is is not applicable for systems where the epitaxial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layer has a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orientation, or a completely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erent crystal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structure, than the substrate. Additionally, while devoid of any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chemical interaction between the target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and substrate,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model provides a rapid and robust geometrical screening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we select it for implementation in pymatgen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(the open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python-based analysis software adopted for MP)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dissemination within the Materials Project Design environ-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ment. In this process, we take advantage of existing surface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modules and symmetry operations within pymatgen to generate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all possible surface orientations of Miller index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hkl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below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certain cuto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terminations.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34</w:t>
      </w:r>
      <w:r>
        <w:rPr>
          <w:w w:val="101.00952557155065"/>
          <w:rFonts w:ascii="AdvOT2e364b11" w:hAnsi="AdvOT2e364b11" w:eastAsia="AdvOT2e364b11"/>
          <w:b w:val="0"/>
          <w:i w:val="0"/>
          <w:color w:val="000000"/>
          <w:sz w:val="14"/>
        </w:rPr>
        <w:t>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39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candidate substrates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 be automatically selected from the Materials Project or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generated from an external list. To accommodate a lattice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match within the Zur and McGill model,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is considered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 be strained within the epitaxial plane. Hereafter, we will refer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to this epitaxial plane as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plane. If we assume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substrate surface is rigid with no structural relaxation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perpendicular to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plane, the strain energy (</w:t>
      </w:r>
      <w:r>
        <w:rPr>
          <w:rFonts w:ascii="03" w:hAnsi="03" w:eastAsia="03"/>
          <w:b w:val="0"/>
          <w:i w:val="0"/>
          <w:color w:val="000000"/>
          <w:sz w:val="20"/>
        </w:rPr>
        <w:t>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imposed on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can be expressed as</w:t>
      </w:r>
      <w:r>
        <w:rPr>
          <w:rFonts w:ascii="03" w:hAnsi="03" w:eastAsia="03"/>
          <w:b w:val="0"/>
          <w:i w:val="0"/>
          <w:color w:val="000000"/>
          <w:sz w:val="20"/>
        </w:rPr>
        <w:t xml:space="preserve"> 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=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 xml:space="preserve"> ·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where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V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the volume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 per atom and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is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strain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energy density induced in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x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plane. Here, we adopt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recently developed elastic constant (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ijkl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high-throughput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computation framework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within the Materials Project which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allows for an easy estimate of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e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x</w:t>
      </w:r>
      <w:r>
        <w:rPr>
          <w:w w:val="103.07692014254057"/>
          <w:rFonts w:ascii="22" w:hAnsi="22" w:eastAsia="22"/>
          <w:b w:val="0"/>
          <w:i w:val="0"/>
          <w:color w:val="000000"/>
          <w:sz w:val="13"/>
        </w:rPr>
        <w:t>−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y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  <w:gridCol w:w="721"/>
      </w:tblGrid>
      <w:tr>
        <w:trPr>
          <w:trHeight w:hRule="exact" w:val="310"/>
        </w:trPr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86" w:after="0"/>
              <w:ind w:left="0" w:right="0" w:firstLine="0"/>
              <w:jc w:val="right"/>
            </w:pP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>e</w:t>
            </w:r>
          </w:p>
        </w:tc>
        <w:tc>
          <w:tcPr>
            <w:tcW w:type="dxa" w:w="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8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/>
                <w:color w:val="000000"/>
                <w:sz w:val="14"/>
              </w:rPr>
              <w:t>x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2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14"/>
              </w:rPr>
              <w:t>−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8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/>
                <w:color w:val="000000"/>
                <w:sz w:val="14"/>
              </w:rPr>
              <w:t>y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50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=</w:t>
            </w:r>
          </w:p>
        </w:tc>
        <w:tc>
          <w:tcPr>
            <w:tcW w:type="dxa" w:w="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86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>V</w:t>
            </w:r>
          </w:p>
        </w:tc>
        <w:tc>
          <w:tcPr>
            <w:tcW w:type="dxa" w:w="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150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>·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60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  <w:u w:val="single"/>
              </w:rPr>
              <w:t>1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12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/>
                <w:color w:val="000000"/>
                <w:sz w:val="20"/>
              </w:rPr>
              <w:t xml:space="preserve">C </w:t>
            </w:r>
            <w:r>
              <w:rPr>
                <w:rFonts w:ascii="ArnoPro" w:hAnsi="ArnoPro" w:eastAsia="ArnoPro"/>
                <w:b w:val="0"/>
                <w:i/>
                <w:color w:val="000000"/>
                <w:sz w:val="14"/>
              </w:rPr>
              <w:t xml:space="preserve">ijkl ij </w:t>
            </w: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 xml:space="preserve">* ϵ </w:t>
            </w:r>
            <w:r>
              <w:rPr>
                <w:rFonts w:ascii="ArnoPro" w:hAnsi="ArnoPro" w:eastAsia="ArnoPro"/>
                <w:b w:val="0"/>
                <w:i/>
                <w:color w:val="000000"/>
                <w:sz w:val="14"/>
              </w:rPr>
              <w:t>x</w:t>
            </w:r>
          </w:p>
        </w:tc>
        <w:tc>
          <w:tcPr>
            <w:tcW w:type="dxa" w:w="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2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14"/>
              </w:rPr>
              <w:t>−</w:t>
            </w:r>
          </w:p>
        </w:tc>
        <w:tc>
          <w:tcPr>
            <w:tcW w:type="dxa" w:w="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8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/>
                <w:color w:val="000000"/>
                <w:sz w:val="14"/>
              </w:rPr>
              <w:t>y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0" w:lineRule="exact" w:before="70" w:after="0"/>
              <w:ind w:left="0" w:right="0" w:firstLine="0"/>
              <w:jc w:val="center"/>
            </w:pPr>
            <w:r>
              <w:rPr>
                <w:rFonts w:ascii="STIXGeneral" w:hAnsi="STIXGeneral" w:eastAsia="STIXGeneral"/>
                <w:b w:val="0"/>
                <w:i w:val="0"/>
                <w:color w:val="000000"/>
                <w:sz w:val="20"/>
              </w:rPr>
              <w:t xml:space="preserve">ϵ </w:t>
            </w:r>
            <w:r>
              <w:rPr>
                <w:rFonts w:ascii="ArnoPro" w:hAnsi="ArnoPro" w:eastAsia="ArnoPro"/>
                <w:b w:val="0"/>
                <w:i/>
                <w:color w:val="000000"/>
                <w:sz w:val="14"/>
              </w:rPr>
              <w:t xml:space="preserve">kl </w:t>
            </w:r>
            <w:r>
              <w:rPr>
                <w:rFonts w:ascii="ArnoPro" w:hAnsi="ArnoPro" w:eastAsia="ArnoPro"/>
                <w:b w:val="0"/>
                <w:i/>
                <w:color w:val="000000"/>
                <w:sz w:val="14"/>
              </w:rPr>
              <w:t>x</w:t>
            </w:r>
            <w:r>
              <w:rPr>
                <w:rFonts w:ascii="STIXGeneral" w:hAnsi="STIXGeneral" w:eastAsia="STIXGeneral"/>
                <w:b w:val="0"/>
                <w:i w:val="0"/>
                <w:color w:val="000000"/>
                <w:sz w:val="14"/>
              </w:rPr>
              <w:t>−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4" w:after="0"/>
              <w:ind w:left="18" w:right="0" w:firstLine="0"/>
              <w:jc w:val="left"/>
            </w:pPr>
            <w:r>
              <w:rPr>
                <w:rFonts w:ascii="ArnoPro" w:hAnsi="ArnoPro" w:eastAsia="ArnoPro"/>
                <w:b w:val="0"/>
                <w:i/>
                <w:color w:val="000000"/>
                <w:sz w:val="14"/>
              </w:rPr>
              <w:t>y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340" w:after="0"/>
              <w:ind w:left="0" w:right="10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8"/>
              </w:rPr>
              <w:t>(1)</w:t>
            </w:r>
          </w:p>
        </w:tc>
      </w:tr>
      <w:tr>
        <w:trPr>
          <w:trHeight w:hRule="exact" w:val="340"/>
        </w:trPr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30" w:after="0"/>
              <w:ind w:left="0" w:right="0" w:firstLine="0"/>
              <w:jc w:val="center"/>
            </w:pPr>
            <w:r>
              <w:rPr>
                <w:rFonts w:ascii="ArnoPro" w:hAnsi="ArnoPro" w:eastAsia="ArnoPro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  <w:tc>
          <w:tcPr>
            <w:tcW w:type="dxa" w:w="72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2" w:lineRule="exact" w:before="114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where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ijkl</w:t>
      </w:r>
      <w:r>
        <w:rPr>
          <w:rFonts w:ascii="AdvOT8608a8d1" w:hAnsi="AdvOT8608a8d1" w:eastAsia="AdvOT8608a8d1"/>
          <w:b w:val="0"/>
          <w:i w:val="0"/>
          <w:color w:val="000000"/>
          <w:sz w:val="20"/>
        </w:rPr>
        <w:t>*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is obtained by the transformation of the fourth-order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tensor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C</w:t>
      </w:r>
      <w:r>
        <w:rPr>
          <w:w w:val="103.07692014254057"/>
          <w:rFonts w:ascii="AdvOT02ce3bbb.I" w:hAnsi="AdvOT02ce3bbb.I" w:eastAsia="AdvOT02ce3bbb.I"/>
          <w:b w:val="0"/>
          <w:i w:val="0"/>
          <w:color w:val="000000"/>
          <w:sz w:val="13"/>
        </w:rPr>
        <w:t>ijkl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into the new lattice orientation correspondence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between the substrate and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lm. Through this procedure, we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can preliminarily identify appropriate substrates and the lattice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orientations that geometrically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 the target polymorph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as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function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strain energy. We note that there is a DFT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error a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ecting the energy ordering of systems as previously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witnessed in the formation energies for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DFT evaluations of the elastic tensor are relatively accurate,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within 15% of the experimental value,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22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and will at worst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contain a systematic error that should have a small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ect in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overall ranking of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erent substrates for epitaxy.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13090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10.1021/acsami.6b01630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7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substrate through pulsed laser deposition and that the obtained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 selectivity depended on the oxygen pressure and laser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frequency. Considering the next substrate, (111)-MgO, we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only large MCIA (495 and 449 Å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 for the A or B phases,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respectively, while the R/M phase yields relatively low values of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MCIA (155 Å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) and strain energy</w:t>
      </w:r>
      <w:r>
        <w:rPr>
          <w:rFonts w:ascii="03" w:hAnsi="03" w:eastAsia="03"/>
          <w:b w:val="0"/>
          <w:i w:val="0"/>
          <w:color w:val="000000"/>
          <w:sz w:val="20"/>
        </w:rPr>
        <w:t>Δ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E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s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(3 meV/atom). This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again corroborated by available experiments: radio frequency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sputtering techniques were utilized to deposit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on (111)-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MgO and (111)-LaAlO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followed by annealing, which both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present R/M structured epitaxial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lms.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For (111)-LaAlO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our results suggest that none of the three polymorphs can be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easily grown epitaxially due to relatively large values of MICA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and strain energy. Experimentally,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40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R/M phase was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observed which could either be a result of a small interfacial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bu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 phase, or an indication of limiting factors (surface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defects, interfacial chemistry) in the current model. Lastly, our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model predicts that a (0001)-Al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(sapphire) substrate should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favor epitaxial growth of a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 phase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lm, however R/M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frequently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found. Interestingly, it is worth noticing that Zhou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et al.</w:t>
      </w:r>
      <w:r>
        <w:rPr>
          <w:w w:val="101.00952557155065"/>
          <w:rFonts w:ascii="AdvOT2e364b11" w:hAnsi="AdvOT2e364b11" w:eastAsia="AdvOT2e364b11"/>
          <w:b w:val="0"/>
          <w:i w:val="0"/>
          <w:color w:val="1B4BA0"/>
          <w:sz w:val="14"/>
        </w:rPr>
        <w:t>41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did observe a transition or bu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er layer at the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/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(0001)-Al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interface, indicating that a direct epitaxial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relationship may not exist between the substrate and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epitaxially grown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lm. A bu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 layer is likely to favor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ground state, in this case the R/M phase, which explains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apparent mismatch between the theoretical prediction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experimental results. Overall, we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 that the current model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which incorporates a geometric unit cell area matching between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the substrate and the target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as well as the resulting strain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energy density of the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provide qualitative agreement with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experimental observations, though a detailed nature of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lattice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substrate interface, e.g., the atomic orientation,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termination preference, and chemical character etc., requires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further research e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orts.</w:t>
      </w:r>
    </w:p>
    <w:p>
      <w:pPr>
        <w:autoSpaceDN w:val="0"/>
        <w:autoSpaceDE w:val="0"/>
        <w:widowControl/>
        <w:spacing w:line="224" w:lineRule="exact" w:before="34" w:after="0"/>
        <w:ind w:left="0" w:right="20" w:firstLine="178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Finally, with the ultimate goal of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 new polymorphs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through targeted synthesis conditions and techniques,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aforementioned approach can also act as a preliminary substrate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selector for any target phase and any given pool of substrate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materials. In the case of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we are interested in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nding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appropriate substrates for growing the hitherto hypothetical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anatase, brookite, and columbite polymorphs. Hence, we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collected and screened 66 commonly used single-crystalline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substrates (as listed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Table 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), where the lattice information 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taken from the calculated compounds in the Materials Project.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Figure 4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maps the MCIA and the corresponding elastic strain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energy for all possible orientation relationships between the A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and the 66 considered substrates. First of all, we</w:t>
      </w:r>
    </w:p>
    <w:p>
      <w:pPr>
        <w:autoSpaceDN w:val="0"/>
        <w:autoSpaceDE w:val="0"/>
        <w:widowControl/>
        <w:spacing w:line="258" w:lineRule="exact" w:before="164" w:after="146"/>
        <w:ind w:left="0" w:right="432" w:firstLine="0"/>
        <w:jc w:val="left"/>
      </w:pPr>
      <w:r>
        <w:rPr>
          <w:rFonts w:ascii="AdvOT51c1769e" w:hAnsi="AdvOT51c1769e" w:eastAsia="AdvOT51c1769e"/>
          <w:b w:val="0"/>
          <w:i w:val="0"/>
          <w:color w:val="000000"/>
          <w:sz w:val="20"/>
        </w:rPr>
        <w:t xml:space="preserve">Table 2. All Heteroepitaxy Substrates Considered and </w:t>
      </w:r>
      <w:r>
        <w:rPr>
          <w:rFonts w:ascii="AdvOT51c1769e" w:hAnsi="AdvOT51c1769e" w:eastAsia="AdvOT51c1769e"/>
          <w:b w:val="0"/>
          <w:i w:val="0"/>
          <w:color w:val="000000"/>
          <w:sz w:val="20"/>
        </w:rPr>
        <w:t>Analyzed for the Growth of VO</w:t>
      </w:r>
      <w:r>
        <w:rPr>
          <w:w w:val="103.07692014254057"/>
          <w:rFonts w:ascii="AdvOT51c1769e" w:hAnsi="AdvOT51c1769e" w:eastAsia="AdvOT51c1769e"/>
          <w:b w:val="0"/>
          <w:i w:val="0"/>
          <w:color w:val="000000"/>
          <w:sz w:val="13"/>
        </w:rPr>
        <w:t>2</w:t>
      </w:r>
      <w:r>
        <w:rPr>
          <w:rFonts w:ascii="AdvOT51c1769e" w:hAnsi="AdvOT51c1769e" w:eastAsia="AdvOT51c1769e"/>
          <w:b w:val="0"/>
          <w:i w:val="0"/>
          <w:color w:val="000000"/>
          <w:sz w:val="20"/>
        </w:rPr>
        <w:t xml:space="preserve"> Polymorphs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0.0" w:type="dxa"/>
      </w:tblPr>
      <w:tblGrid>
        <w:gridCol w:w="2020"/>
        <w:gridCol w:w="2020"/>
        <w:gridCol w:w="2020"/>
        <w:gridCol w:w="2020"/>
        <w:gridCol w:w="2020"/>
      </w:tblGrid>
      <w:tr>
        <w:trPr>
          <w:trHeight w:hRule="exact" w:val="2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7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La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Be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5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BaAl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6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ZnO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KTiAsO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5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134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Y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Al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12</w:t>
            </w:r>
          </w:p>
        </w:tc>
      </w:tr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Fe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8" w:after="0"/>
              <w:ind w:left="19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CdTe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19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SrTiO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LaAlO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20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TiO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</w:p>
        </w:tc>
      </w:tr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YVO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Li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4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7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Ba(NO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8" w:after="0"/>
              <w:ind w:left="0" w:right="530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Au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8" w:after="0"/>
              <w:ind w:left="20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AlN</w:t>
            </w:r>
          </w:p>
        </w:tc>
      </w:tr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Bi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Te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19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CaF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6" w:after="0"/>
              <w:ind w:left="19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CdS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BaTiO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20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Ge(Bi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4</w:t>
            </w:r>
          </w:p>
        </w:tc>
      </w:tr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MoSe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19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MgF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19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KTaO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6" w:after="0"/>
              <w:ind w:left="0" w:right="412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GaN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20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Ge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(BiO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)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4</w:t>
            </w:r>
          </w:p>
        </w:tc>
      </w:tr>
      <w:tr>
        <w:trPr>
          <w:trHeight w:hRule="exact" w:val="235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LiNbO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4" w:after="0"/>
              <w:ind w:left="19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PbS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Gd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Ga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5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12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4" w:after="0"/>
              <w:ind w:left="0" w:right="526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Ge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MgAl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4</w:t>
            </w:r>
          </w:p>
        </w:tc>
      </w:tr>
      <w:tr>
        <w:trPr>
          <w:trHeight w:hRule="exact" w:val="222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PbWO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6" w:after="0"/>
              <w:ind w:left="19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CaAs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19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YAlO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LiTaO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16" w:after="0"/>
              <w:ind w:left="20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Fe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4</w:t>
            </w:r>
          </w:p>
        </w:tc>
      </w:tr>
      <w:tr>
        <w:trPr>
          <w:trHeight w:hRule="exact" w:val="201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GaSb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19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GaP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19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ZnTe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" w:after="0"/>
              <w:ind w:left="0" w:right="552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KI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" w:after="0"/>
              <w:ind w:left="20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LiAlO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</w:p>
        </w:tc>
      </w:tr>
      <w:tr>
        <w:trPr>
          <w:trHeight w:hRule="exact" w:val="235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0" w:after="0"/>
              <w:ind w:left="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Mg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SiO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CaTiO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Ba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YCu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7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0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GdScO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30" w:after="0"/>
              <w:ind w:left="20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KBr</w:t>
            </w:r>
          </w:p>
        </w:tc>
      </w:tr>
      <w:tr>
        <w:trPr>
          <w:trHeight w:hRule="exact" w:val="218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AlNi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6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TbScO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6" w:after="0"/>
              <w:ind w:left="19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DyScO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" w:after="0"/>
              <w:ind w:left="0" w:right="496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LiF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6" w:after="0"/>
              <w:ind w:left="20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LaF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</w:tr>
      <w:tr>
        <w:trPr>
          <w:trHeight w:hRule="exact" w:val="188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BaF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19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KCl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19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ZnGeP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0" w:right="488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InP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2" w:after="0"/>
              <w:ind w:left="20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Cu</w:t>
            </w:r>
          </w:p>
        </w:tc>
      </w:tr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NaCl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19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ZnSe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19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Ni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0" w:right="0" w:firstLine="0"/>
              <w:jc w:val="center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CdWO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4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6" w:after="0"/>
              <w:ind w:left="20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LiGaO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</w:p>
        </w:tc>
      </w:tr>
      <w:tr>
        <w:trPr>
          <w:trHeight w:hRule="exact" w:val="218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6" w:after="0"/>
              <w:ind w:left="94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Bi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Se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6" w:after="0"/>
              <w:ind w:left="198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Ag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6" w:after="0"/>
              <w:ind w:left="19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MoS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6" w:after="0"/>
              <w:ind w:left="0" w:right="352" w:firstLine="0"/>
              <w:jc w:val="righ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Al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O</w:t>
            </w:r>
            <w:r>
              <w:rPr>
                <w:w w:val="97.44909459894355"/>
                <w:rFonts w:ascii="AdvOT2e364b11" w:hAnsi="AdvOT2e364b11" w:eastAsia="AdvOT2e364b11"/>
                <w:b w:val="0"/>
                <w:i w:val="0"/>
                <w:color w:val="000000"/>
                <w:sz w:val="11"/>
              </w:rPr>
              <w:t>3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6" w:after="0"/>
              <w:ind w:left="202" w:right="0" w:firstLine="0"/>
              <w:jc w:val="left"/>
            </w:pPr>
            <w:r>
              <w:rPr>
                <w:rFonts w:ascii="AdvOT2e364b11" w:hAnsi="AdvOT2e364b11" w:eastAsia="AdvOT2e364b11"/>
                <w:b w:val="0"/>
                <w:i w:val="0"/>
                <w:color w:val="000000"/>
                <w:sz w:val="16"/>
              </w:rPr>
              <w:t>InSb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13091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10.1021/acsami.6b01630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70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search would identify the substrate, and ideally the plane, that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induces the largest strain energy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 between the desired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phase and ground state. Considering the 66 substrates in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Table 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, the most suitable substrate can be narrowed down to (011)-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YAlO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.</w:t>
      </w:r>
      <w:r>
        <w:rPr>
          <w:rFonts w:ascii="AdvOT2e364b11" w:hAnsi="AdvOT2e364b11" w:eastAsia="AdvOT2e364b11"/>
          <w:b w:val="0"/>
          <w:i w:val="0"/>
          <w:color w:val="1B4BA0"/>
          <w:sz w:val="20"/>
        </w:rPr>
        <w:t xml:space="preserve"> Figure 5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shows the total energy as a function of the</w:t>
      </w:r>
    </w:p>
    <w:p>
      <w:pPr>
        <w:autoSpaceDN w:val="0"/>
        <w:autoSpaceDE w:val="0"/>
        <w:widowControl/>
        <w:spacing w:line="240" w:lineRule="auto" w:before="2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48000" cy="23456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45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2" w:lineRule="exact" w:before="230" w:after="0"/>
        <w:ind w:left="0" w:right="22" w:firstLine="0"/>
        <w:jc w:val="both"/>
      </w:pPr>
      <w:r>
        <w:rPr>
          <w:rFonts w:ascii="AdvOT51c1769e" w:hAnsi="AdvOT51c1769e" w:eastAsia="AdvOT51c1769e"/>
          <w:b w:val="0"/>
          <w:i w:val="0"/>
          <w:color w:val="000000"/>
          <w:sz w:val="18"/>
        </w:rPr>
        <w:t>Figure 5.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Total energy of VO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polymorphs as strained on (110)-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YAlO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referenced to the unstrained rutile formation energy. The total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energy is the sum of the formation energy and the elastic strain energy.</w:t>
      </w: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Dashed red lines highlight one example of superlattice grouping.</w:t>
      </w:r>
    </w:p>
    <w:p>
      <w:pPr>
        <w:autoSpaceDN w:val="0"/>
        <w:autoSpaceDE w:val="0"/>
        <w:widowControl/>
        <w:spacing w:line="216" w:lineRule="exact" w:before="424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>epitaxial strain for the six polymorphs of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considered in this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study on (011)-YAlO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3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. The rutile phase is the lowest energy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phase up to 3.6% strain, above which columbite exhibits the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lowest energy. Hence, we predict that the (011)-YAlO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3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substrate enables a phase-stability cross over at a modest strain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of 3.6%, where columbite is promoted over the rutile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ground state. While the epitaxial constrain preferentially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stabilizes the columbite phase among the considered phases,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we also note that the energy di</w:t>
      </w:r>
      <w:r>
        <w:rPr>
          <w:rFonts w:ascii="fb" w:hAnsi="fb" w:eastAsia="fb"/>
          <w:b w:val="0"/>
          <w:i w:val="0"/>
          <w:color w:val="000000"/>
          <w:sz w:val="20"/>
        </w:rPr>
        <w:t>ff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erence between columbite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brookite is very small even up to 9% total strain, which may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limit the phase selectivity.</w:t>
      </w:r>
    </w:p>
    <w:p>
      <w:pPr>
        <w:autoSpaceDN w:val="0"/>
        <w:autoSpaceDE w:val="0"/>
        <w:widowControl/>
        <w:spacing w:line="238" w:lineRule="exact" w:before="164" w:after="0"/>
        <w:ind w:left="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27903A"/>
          <w:sz w:val="21"/>
        </w:rPr>
        <w:t>4. CONCLUSION</w:t>
      </w:r>
    </w:p>
    <w:p>
      <w:pPr>
        <w:autoSpaceDN w:val="0"/>
        <w:autoSpaceDE w:val="0"/>
        <w:widowControl/>
        <w:spacing w:line="222" w:lineRule="exact" w:before="66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In summary, driven by the need for rational polymorph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selection during synthesis, we present a computational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framework involving a combination of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rst-principles calcu-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lations of formation energy, elastic strain energy, and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topological lattice matching. Using the outlined framework,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 prescreen a set of optimal substrates for epitaxial growth,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given a target material and/or polymorph. In a simple scenario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we examine using homostructural growth selecting a chemically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similar system based on common polymorph statistics, lattice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matching, and energy above hull. Speci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cally, for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 xml:space="preserve">2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polymorphs, we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nd</w:t>
      </w:r>
      <w:r>
        <w:rPr>
          <w:rFonts w:ascii="e0" w:hAnsi="e0" w:eastAsia="e0"/>
          <w:b w:val="0"/>
          <w:i w:val="0"/>
          <w:color w:val="000000"/>
          <w:sz w:val="20"/>
        </w:rPr>
        <w:t>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not surprisingly</w:t>
      </w:r>
      <w:r>
        <w:rPr>
          <w:rFonts w:ascii="e0" w:hAnsi="e0" w:eastAsia="e0"/>
          <w:b w:val="0"/>
          <w:i w:val="0"/>
          <w:color w:val="000000"/>
          <w:sz w:val="20"/>
        </w:rPr>
        <w:t>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that TiO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substrates,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where the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brookite phase would be preferentially grown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on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a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c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plane while the columbite and anatase structures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favor growth on the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 xml:space="preserve"> a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AdvOT02ce3bbb.I" w:hAnsi="AdvOT02ce3bbb.I" w:eastAsia="AdvOT02ce3bbb.I"/>
          <w:b w:val="0"/>
          <w:i w:val="0"/>
          <w:color w:val="000000"/>
          <w:sz w:val="20"/>
        </w:rPr>
        <w:t>b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plane. To support a more general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selection scenario, we consider heterostructural growth, where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the pool of candidate substrates can generally comprise any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chemical system and the orientation relationship between the 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and the substrate is obtained through a set of criteria based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on the minimal interfacial geometry matching and estimated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strain energy as a function of the substrate</w:t>
      </w:r>
      <w:r>
        <w:rPr>
          <w:rFonts w:ascii="22" w:hAnsi="22" w:eastAsia="22"/>
          <w:b w:val="0"/>
          <w:i w:val="0"/>
          <w:color w:val="000000"/>
          <w:sz w:val="20"/>
        </w:rPr>
        <w:t>−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lm pair. 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Speci</w:t>
      </w:r>
      <w:r>
        <w:rPr>
          <w:rFonts w:ascii="fb" w:hAnsi="fb" w:eastAsia="fb"/>
          <w:b w:val="0"/>
          <w:i w:val="0"/>
          <w:color w:val="000000"/>
          <w:sz w:val="20"/>
        </w:rPr>
        <w:t>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cally, for the test case of VO</w:t>
      </w:r>
      <w:r>
        <w:rPr>
          <w:w w:val="103.07692014254057"/>
          <w:rFonts w:ascii="AdvOT2e364b11" w:hAnsi="AdvOT2e364b11" w:eastAsia="AdvOT2e364b11"/>
          <w:b w:val="0"/>
          <w:i w:val="0"/>
          <w:color w:val="000000"/>
          <w:sz w:val="13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 xml:space="preserve"> polymorphs we</w:t>
      </w:r>
      <w:r>
        <w:rPr>
          <w:rFonts w:ascii="fb" w:hAnsi="fb" w:eastAsia="fb"/>
          <w:b w:val="0"/>
          <w:i w:val="0"/>
          <w:color w:val="000000"/>
          <w:sz w:val="20"/>
        </w:rPr>
        <w:t xml:space="preserve"> fi</w:t>
      </w:r>
      <w:r>
        <w:rPr>
          <w:rFonts w:ascii="AdvOT2e364b11" w:hAnsi="AdvOT2e364b11" w:eastAsia="AdvOT2e364b11"/>
          <w:b w:val="0"/>
          <w:i w:val="0"/>
          <w:color w:val="000000"/>
          <w:sz w:val="20"/>
        </w:rPr>
        <w:t>nd that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13092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10.1021/acsami.6b01630</w:t>
          </w:r>
        </w:hyperlink>
      </w:r>
    </w:p>
    <w:p>
      <w:pPr>
        <w:sectPr>
          <w:type w:val="nextColumn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050"/>
        <w:gridCol w:w="5050"/>
      </w:tblGrid>
      <w:tr>
        <w:trPr>
          <w:trHeight w:hRule="exact" w:val="206"/>
        </w:trPr>
        <w:tc>
          <w:tcPr>
            <w:tcW w:type="dxa" w:w="8864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0" w:right="0" w:firstLine="0"/>
              <w:jc w:val="left"/>
            </w:pPr>
            <w:r>
              <w:rPr>
                <w:rFonts w:ascii="AdvOTce3d9a73" w:hAnsi="AdvOTce3d9a73" w:eastAsia="AdvOTce3d9a73"/>
                <w:b w:val="0"/>
                <w:i w:val="0"/>
                <w:color w:val="27903A"/>
                <w:sz w:val="20"/>
              </w:rPr>
              <w:t>ACS Applied Materials &amp; Interfaces</w:t>
            </w:r>
          </w:p>
        </w:tc>
        <w:tc>
          <w:tcPr>
            <w:tcW w:type="dxa" w:w="1216"/>
            <w:tcBorders>
              <w:bottom w:sz="4.0" w:val="single" w:color="#000000"/>
            </w:tcBorders>
            <w:shd w:fill="27903a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16"/>
            </w:tblGrid>
            <w:tr>
              <w:trPr>
                <w:trHeight w:hRule="exact" w:val="200"/>
              </w:trPr>
              <w:tc>
                <w:tcPr>
                  <w:tcW w:type="dxa" w:w="1216"/>
                  <w:tcBorders/>
                  <w:shd w:fill="27903a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30" w:after="0"/>
                    <w:ind w:left="0" w:right="0" w:firstLine="0"/>
                    <w:jc w:val="left"/>
                  </w:pPr>
                  <w:r>
                    <w:rPr>
                      <w:rFonts w:ascii="AdvOT46dcae81" w:hAnsi="AdvOT46dcae81" w:eastAsia="AdvOT46dcae81"/>
                      <w:b w:val="0"/>
                      <w:i w:val="0"/>
                      <w:color w:val="FFFFFF"/>
                      <w:sz w:val="16"/>
                    </w:rPr>
                    <w:t>Research Article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164"/>
        <w:ind w:left="0" w:right="0"/>
      </w:pPr>
    </w:p>
    <w:p>
      <w:pPr>
        <w:sectPr>
          <w:pgSz w:w="12509" w:h="16367"/>
          <w:pgMar w:top="468" w:right="1198" w:bottom="308" w:left="1210" w:header="720" w:footer="720" w:gutter="0"/>
          <w:cols w:space="720" w:num="1" w:equalWidth="0"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20" w:firstLine="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method for determining phase and orientation relationships and its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application to BiFeO3/TiO2 heterostructures.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Acta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6486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6493.</w:t>
      </w:r>
    </w:p>
    <w:p>
      <w:pPr>
        <w:autoSpaceDN w:val="0"/>
        <w:autoSpaceDE w:val="0"/>
        <w:widowControl/>
        <w:spacing w:line="202" w:lineRule="exact" w:before="0" w:after="0"/>
        <w:ind w:left="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(9) Havelia, S.; Wang, S.; Balasubramaniam, K.; Schultz, A. M.;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Rohrer, G. S.; Salvador, P. A. Combinatorial substrate epitaxy: a new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approach to growth of complex metastable compounds.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CrystEng-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Comm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5434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5441.</w:t>
      </w:r>
    </w:p>
    <w:p>
      <w:pPr>
        <w:autoSpaceDN w:val="0"/>
        <w:autoSpaceDE w:val="0"/>
        <w:widowControl/>
        <w:spacing w:line="202" w:lineRule="exact" w:before="0" w:after="0"/>
        <w:ind w:left="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(10) Mehta, P.; Salvador, P. A.; Kitchin, J. R. Identifying Potential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BO2 Oxide Polymorphs for Epitaxial Growth Candidates.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ACS Appl.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Mater. Interfaces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3630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3639.</w:t>
      </w:r>
    </w:p>
    <w:p>
      <w:pPr>
        <w:autoSpaceDN w:val="0"/>
        <w:autoSpaceDE w:val="0"/>
        <w:widowControl/>
        <w:spacing w:line="202" w:lineRule="exact" w:before="0" w:after="0"/>
        <w:ind w:left="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(11) Qazilbash, M. M.; Brehm, M.; Chae, B.-G.; Ho, P.-C.; Andreev,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G. O.; Kim, B.-J.; Yun, S. J.; Balatsky, A.; Maple, M.; Keilmann, F.;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et al. Mott transition in VO2 revealed by infrared spectroscopy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nano-imaging.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Science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1750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1753.</w:t>
      </w:r>
    </w:p>
    <w:p>
      <w:pPr>
        <w:autoSpaceDN w:val="0"/>
        <w:autoSpaceDE w:val="0"/>
        <w:widowControl/>
        <w:spacing w:line="202" w:lineRule="exact" w:before="0" w:after="0"/>
        <w:ind w:left="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(12) Appavoo, K.; Lei, D. Y.; Sonnefraud, Y.; Wang, B.; Pantelides, S.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T.; Maier, S. A.; Haglund, R. F., Jr. Role of defects in the phase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transition of VO2 nanoparticles probed by plasmon resonance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spectroscopy.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Nano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780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786.</w:t>
      </w:r>
    </w:p>
    <w:p>
      <w:pPr>
        <w:autoSpaceDN w:val="0"/>
        <w:autoSpaceDE w:val="0"/>
        <w:widowControl/>
        <w:spacing w:line="202" w:lineRule="exact" w:before="0" w:after="0"/>
        <w:ind w:left="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(13) Kim, M.-W.; Jung, W.-G.; Cho, H.; Bae, T.-S.; Chang, S.-J.; Jang,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J.-S.; Hong, W.-K.; Kim, B.-J. Substrate-mediated strain effect on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role of thermal heating and electric field on metal-insulator transition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 vanadium dioxide nanobeams.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Sci. Rep.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10861.</w:t>
      </w:r>
    </w:p>
    <w:p>
      <w:pPr>
        <w:autoSpaceDN w:val="0"/>
        <w:tabs>
          <w:tab w:pos="80" w:val="left"/>
        </w:tabs>
        <w:autoSpaceDE w:val="0"/>
        <w:widowControl/>
        <w:spacing w:line="204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(14) Theobald, F. Etude hydrothermale du systme VO2-VO2,5-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H2O.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Less-Common Met.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1977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55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71. cited by 46.</w:t>
      </w:r>
    </w:p>
    <w:p>
      <w:pPr>
        <w:autoSpaceDN w:val="0"/>
        <w:autoSpaceDE w:val="0"/>
        <w:widowControl/>
        <w:spacing w:line="202" w:lineRule="exact" w:before="0" w:after="0"/>
        <w:ind w:left="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(15) Oka, Y.; Ohtani, T.; Yamamoto, N.; Takada, T. Phase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Transition and Electrical Properties of VO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(A).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Nippon Seramikkusu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Kyokai Gakujutsu Ronbunshi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1989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97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1134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1137.</w:t>
      </w:r>
    </w:p>
    <w:p>
      <w:pPr>
        <w:autoSpaceDN w:val="0"/>
        <w:autoSpaceDE w:val="0"/>
        <w:widowControl/>
        <w:spacing w:line="202" w:lineRule="exact" w:before="0" w:after="0"/>
        <w:ind w:left="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(16) Jain, A.; Ong, S. P.; Hautier, G.; Chen, W.; Richards, W. D.;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Dacek, S.; Cholia, S.; Gunter, D.; Skinner, D.; Ceder, G.; Persson, K. a.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The Materials Project: A materials genome approach to accelerating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materials innovation.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APL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011002.</w:t>
      </w:r>
    </w:p>
    <w:p>
      <w:pPr>
        <w:autoSpaceDN w:val="0"/>
        <w:tabs>
          <w:tab w:pos="80" w:val="left"/>
        </w:tabs>
        <w:autoSpaceDE w:val="0"/>
        <w:widowControl/>
        <w:spacing w:line="204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>(17) Blo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chl, P. E. Projector augmented-wave method.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17953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17979.</w:t>
      </w:r>
    </w:p>
    <w:p>
      <w:pPr>
        <w:autoSpaceDN w:val="0"/>
        <w:autoSpaceDE w:val="0"/>
        <w:widowControl/>
        <w:spacing w:line="202" w:lineRule="exact" w:before="0" w:after="0"/>
        <w:ind w:left="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(18) Kresse, G.; Joubert, D. From ultrasoft pseudopotentials to the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projector augmented-wave method.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Condens. Matter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59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1758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1775.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(19) Kresse, G.; Hafner, J. Ab initio molecular dynamics for liquid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metals.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47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558.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(20) Kresse, G.; Furthmu</w:t>
      </w:r>
      <w:r>
        <w:rPr>
          <w:rFonts w:ascii="03" w:hAnsi="03" w:eastAsia="03"/>
          <w:b w:val="0"/>
          <w:i w:val="0"/>
          <w:color w:val="000000"/>
          <w:sz w:val="18"/>
        </w:rPr>
        <w:t>̈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ller, J. Efficient iterative schemes for ab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initio total-energy calculations using a plane-wave basis set.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>B: 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54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11169.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(21) Perdew, J. P.; Burke, K.; Ernzerhof, M. Generalized Gradient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Approximation Made Simple.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Lett.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1996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77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3865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3868.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(22) de Jong, M.; Chen, W.; Angsten, T.; Jain, A.; Notestine, R.;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Gamst, A.; Sluiter, M.; Krishna Ande, C.; van der Zwaag, S.; Plata, J. J.;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et al. Charting the complete elastic properties of inorganic crystalline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compounds.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Sci. Data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150009.</w:t>
      </w:r>
    </w:p>
    <w:p>
      <w:pPr>
        <w:autoSpaceDN w:val="0"/>
        <w:autoSpaceDE w:val="0"/>
        <w:widowControl/>
        <w:spacing w:line="202" w:lineRule="exact" w:before="0" w:after="0"/>
        <w:ind w:left="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(23) Bavykin, D. V.; Friedrich, J. M.; Walsh, F. C. Protonated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titanates and TiO2 nanostructured materials: synthesis, properties, 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applications.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Adv.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2006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2807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2824.</w:t>
      </w:r>
    </w:p>
    <w:p>
      <w:pPr>
        <w:autoSpaceDN w:val="0"/>
        <w:autoSpaceDE w:val="0"/>
        <w:widowControl/>
        <w:spacing w:line="202" w:lineRule="exact" w:before="0" w:after="0"/>
        <w:ind w:left="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(24) Lin, H.; Li, L.; Zhao, M.; Huang, X.; Chen, X.; Li, G.; Yu, R.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Synthesis of high-quality brookite TiO2 single-crystalline nanosheets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with specific facets exposed: Tuning catalysts from inert to highly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reactive.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J. Am. Chem. Soc.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134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8328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8331.</w:t>
      </w:r>
    </w:p>
    <w:p>
      <w:pPr>
        <w:autoSpaceDN w:val="0"/>
        <w:tabs>
          <w:tab w:pos="80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(25) Di Paola, A.; Bellardita, M.; Palmisano, L. Brookite, the least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known TiO2 photocatalyst.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Catalysts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3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36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73.</w:t>
      </w:r>
    </w:p>
    <w:p>
      <w:pPr>
        <w:autoSpaceDN w:val="0"/>
        <w:autoSpaceDE w:val="0"/>
        <w:widowControl/>
        <w:spacing w:line="202" w:lineRule="exact" w:before="0" w:after="0"/>
        <w:ind w:left="0" w:right="20" w:firstLine="80"/>
        <w:jc w:val="both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(26) Ping Ong, S.; Wang, L.; Kang, B.; Ceder, G. Li- Fe- P- O2 phase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diagram from first principles calculations.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Chem. Mater.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2008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20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1798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1807.</w:t>
      </w:r>
    </w:p>
    <w:p>
      <w:pPr>
        <w:autoSpaceDN w:val="0"/>
        <w:autoSpaceDE w:val="0"/>
        <w:widowControl/>
        <w:spacing w:line="202" w:lineRule="exact" w:before="0" w:after="0"/>
        <w:ind w:left="0" w:right="20" w:firstLine="0"/>
        <w:jc w:val="righ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(27) Hautier, G.; Ong, S. P.; Jain, A.; Moore, C. J.; Ceder, G.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Accuracy of density functional theory in predicting formation energies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of ternary oxides from binary oxides and its implication on phase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stability.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85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155208.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(28) Shirley, R.; Kraft, M.; Inderwildi, O. R. Electronic and optical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properties of aluminium-doped anatase and rutile TiO</w:t>
      </w:r>
      <w:r>
        <w:rPr>
          <w:rFonts w:ascii="AdvOT2e364b11" w:hAnsi="AdvOT2e364b11" w:eastAsia="AdvOT2e364b11"/>
          <w:b w:val="0"/>
          <w:i w:val="0"/>
          <w:color w:val="000000"/>
          <w:sz w:val="12"/>
        </w:rPr>
        <w:t>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 from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ab initio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calculations.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Phys. Rev. B: Condens. Matter Mater.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2010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81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,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075111.</w:t>
      </w:r>
    </w:p>
    <w:p>
      <w:pPr>
        <w:autoSpaceDN w:val="0"/>
        <w:tabs>
          <w:tab w:pos="80" w:val="left"/>
        </w:tabs>
        <w:autoSpaceDE w:val="0"/>
        <w:widowControl/>
        <w:spacing w:line="204" w:lineRule="exact" w:before="0" w:after="0"/>
        <w:ind w:left="0" w:right="0" w:firstLine="0"/>
        <w:jc w:val="left"/>
      </w:pPr>
      <w:r>
        <w:rPr>
          <w:rFonts w:ascii="AdvOT2e364b11" w:hAnsi="AdvOT2e364b11" w:eastAsia="AdvOT2e364b11"/>
          <w:b w:val="0"/>
          <w:i w:val="0"/>
          <w:color w:val="000000"/>
          <w:sz w:val="18"/>
        </w:rPr>
        <w:t xml:space="preserve">(29) Eyert, V. The metal-insulator transitions of VO2: A band 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theoretical approach.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Ann. Phys.</w:t>
      </w:r>
      <w:r>
        <w:rPr>
          <w:rFonts w:ascii="AdvOT51c1769e" w:hAnsi="AdvOT51c1769e" w:eastAsia="AdvOT51c1769e"/>
          <w:b w:val="0"/>
          <w:i w:val="0"/>
          <w:color w:val="000000"/>
          <w:sz w:val="18"/>
        </w:rPr>
        <w:t xml:space="preserve"> 2002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</w:t>
      </w:r>
      <w:r>
        <w:rPr>
          <w:rFonts w:ascii="AdvOT02ce3bbb.I" w:hAnsi="AdvOT02ce3bbb.I" w:eastAsia="AdvOT02ce3bbb.I"/>
          <w:b w:val="0"/>
          <w:i w:val="0"/>
          <w:color w:val="000000"/>
          <w:sz w:val="18"/>
        </w:rPr>
        <w:t xml:space="preserve"> 11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, 650</w:t>
      </w:r>
      <w:r>
        <w:rPr>
          <w:rFonts w:ascii="22" w:hAnsi="22" w:eastAsia="22"/>
          <w:b w:val="0"/>
          <w:i w:val="0"/>
          <w:color w:val="000000"/>
          <w:sz w:val="18"/>
        </w:rPr>
        <w:t>−</w:t>
      </w:r>
      <w:r>
        <w:rPr>
          <w:rFonts w:ascii="AdvOT2e364b11" w:hAnsi="AdvOT2e364b11" w:eastAsia="AdvOT2e364b11"/>
          <w:b w:val="0"/>
          <w:i w:val="0"/>
          <w:color w:val="000000"/>
          <w:sz w:val="18"/>
        </w:rPr>
        <w:t>704.</w:t>
      </w:r>
    </w:p>
    <w:p>
      <w:pPr>
        <w:sectPr>
          <w:type w:val="continuous"/>
          <w:pgSz w:w="12509" w:h="16367"/>
          <w:pgMar w:top="468" w:right="1198" w:bottom="308" w:left="1210" w:header="720" w:footer="720" w:gutter="0"/>
          <w:cols w:space="720" w:num="2" w:equalWidth="0"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4820" w:space="0"/>
            <w:col w:w="5280" w:space="0"/>
            <w:col w:w="10100" w:space="0"/>
            <w:col w:w="11298" w:space="0"/>
          </w:cols>
          <w:docGrid w:linePitch="360"/>
        </w:sectPr>
      </w:pPr>
    </w:p>
    <w:p>
      <w:pPr>
        <w:autoSpaceDN w:val="0"/>
        <w:tabs>
          <w:tab w:pos="3790" w:val="left"/>
        </w:tabs>
        <w:autoSpaceDE w:val="0"/>
        <w:widowControl/>
        <w:spacing w:line="170" w:lineRule="exact" w:before="0" w:after="0"/>
        <w:ind w:left="20" w:right="0" w:firstLine="0"/>
        <w:jc w:val="left"/>
      </w:pPr>
      <w:r>
        <w:rPr>
          <w:rFonts w:ascii="AdvOTce3d9a73" w:hAnsi="AdvOTce3d9a73" w:eastAsia="AdvOTce3d9a73"/>
          <w:b w:val="0"/>
          <w:i w:val="0"/>
          <w:color w:val="000000"/>
          <w:sz w:val="15"/>
        </w:rPr>
        <w:t xml:space="preserve">13093 </w:t>
      </w:r>
      <w:r>
        <w:tab/>
      </w:r>
      <w:r>
        <w:rPr>
          <w:rFonts w:ascii="AdvOT46dcae81" w:hAnsi="AdvOT46dcae81" w:eastAsia="AdvOT46dcae81"/>
          <w:b w:val="0"/>
          <w:i w:val="0"/>
          <w:color w:val="000000"/>
          <w:sz w:val="12"/>
        </w:rPr>
        <w:t>DOI: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t xml:space="preserve"> </w:t>
      </w:r>
      <w:r>
        <w:rPr>
          <w:rFonts w:ascii="AdvOT46dcae81" w:hAnsi="AdvOT46dcae81" w:eastAsia="AdvOT46dcae81"/>
          <w:b w:val="0"/>
          <w:i w:val="0"/>
          <w:color w:val="1B4BA0"/>
          <w:sz w:val="12"/>
        </w:rPr>
        <w:hyperlink r:id="rId16" w:history="1">
          <w:r>
            <w:rPr>
              <w:rStyle w:val="Hyperlink"/>
            </w:rPr>
            <w:t>10.1021/acsami.6b01630</w:t>
          </w:r>
        </w:hyperlink>
      </w:r>
    </w:p>
    <w:sectPr w:rsidR="00FC693F" w:rsidRPr="0006063C" w:rsidSect="00034616">
      <w:type w:val="nextColumn"/>
      <w:pgSz w:w="12509" w:h="16367"/>
      <w:pgMar w:top="468" w:right="1198" w:bottom="308" w:left="1210" w:header="720" w:footer="720" w:gutter="0"/>
      <w:cols w:space="720" w:num="2" w:equalWidth="0">
        <w:col w:w="4820" w:space="0"/>
        <w:col w:w="5280" w:space="0"/>
        <w:col w:w="10100" w:space="0"/>
        <w:col w:w="4820" w:space="0"/>
        <w:col w:w="5280" w:space="0"/>
        <w:col w:w="10100" w:space="0"/>
        <w:col w:w="4820" w:space="0"/>
        <w:col w:w="5280" w:space="0"/>
        <w:col w:w="10100" w:space="0"/>
        <w:col w:w="4820" w:space="0"/>
        <w:col w:w="5280" w:space="0"/>
        <w:col w:w="10100" w:space="0"/>
        <w:col w:w="4820" w:space="0"/>
        <w:col w:w="5280" w:space="0"/>
        <w:col w:w="10100" w:space="0"/>
        <w:col w:w="4820" w:space="0"/>
        <w:col w:w="5280" w:space="0"/>
        <w:col w:w="10100" w:space="0"/>
        <w:col w:w="4820" w:space="0"/>
        <w:col w:w="5280" w:space="0"/>
        <w:col w:w="10100" w:space="0"/>
        <w:col w:w="1129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://dx.doi.org/10.1021/acsami.6b01630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