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autoSpaceDE w:val="0"/>
        <w:widowControl/>
        <w:spacing w:line="186" w:lineRule="exact" w:before="0" w:after="0"/>
        <w:ind w:left="0" w:right="0" w:firstLine="0"/>
        <w:jc w:val="center"/>
      </w:pPr>
      <w:r>
        <w:rPr>
          <w:rFonts w:ascii="AdvP6975" w:hAnsi="AdvP6975" w:eastAsia="AdvP6975"/>
          <w:b w:val="0"/>
          <w:i w:val="0"/>
          <w:color w:val="221F1F"/>
          <w:sz w:val="18"/>
        </w:rPr>
        <w:t>APPLIED PHYSICS LETTERS</w:t>
      </w:r>
      <w:r>
        <w:rPr>
          <w:rFonts w:ascii="AdvP6960" w:hAnsi="AdvP6960" w:eastAsia="AdvP6960"/>
          <w:b w:val="0"/>
          <w:i w:val="0"/>
          <w:color w:val="221F1F"/>
          <w:sz w:val="18"/>
        </w:rPr>
        <w:t xml:space="preserve"> 99</w:t>
      </w:r>
      <w:r>
        <w:rPr>
          <w:rFonts w:ascii="AdvP6975" w:hAnsi="AdvP6975" w:eastAsia="AdvP6975"/>
          <w:b w:val="0"/>
          <w:i w:val="0"/>
          <w:color w:val="221F1F"/>
          <w:sz w:val="18"/>
        </w:rPr>
        <w:t>, 112904 (2011)</w:t>
      </w:r>
    </w:p>
    <w:p>
      <w:pPr>
        <w:autoSpaceDN w:val="0"/>
        <w:autoSpaceDE w:val="0"/>
        <w:widowControl/>
        <w:spacing w:line="280" w:lineRule="exact" w:before="296" w:after="0"/>
        <w:ind w:left="0" w:right="0" w:firstLine="0"/>
        <w:jc w:val="left"/>
      </w:pPr>
      <w:r>
        <w:rPr>
          <w:rFonts w:ascii="AdvHelv_B" w:hAnsi="AdvHelv_B" w:eastAsia="AdvHelv_B"/>
          <w:b w:val="0"/>
          <w:i w:val="0"/>
          <w:color w:val="0000FF"/>
          <w:sz w:val="28"/>
        </w:rPr>
        <w:hyperlink r:id="rId9" w:history="1">
          <w:r>
            <w:rPr>
              <w:rStyle w:val="Hyperlink"/>
            </w:rPr>
            <w:t>Phase transitions in ferroelectric silicon doped hafnium oxide</w:t>
          </w:r>
        </w:hyperlink>
      </w:r>
    </w:p>
    <w:p>
      <w:pPr>
        <w:autoSpaceDN w:val="0"/>
        <w:autoSpaceDE w:val="0"/>
        <w:widowControl/>
        <w:spacing w:line="202" w:lineRule="exact" w:before="162" w:after="0"/>
        <w:ind w:left="720" w:right="1584" w:firstLine="0"/>
        <w:jc w:val="left"/>
      </w:pPr>
      <w:r>
        <w:rPr>
          <w:rFonts w:ascii="AdvHelv_R" w:hAnsi="AdvHelv_R" w:eastAsia="AdvHelv_R"/>
          <w:b w:val="0"/>
          <w:i w:val="0"/>
          <w:color w:val="221F1F"/>
          <w:sz w:val="20"/>
        </w:rPr>
        <w:t>T. S. Bo¨scke,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1,2,</w:t>
      </w:r>
      <w:r>
        <w:rPr>
          <w:w w:val="101.00952557155065"/>
          <w:rFonts w:ascii="AdvHelv_R" w:hAnsi="AdvHelv_R" w:eastAsia="AdvHelv_R"/>
          <w:b w:val="0"/>
          <w:i w:val="0"/>
          <w:color w:val="0000FF"/>
          <w:sz w:val="14"/>
        </w:rPr>
        <w:t>a),b)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St. Teichert,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3,</w:t>
      </w:r>
      <w:r>
        <w:rPr>
          <w:w w:val="101.00952557155065"/>
          <w:rFonts w:ascii="AdvHelv_R" w:hAnsi="AdvHelv_R" w:eastAsia="AdvHelv_R"/>
          <w:b w:val="0"/>
          <w:i w:val="0"/>
          <w:color w:val="0000FF"/>
          <w:sz w:val="14"/>
        </w:rPr>
        <w:t>b)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D. Bra¨uhaus,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4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J. Mu¨ller,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5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U. Schro¨der,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2,</w:t>
      </w:r>
      <w:r>
        <w:rPr>
          <w:w w:val="101.00952557155065"/>
          <w:rFonts w:ascii="AdvHelv_R" w:hAnsi="AdvHelv_R" w:eastAsia="AdvHelv_R"/>
          <w:b w:val="0"/>
          <w:i w:val="0"/>
          <w:color w:val="0000FF"/>
          <w:sz w:val="14"/>
        </w:rPr>
        <w:t>b)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U. Bo¨ttger,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 xml:space="preserve">4 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and T. Mikolajick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 xml:space="preserve">2,6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1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Lo¨berwallgraben 2, 99096 Erfurt,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2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Namlab gGmbH, 01187 Dresden,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3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UAS Jena, Department of SciTec, 07745 Jena,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4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RWTH Aachen, Institut fu¨r Werkstoffe der Elektrotechnik, 52062 Aachen,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5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Fraunhofer Center Nanoelectronic Technologies (CNT), 01099 Dresden,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6</w:t>
      </w:r>
      <w:r>
        <w:rPr>
          <w:rFonts w:ascii="AdvP696A" w:hAnsi="AdvP696A" w:eastAsia="AdvP696A"/>
          <w:b w:val="0"/>
          <w:i w:val="0"/>
          <w:color w:val="221F1F"/>
          <w:sz w:val="18"/>
        </w:rPr>
        <w:t>Department of Nanoelectronic Materials, University of Technology Dresden, 01062 Dresden, Germany</w:t>
      </w:r>
    </w:p>
    <w:p>
      <w:pPr>
        <w:autoSpaceDN w:val="0"/>
        <w:autoSpaceDE w:val="0"/>
        <w:widowControl/>
        <w:spacing w:line="200" w:lineRule="exact" w:before="158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(Received 18 July 2011; accepted 19 August 2011; published online 15 September 2011)</w:t>
      </w:r>
    </w:p>
    <w:p>
      <w:pPr>
        <w:autoSpaceDN w:val="0"/>
        <w:autoSpaceDE w:val="0"/>
        <w:widowControl/>
        <w:spacing w:line="220" w:lineRule="exact" w:before="16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We investigated phase transitions in ferroelectric silicon doped hafnium oxide (FE-Si:HfO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) by</w:t>
      </w:r>
    </w:p>
    <w:p>
      <w:pPr>
        <w:autoSpaceDN w:val="0"/>
        <w:autoSpaceDE w:val="0"/>
        <w:widowControl/>
        <w:spacing w:line="200" w:lineRule="exact" w:before="2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temperature dependent polarization and x-ray diffraction measurements. If heated under</w:t>
      </w:r>
    </w:p>
    <w:p>
      <w:pPr>
        <w:autoSpaceDN w:val="0"/>
        <w:autoSpaceDE w:val="0"/>
        <w:widowControl/>
        <w:spacing w:line="200" w:lineRule="exact" w:before="4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mechanical confinement, the orthorhombic ferroelectric phase reversibly transforms into a phase</w:t>
      </w:r>
    </w:p>
    <w:p>
      <w:pPr>
        <w:autoSpaceDN w:val="0"/>
        <w:autoSpaceDE w:val="0"/>
        <w:widowControl/>
        <w:spacing w:line="200" w:lineRule="exact" w:before="4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with antiferroelectric behavior. Without confinement, a transformation into a monoclinic/tetragonal</w:t>
      </w:r>
    </w:p>
    <w:p>
      <w:pPr>
        <w:autoSpaceDN w:val="0"/>
        <w:autoSpaceDE w:val="0"/>
        <w:widowControl/>
        <w:spacing w:line="200" w:lineRule="exact" w:before="4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phase mixture is observed during cooling. These results suggest the existence of a common higher</w:t>
      </w:r>
    </w:p>
    <w:p>
      <w:pPr>
        <w:autoSpaceDN w:val="0"/>
        <w:autoSpaceDE w:val="0"/>
        <w:widowControl/>
        <w:spacing w:line="200" w:lineRule="exact" w:before="4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symmetry parent phase to the orthorhombic and monoclinic phases, while transformation between</w:t>
      </w:r>
    </w:p>
    <w:p>
      <w:pPr>
        <w:autoSpaceDN w:val="0"/>
        <w:autoSpaceDE w:val="0"/>
        <w:widowControl/>
        <w:spacing w:line="220" w:lineRule="exact" w:before="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these phases appears to be inhibited by an energy barrier.</w:t>
      </w:r>
      <w:r>
        <w:rPr>
          <w:w w:val="102.53059162813074"/>
          <w:rFonts w:ascii="AdvP80516" w:hAnsi="AdvP80516" w:eastAsia="AdvP80516"/>
          <w:b w:val="0"/>
          <w:i w:val="0"/>
          <w:color w:val="221F1F"/>
          <w:sz w:val="17"/>
        </w:rPr>
        <w:t xml:space="preserve"> V </w:t>
      </w:r>
      <w:r>
        <w:rPr>
          <w:rFonts w:ascii="AdvP6975" w:hAnsi="AdvP6975" w:eastAsia="AdvP6975"/>
          <w:b w:val="0"/>
          <w:i w:val="0"/>
          <w:color w:val="221F1F"/>
          <w:sz w:val="12"/>
        </w:rPr>
        <w:t>C</w:t>
      </w:r>
      <w:r>
        <w:rPr>
          <w:rFonts w:ascii="AdvP696A" w:hAnsi="AdvP696A" w:eastAsia="AdvP696A"/>
          <w:b w:val="0"/>
          <w:i w:val="0"/>
          <w:color w:val="221F1F"/>
          <w:sz w:val="20"/>
        </w:rPr>
        <w:t xml:space="preserve"> 2011 American Institute of Physics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00" w:lineRule="exact" w:before="34" w:after="334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[doi:</w:t>
      </w:r>
      <w:r>
        <w:rPr>
          <w:rFonts w:ascii="AdvP6975" w:hAnsi="AdvP6975" w:eastAsia="AdvP6975"/>
          <w:b w:val="0"/>
          <w:i w:val="0"/>
          <w:color w:val="0000FF"/>
          <w:sz w:val="20"/>
        </w:rPr>
        <w:hyperlink r:id="rId9" w:history="1">
          <w:r>
            <w:rPr>
              <w:rStyle w:val="Hyperlink"/>
            </w:rPr>
            <w:t>10.1063/1.3636434</w:t>
          </w:r>
        </w:hyperlink>
      </w:r>
      <w:r>
        <w:rPr>
          <w:rFonts w:ascii="AdvP6975" w:hAnsi="AdvP6975" w:eastAsia="AdvP6975"/>
          <w:b w:val="0"/>
          <w:i w:val="0"/>
          <w:color w:val="221F1F"/>
          <w:sz w:val="20"/>
        </w:rPr>
        <w:t>]</w:t>
      </w:r>
    </w:p>
    <w:p>
      <w:pPr>
        <w:sectPr>
          <w:pgSz w:w="12240" w:h="16199"/>
          <w:pgMar w:top="300" w:right="998" w:bottom="382" w:left="1020" w:header="720" w:footer="720" w:gutter="0"/>
          <w:cols w:space="720" w:num="1" w:equalWidth="0"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8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Electronic devices based on ferroelectric (FE) thin films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have enjoyed the attention of the research community for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decades.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 number of device concepts based on a direct fer-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roelectric/silicon junction have been proposed.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2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However,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most of the well behaved ferroelectrics, such as strontium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bismuth tantalate (SBT) and lead zirconium titanate (PZT)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constitute elements that easily react with silicon and silicon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oxide during high temperature steps and are, therefore, not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suited for device applications where the ferroelectric thin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film is in direct contact with silicon. Therefore, the practical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realization has been limited to devices with thick interlayers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between ferroelectric and silicon and reduced thermal budget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to avoid degradation of the interface.</w:t>
      </w:r>
    </w:p>
    <w:p>
      <w:pPr>
        <w:autoSpaceDN w:val="0"/>
        <w:autoSpaceDE w:val="0"/>
        <w:widowControl/>
        <w:spacing w:line="240" w:lineRule="exact" w:before="0" w:after="0"/>
        <w:ind w:left="0" w:right="18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Recently, we reported the discovery of a FE crystalline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phase in silicon doped hafnium oxide.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Hafnium oxide is one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of only few metal oxides which are both thermodynamically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stable on silicon and SiO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 offer a sufficient band gap to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function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5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as a low leakage dielectric insulator. It is, there-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fore, ideally suited for electronic devices which require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direct ferroelectric/silicon junctions.</w:t>
      </w:r>
    </w:p>
    <w:p>
      <w:pPr>
        <w:autoSpaceDN w:val="0"/>
        <w:autoSpaceDE w:val="0"/>
        <w:widowControl/>
        <w:spacing w:line="236" w:lineRule="exact" w:before="38" w:after="0"/>
        <w:ind w:left="0" w:right="18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Thin films of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crystallize in a mixture of tetragonal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monoclinic grains.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6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fraction of the tetragonal phase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can be controlled by doping with silicon,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7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8</w:t>
      </w:r>
      <w:r>
        <w:rPr>
          <w:rFonts w:ascii="AdvP6975" w:hAnsi="AdvP6975" w:eastAsia="AdvP6975"/>
          <w:b w:val="0"/>
          <w:i w:val="0"/>
          <w:color w:val="221F1F"/>
          <w:sz w:val="20"/>
        </w:rPr>
        <w:t>zirconium,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9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rare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earth elements,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10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other metal oxides. If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based thin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films, at a composition where the tetragonal phase is not yet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stable, are crystallized in presence of a cap, the formation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 FE orthorhombic phase is observed.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For slightly higher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levels of doping, antiferroelectric (AFE) polarization loops</w:t>
      </w:r>
    </w:p>
    <w:p>
      <w:pPr>
        <w:sectPr>
          <w:type w:val="continuous"/>
          <w:pgSz w:w="12240" w:h="16199"/>
          <w:pgMar w:top="300" w:right="998" w:bottom="382" w:left="1020" w:header="720" w:footer="720" w:gutter="0"/>
          <w:cols w:space="720" w:num="2" w:equalWidth="0"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38"/>
        <w:ind w:left="180" w:right="2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Si:HfO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was deposited by a metal organic atomic layer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deposition process based on Tetrakis-(ethylmethylamino)-haf-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nium (TEMA-Hf), Tetrakis-dimethylamino-silane (4DMAS),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metalorganic precursors, and ozone. The silicon content was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defined by varying the cycle ratio of the precursors and moni-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tored by secondary ion mass spectrometry and elastic recoil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detection analysis on samples without thermal treatment.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crystallization temperature of all films in the used thickness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(7-12 nm) and composition range (2.5-6 mol. % SiO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) was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above 500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C. Titanium nitride electrodes were deposited by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chemical vapor deposition process based on TiCl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 NH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Crystallization of the Si:HfO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thin films was induced by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1000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C/20 s anneal after (“cap”) or before (“no cap”) top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electrode deposition. All measurements were performed 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metal-insulator-metal (MIM) capacitors with TiN top and bot-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tom electrodes and on blanket wafers for physical measure-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ments. Grazing-incidence x-ray diffractograms (GI-XRDs)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Si:HfO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thin films were measured on a Brucker D8 Discover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equipped with a Goebel mirror using Cu-K</w:t>
      </w:r>
      <w:r>
        <w:rPr>
          <w:rFonts w:ascii="AdvPSMP10" w:hAnsi="AdvPSMP10" w:eastAsia="AdvPSMP10"/>
          <w:b w:val="0"/>
          <w:i w:val="0"/>
          <w:color w:val="221F1F"/>
          <w:sz w:val="20"/>
        </w:rPr>
        <w:t>a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radiation.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temperature dependent measurements were performed at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heating rate of 3 K/min in a N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atmosphere. Polarization hys-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tereses were characterized using an aixACCT TF Analyzer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2000 system at a frequency of 1000 Hz. To investigate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influence of polarization changes with respect to sample tem-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perature, the samples were heated and cooled in a range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between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60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 and 180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To improve the sensitivity of the XRD-measurements,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wet chemical etching was used to remove the TiN cap of</w:t>
      </w:r>
    </w:p>
    <w:p>
      <w:pPr>
        <w:sectPr>
          <w:type w:val="nextColumn"/>
          <w:pgSz w:w="12240" w:h="16199"/>
          <w:pgMar w:top="300" w:right="998" w:bottom="382" w:left="1020" w:header="720" w:footer="720" w:gutter="0"/>
          <w:cols w:space="720" w:num="2" w:equalWidth="0"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tabs>
          <w:tab w:pos="5280" w:val="left"/>
        </w:tabs>
        <w:autoSpaceDE w:val="0"/>
        <w:widowControl/>
        <w:spacing w:line="200" w:lineRule="exact" w:before="0" w:after="40"/>
        <w:ind w:left="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were found.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films that were crystallized in presence of a cap. Apart from</w:t>
      </w:r>
    </w:p>
    <w:p>
      <w:pPr>
        <w:sectPr>
          <w:type w:val="continuous"/>
          <w:pgSz w:w="12240" w:h="16199"/>
          <w:pgMar w:top="300" w:right="998" w:bottom="382" w:left="1020" w:header="720" w:footer="720" w:gutter="0"/>
          <w:cols w:space="720" w:num="1" w:equalWidth="0"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6" w:after="0"/>
        <w:ind w:left="0" w:right="18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application of FE-HfO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in electronic devices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requires a detailed understanding of its formation and control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of its properties. We investigated the behavior of FE Si:HfO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 xml:space="preserve">2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close to the FE phase boundary.</w:t>
      </w:r>
    </w:p>
    <w:p>
      <w:pPr>
        <w:autoSpaceDN w:val="0"/>
        <w:tabs>
          <w:tab w:pos="94" w:val="left"/>
        </w:tabs>
        <w:autoSpaceDE w:val="0"/>
        <w:widowControl/>
        <w:spacing w:line="190" w:lineRule="exact" w:before="432" w:after="0"/>
        <w:ind w:left="0" w:right="144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a)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Author to whom correspondence should be addressed. Electronic mail: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t.boescke@ieee.org.</w:t>
      </w:r>
    </w:p>
    <w:p>
      <w:pPr>
        <w:autoSpaceDN w:val="0"/>
        <w:tabs>
          <w:tab w:pos="100" w:val="left"/>
        </w:tabs>
        <w:autoSpaceDE w:val="0"/>
        <w:widowControl/>
        <w:spacing w:line="190" w:lineRule="exact" w:before="4" w:after="0"/>
        <w:ind w:left="0" w:right="144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b)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These authors were with Qimonda Dresden, Dresden, Germany while the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initial experimental work was performed.</w:t>
      </w:r>
    </w:p>
    <w:p>
      <w:pPr>
        <w:sectPr>
          <w:type w:val="continuous"/>
          <w:pgSz w:w="12240" w:h="16199"/>
          <w:pgMar w:top="300" w:right="998" w:bottom="382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80" w:right="2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 improvement in signal to noise ratio, no change of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spectrum was observed, indicating that the crystalline phases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were retained without a cap.</w:t>
      </w:r>
    </w:p>
    <w:p>
      <w:pPr>
        <w:autoSpaceDN w:val="0"/>
        <w:autoSpaceDE w:val="0"/>
        <w:widowControl/>
        <w:spacing w:line="244" w:lineRule="exact" w:before="0" w:after="268"/>
        <w:ind w:left="180" w:right="2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shows room temperature polarization loops of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capped Si:HfO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MIM capacitors in dependence of silicon ox-</w:t>
      </w:r>
      <w:r>
        <w:rPr>
          <w:rFonts w:ascii="AdvP6975" w:hAnsi="AdvP6975" w:eastAsia="AdvP6975"/>
          <w:b w:val="0"/>
          <w:i w:val="0"/>
          <w:color w:val="000000"/>
          <w:sz w:val="20"/>
        </w:rPr>
        <w:t>ide admixture. At the lowest SiO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admixture, 3.1 mol. %, FE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polarization was observed. A gradual transition to AFE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polarization loops occurred for increased SiO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content at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approximately 4 mol. % SiO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>, suggesting the transition into</w:t>
      </w:r>
    </w:p>
    <w:p>
      <w:pPr>
        <w:sectPr>
          <w:type w:val="nextColumn"/>
          <w:pgSz w:w="12240" w:h="16199"/>
          <w:pgMar w:top="300" w:right="998" w:bottom="382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07"/>
        <w:gridCol w:w="3407"/>
        <w:gridCol w:w="3407"/>
      </w:tblGrid>
      <w:tr>
        <w:trPr>
          <w:trHeight w:hRule="exact" w:val="162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0003-6951/2011/99(11)/112904/3/$30.00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014" w:firstLine="0"/>
              <w:jc w:val="right"/>
            </w:pP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>99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112904-1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right"/>
            </w:pPr>
            <w:r>
              <w:rPr>
                <w:rFonts w:ascii="AdvP80516" w:hAnsi="AdvP80516" w:eastAsia="AdvP80516"/>
                <w:b w:val="0"/>
                <w:i w:val="0"/>
                <w:color w:val="221F1F"/>
                <w:sz w:val="14"/>
              </w:rPr>
              <w:t xml:space="preserve">V </w:t>
            </w:r>
            <w:r>
              <w:rPr>
                <w:w w:val="95.61599731445312"/>
                <w:rFonts w:ascii="AdvHelv_R" w:hAnsi="AdvHelv_R" w:eastAsia="AdvHelv_R"/>
                <w:b w:val="0"/>
                <w:i w:val="0"/>
                <w:color w:val="221F1F"/>
                <w:sz w:val="10"/>
              </w:rPr>
              <w:t>C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 xml:space="preserve"> 2011 American Institute of Physics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6199"/>
          <w:pgMar w:top="300" w:right="998" w:bottom="382" w:left="1020" w:header="720" w:footer="720" w:gutter="0"/>
          <w:cols w:space="720" w:num="1" w:equalWidth="0"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07"/>
        <w:gridCol w:w="3407"/>
        <w:gridCol w:w="3407"/>
      </w:tblGrid>
      <w:tr>
        <w:trPr>
          <w:trHeight w:hRule="exact" w:val="1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112904-2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Bo¨scke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99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112904 (2011)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8"/>
        <w:ind w:left="0" w:right="0"/>
      </w:pPr>
    </w:p>
    <w:p>
      <w:pPr>
        <w:sectPr>
          <w:pgSz w:w="12240" w:h="16199"/>
          <w:pgMar w:top="306" w:right="998" w:bottom="378" w:left="1020" w:header="720" w:footer="720" w:gutter="0"/>
          <w:cols w:space="720" w:num="1" w:equalWidth="0"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38680" cy="172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2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2" w:lineRule="exact" w:before="220" w:after="0"/>
        <w:ind w:left="0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>FIG. 1. (Color online) Polarization hystereses of a set of capped-Si:HfO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 xml:space="preserve">2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MIM capacitors with different SiO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content. The insulator thickness is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approximately 9 nm.</w:t>
      </w:r>
    </w:p>
    <w:p>
      <w:pPr>
        <w:autoSpaceDN w:val="0"/>
        <w:autoSpaceDE w:val="0"/>
        <w:widowControl/>
        <w:spacing w:line="238" w:lineRule="exact" w:before="332" w:after="0"/>
        <w:ind w:left="0" w:right="180" w:firstLine="0"/>
        <w:jc w:val="both"/>
      </w:pPr>
      <w:r>
        <w:rPr>
          <w:rFonts w:ascii="AdvP6975" w:hAnsi="AdvP6975" w:eastAsia="AdvP6975"/>
          <w:b w:val="0"/>
          <w:i w:val="0"/>
          <w:color w:val="000000"/>
          <w:sz w:val="20"/>
        </w:rPr>
        <w:t>a different crystalline phase. We investigated Si:HfO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 xml:space="preserve">2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thin films with a composition close to the phase boundary by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GI-XRD (Fig.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2</w:t>
      </w:r>
      <w:r>
        <w:rPr>
          <w:rFonts w:ascii="AdvP6975" w:hAnsi="AdvP6975" w:eastAsia="AdvP6975"/>
          <w:b w:val="0"/>
          <w:i w:val="0"/>
          <w:color w:val="000000"/>
          <w:sz w:val="20"/>
        </w:rPr>
        <w:t>). The spectrum of the 3.8 mol. % SiO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film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showed clear evidence for the formation of the orthorhombic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Pbc2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1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phase (o), which was previously connected to the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occurrence of the ferroelectricity.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is most evident from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observation of (022)/(220) reflex splitting in the absence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of (111) splitting, which indicates the formation of an or-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thogonal phase with large c/a ratio and similar a and b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dimensions. The (022)/(220) peak splitting disappeared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when crystallized without a cap and the formation of a small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fraction of monoclinic phase (m) is observed. No (022)/(220)</w:t>
      </w:r>
    </w:p>
    <w:p>
      <w:pPr>
        <w:sectPr>
          <w:type w:val="continuous"/>
          <w:pgSz w:w="12240" w:h="16199"/>
          <w:pgMar w:top="306" w:right="998" w:bottom="378" w:left="1020" w:header="720" w:footer="720" w:gutter="0"/>
          <w:cols w:space="720" w:num="2" w:equalWidth="0"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54349" cy="26187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349" cy="2618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96" w:after="0"/>
        <w:ind w:left="180" w:right="2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>FIG. 3. (Color online) (a) Temperature dependent polarization measure-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ments of a Si:HfO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MIM capacitors with 3.8 mol. % SiO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(b) Variation of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the remanent polarization with temperature for capacitors with two different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compositions. (c) XRD measurement of the 3.8 mol. % Si:HfO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samples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before and after temperature ramping up to 340</w:t>
      </w:r>
      <w:r>
        <w:rPr>
          <w:w w:val="101.81454745205967"/>
          <w:rFonts w:ascii="AdvP4C4E74" w:hAnsi="AdvP4C4E74" w:eastAsia="AdvP4C4E74"/>
          <w:b w:val="0"/>
          <w:i w:val="0"/>
          <w:color w:val="221F1F"/>
          <w:sz w:val="11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C. The TiN cap was 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removed prior to the measurement. (d) Evolution of the (022)/(220) peak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splitting with temperature.</w:t>
      </w:r>
    </w:p>
    <w:p>
      <w:pPr>
        <w:autoSpaceDN w:val="0"/>
        <w:autoSpaceDE w:val="0"/>
        <w:widowControl/>
        <w:spacing w:line="256" w:lineRule="exact" w:before="276" w:after="6"/>
        <w:ind w:left="180" w:right="22" w:firstLine="0"/>
        <w:jc w:val="both"/>
      </w:pP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the FE phase into a phase with AFE properties. The addition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of SiO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allows to control the transition temperature. If the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SiO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content is sufficiently high, the AFE phase is stable at</w:t>
      </w:r>
    </w:p>
    <w:p>
      <w:pPr>
        <w:sectPr>
          <w:type w:val="nextColumn"/>
          <w:pgSz w:w="12240" w:h="16199"/>
          <w:pgMar w:top="306" w:right="998" w:bottom="378" w:left="1020" w:header="720" w:footer="720" w:gutter="0"/>
          <w:cols w:space="720" w:num="2" w:equalWidth="0"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tabs>
          <w:tab w:pos="5280" w:val="left"/>
        </w:tabs>
        <w:autoSpaceDE w:val="0"/>
        <w:widowControl/>
        <w:spacing w:line="222" w:lineRule="exact" w:before="0" w:after="18"/>
        <w:ind w:left="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splitting is observed at 4.3 mol. % SiO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, where AFE behav-</w:t>
      </w:r>
      <w:r>
        <w:tab/>
      </w:r>
      <w:r>
        <w:rPr>
          <w:rFonts w:ascii="AdvP6975" w:hAnsi="AdvP6975" w:eastAsia="AdvP6975"/>
          <w:b w:val="0"/>
          <w:i w:val="0"/>
          <w:color w:val="000000"/>
          <w:sz w:val="20"/>
        </w:rPr>
        <w:t>room temperature.</w:t>
      </w:r>
    </w:p>
    <w:p>
      <w:pPr>
        <w:sectPr>
          <w:type w:val="continuous"/>
          <w:pgSz w:w="12240" w:h="16199"/>
          <w:pgMar w:top="306" w:right="998" w:bottom="378" w:left="1020" w:header="720" w:footer="720" w:gutter="0"/>
          <w:cols w:space="720" w:num="1" w:equalWidth="0"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ior emerged, suggesting the formation of a phase with lower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c/a ratio, the tetragonal phase (t). The scans confirmed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presence of all dominant diffraction peaks. A strong prefer-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ential orientation can, therefore, be ruled out within the lim-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its of the GI-XRD technique.</w:t>
      </w:r>
    </w:p>
    <w:p>
      <w:pPr>
        <w:autoSpaceDN w:val="0"/>
        <w:autoSpaceDE w:val="0"/>
        <w:widowControl/>
        <w:spacing w:line="240" w:lineRule="exact" w:before="0" w:after="0"/>
        <w:ind w:left="0" w:right="18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To further understand the relation between the FE 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AFE behavior, we performed temperature dependent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polarization measurements. As shown in 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3(a)</w:t>
      </w:r>
      <w:r>
        <w:rPr>
          <w:rFonts w:ascii="AdvP6975" w:hAnsi="AdvP6975" w:eastAsia="AdvP6975"/>
          <w:b w:val="0"/>
          <w:i w:val="0"/>
          <w:color w:val="000000"/>
          <w:sz w:val="20"/>
        </w:rPr>
        <w:t>, a fully re-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versible transition from FE to AFE polarization loops is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observed at increased temperature. Increasing the silicon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content leads to an offset in the temperature dependence, as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evident from the relation between polarization and tempera-</w:t>
      </w:r>
      <w:r>
        <w:rPr>
          <w:rFonts w:ascii="AdvP6975" w:hAnsi="AdvP6975" w:eastAsia="AdvP6975"/>
          <w:b w:val="0"/>
          <w:i w:val="0"/>
          <w:color w:val="000000"/>
          <w:sz w:val="20"/>
        </w:rPr>
        <w:t>ture for different compositions (Fig.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3(b)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). Both observations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imply a temperature dependent phase transformation from</w:t>
      </w:r>
    </w:p>
    <w:p>
      <w:pPr>
        <w:autoSpaceDN w:val="0"/>
        <w:autoSpaceDE w:val="0"/>
        <w:widowControl/>
        <w:spacing w:line="240" w:lineRule="auto" w:before="372" w:after="0"/>
        <w:ind w:left="7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38680" cy="18554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55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2" w:lineRule="exact" w:before="220" w:after="0"/>
        <w:ind w:left="0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>FIG. 2. (Color online) XRD measurements of capped and uncapped Si:HfO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 xml:space="preserve">2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samples with compositions that exhibited ferroelectric (3.8 mol. %) and anti-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ferroelectric (4.3 mol. %) polarization loops.</w:t>
      </w:r>
    </w:p>
    <w:p>
      <w:pPr>
        <w:sectPr>
          <w:type w:val="continuous"/>
          <w:pgSz w:w="12240" w:h="16199"/>
          <w:pgMar w:top="306" w:right="998" w:bottom="378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80" w:right="2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These findings were corroborated by temperature de-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pendent XRD measurements on films having the same com-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position (Figs.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3(c)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and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3(d)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). A reduction of the (022)/(220)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splitting is found for increasing temperature, suggesting a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transition into the t-phase, similar to the effect of increased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SiO</w:t>
      </w:r>
      <w:r>
        <w:rPr>
          <w:w w:val="101.00952557155065"/>
          <w:rFonts w:ascii="AdvP6975" w:hAnsi="AdvP6975" w:eastAsia="AdvP6975"/>
          <w:b w:val="0"/>
          <w:i w:val="0"/>
          <w:color w:val="000000"/>
          <w:sz w:val="14"/>
        </w:rPr>
        <w:t>2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content. Interestingly, the (022)/(220) split was not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restored upon cooling down. Instead, the emergence of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monoclinic reflexes has been observed. This implies the for-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mation of a m/t phase mixture as found for uncapped films.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In contrast to MIM capacitors, where the film was capped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during the temperature cycle, the cap was removed prior to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the XRD measurement. Removal of the cap alone did not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lead to the disappearance of the o-phase. This indicates the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existence of an energy barrier between the o- and the m-</w:t>
      </w:r>
      <w:r>
        <w:rPr>
          <w:rFonts w:ascii="AdvP6975" w:hAnsi="AdvP6975" w:eastAsia="AdvP6975"/>
          <w:b w:val="0"/>
          <w:i w:val="0"/>
          <w:color w:val="000000"/>
          <w:sz w:val="20"/>
        </w:rPr>
        <w:t>phase, which prevents a direct transition. Mechanical con-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finement (“capping”) is necessary during the formation of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the metastable o-phase and not a requirement for the pres-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ence of this phase. Since a temperature cycle through the t 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phase induced formation of the m phase, it can be concluded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that both phases emerge by transformation from the t phase.</w:t>
      </w:r>
    </w:p>
    <w:p>
      <w:pPr>
        <w:autoSpaceDN w:val="0"/>
        <w:autoSpaceDE w:val="0"/>
        <w:widowControl/>
        <w:spacing w:line="240" w:lineRule="exact" w:before="0" w:after="0"/>
        <w:ind w:left="180" w:right="2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conclusion is reinforced by previous research 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phase relations in ZrO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, whose crystal chemistry is almost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identical to that of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Previous investigations report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direct and reversible transformation between the orthorhombic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Pbc2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 the tetragonal phase.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12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orthorhombic phase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can only be formed in ZrO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at much lower temperatures, due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to higher stability of the tetragonal phase compared to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 xml:space="preserve">14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It is also well established that the monoclinic phase emerges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during cooling from the metastable tetragonal phase. The so-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lution of SiO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in the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matrix leads to the gradual stabili-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zation of a metastable tetragonal phase and allows controlling</w:t>
      </w:r>
    </w:p>
    <w:p>
      <w:pPr>
        <w:sectPr>
          <w:type w:val="nextColumn"/>
          <w:pgSz w:w="12240" w:h="16199"/>
          <w:pgMar w:top="306" w:right="998" w:bottom="378" w:left="1020" w:header="720" w:footer="720" w:gutter="0"/>
          <w:cols w:space="720" w:num="2" w:equalWidth="0"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07"/>
        <w:gridCol w:w="3407"/>
        <w:gridCol w:w="3407"/>
      </w:tblGrid>
      <w:tr>
        <w:trPr>
          <w:trHeight w:hRule="exact" w:val="1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112904-3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Bo¨scke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99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112904 (2011)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8"/>
        <w:ind w:left="0" w:right="0"/>
      </w:pPr>
    </w:p>
    <w:p>
      <w:pPr>
        <w:sectPr>
          <w:pgSz w:w="12240" w:h="16199"/>
          <w:pgMar w:top="306" w:right="998" w:bottom="1440" w:left="1020" w:header="720" w:footer="720" w:gutter="0"/>
          <w:cols w:space="720" w:num="1" w:equalWidth="0"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8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2527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6199"/>
          <w:pgMar w:top="306" w:right="998" w:bottom="1440" w:left="1020" w:header="720" w:footer="720" w:gutter="0"/>
          <w:cols w:space="720" w:num="2" w:equalWidth="0">
            <w:col w:w="4472" w:space="0"/>
            <w:col w:w="5750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40"/>
        <w:ind w:left="808" w:right="2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that could be controlled by the film composition. If the AFE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phase was mechanically confined during cooling, it reversi-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bly transformed back into the orthorhombic ferroelectric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phase. Without confinement, a monoclinic/tetragonal phase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mixture was formed. We conclude that there is a common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higher symmetry parent phase to both the orthorhombic FE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the monoclinic phase. An energy barrier between the 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m-phase prevents direct transformations between those</w:t>
      </w:r>
    </w:p>
    <w:p>
      <w:pPr>
        <w:sectPr>
          <w:type w:val="nextColumn"/>
          <w:pgSz w:w="12240" w:h="16199"/>
          <w:pgMar w:top="306" w:right="998" w:bottom="1440" w:left="1020" w:header="720" w:footer="720" w:gutter="0"/>
          <w:cols w:space="720" w:num="2" w:equalWidth="0">
            <w:col w:w="4472" w:space="0"/>
            <w:col w:w="5750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11"/>
        <w:gridCol w:w="5111"/>
      </w:tblGrid>
      <w:tr>
        <w:trPr>
          <w:trHeight w:hRule="exact" w:val="26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4" w:after="0"/>
              <w:ind w:left="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FIG. 4. (Color online) Schematic representation of the observed transitions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8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phases.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6199"/>
          <w:pgMar w:top="306" w:right="998" w:bottom="1440" w:left="1020" w:header="720" w:footer="720" w:gutter="0"/>
          <w:cols w:space="720" w:num="1" w:equalWidth="0">
            <w:col w:w="10222" w:space="0"/>
            <w:col w:w="4472" w:space="0"/>
            <w:col w:w="5750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between the o-phase (FE), the t-phase (AFE), and the m-phase.</w:t>
      </w:r>
    </w:p>
    <w:p>
      <w:pPr>
        <w:autoSpaceDN w:val="0"/>
        <w:autoSpaceDE w:val="0"/>
        <w:widowControl/>
        <w:spacing w:line="240" w:lineRule="exact" w:before="384" w:after="0"/>
        <w:ind w:left="0" w:right="144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transformability, therefore influencing the transition tem-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perature to the two lower symmetry phases.</w:t>
      </w:r>
    </w:p>
    <w:p>
      <w:pPr>
        <w:autoSpaceDN w:val="0"/>
        <w:autoSpaceDE w:val="0"/>
        <w:widowControl/>
        <w:spacing w:line="240" w:lineRule="exact" w:before="0" w:after="0"/>
        <w:ind w:left="0" w:right="18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tetragonal phase is clearly related to the AFE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behavior. The AFE polarization loops may potentially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emerge due to a field driven transformation to the ortho-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rhombic FE phase. However, as pointed out by Kisi 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Howard,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15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no direct phase relationship between the t and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 phases exists and the transformation takes place via an in-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termediate phase, speculated to be of space group Pbcm.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suggests the microscopic origin of the AFE behavior to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be rather complex. Further studies are required to understand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exact mechanism.</w:t>
      </w:r>
    </w:p>
    <w:p>
      <w:pPr>
        <w:autoSpaceDN w:val="0"/>
        <w:tabs>
          <w:tab w:pos="360" w:val="left"/>
        </w:tabs>
        <w:autoSpaceDE w:val="0"/>
        <w:widowControl/>
        <w:spacing w:line="240" w:lineRule="exact" w:before="0" w:after="0"/>
        <w:ind w:left="0" w:right="144" w:firstLine="0"/>
        <w:jc w:val="left"/>
      </w:pP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4</w:t>
      </w:r>
      <w:r>
        <w:rPr>
          <w:rFonts w:ascii="AdvP6975" w:hAnsi="AdvP6975" w:eastAsia="AdvP6975"/>
          <w:b w:val="0"/>
          <w:i w:val="0"/>
          <w:color w:val="000000"/>
          <w:sz w:val="20"/>
        </w:rPr>
        <w:t xml:space="preserve"> summarizes our current understanding of the </w:t>
      </w:r>
      <w:r>
        <w:rPr>
          <w:rFonts w:ascii="AdvP6975" w:hAnsi="AdvP6975" w:eastAsia="AdvP6975"/>
          <w:b w:val="0"/>
          <w:i w:val="0"/>
          <w:color w:val="000000"/>
          <w:sz w:val="20"/>
        </w:rPr>
        <w:t>phase relations in the investigated material system.</w:t>
      </w:r>
    </w:p>
    <w:p>
      <w:pPr>
        <w:autoSpaceDN w:val="0"/>
        <w:autoSpaceDE w:val="0"/>
        <w:widowControl/>
        <w:spacing w:line="240" w:lineRule="exact" w:before="0" w:after="0"/>
        <w:ind w:left="0" w:right="18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In conclusion, we used a combination of temperature de-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pendent polarization and XRD measurements to elucidate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nature of the ferroelectric phase transition. For our exper-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imental conditions, the ferroelectric phase was present at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room temperature in samples having less than 4 mol. %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SiO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. The phase was stable after removal of the capping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layer. Upon heating, a transformation into a phase with anti-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ferroelectric characteristics was observed at a temperature</w:t>
      </w:r>
    </w:p>
    <w:p>
      <w:pPr>
        <w:sectPr>
          <w:type w:val="continuous"/>
          <w:pgSz w:w="12240" w:h="16199"/>
          <w:pgMar w:top="306" w:right="998" w:bottom="1440" w:left="1020" w:header="720" w:footer="720" w:gutter="0"/>
          <w:cols w:space="720" w:num="2" w:equalWidth="0">
            <w:col w:w="5102" w:space="0"/>
            <w:col w:w="5120" w:space="0"/>
            <w:col w:w="10222" w:space="0"/>
            <w:col w:w="4472" w:space="0"/>
            <w:col w:w="5750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  <w:col w:w="10222" w:space="0"/>
            <w:col w:w="5100" w:space="0"/>
            <w:col w:w="5122" w:space="0"/>
            <w:col w:w="10222" w:space="0"/>
            <w:col w:w="5100" w:space="0"/>
            <w:col w:w="5122" w:space="0"/>
            <w:col w:w="1022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53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work for this paper was partially supported within</w:t>
      </w:r>
    </w:p>
    <w:p>
      <w:pPr>
        <w:autoSpaceDN w:val="0"/>
        <w:autoSpaceDE w:val="0"/>
        <w:widowControl/>
        <w:spacing w:line="200" w:lineRule="exact" w:before="40" w:after="0"/>
        <w:ind w:left="17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scope of technology development by the EFRE fund of</w:t>
      </w:r>
    </w:p>
    <w:p>
      <w:pPr>
        <w:autoSpaceDN w:val="0"/>
        <w:autoSpaceDE w:val="0"/>
        <w:widowControl/>
        <w:spacing w:line="200" w:lineRule="exact" w:before="38" w:after="0"/>
        <w:ind w:left="17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European Community and by funding of the Free State</w:t>
      </w:r>
    </w:p>
    <w:p>
      <w:pPr>
        <w:autoSpaceDN w:val="0"/>
        <w:autoSpaceDE w:val="0"/>
        <w:widowControl/>
        <w:spacing w:line="200" w:lineRule="exact" w:before="42" w:after="0"/>
        <w:ind w:left="17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of Saxony (Project MERLIN).</w:t>
      </w:r>
    </w:p>
    <w:p>
      <w:pPr>
        <w:autoSpaceDN w:val="0"/>
        <w:autoSpaceDE w:val="0"/>
        <w:widowControl/>
        <w:spacing w:line="200" w:lineRule="exact" w:before="238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R. Anderson,</w:t>
      </w:r>
      <w:r>
        <w:rPr>
          <w:rFonts w:ascii="AdvP696A" w:hAnsi="AdvP696A" w:eastAsia="AdvP696A"/>
          <w:b w:val="0"/>
          <w:i w:val="0"/>
          <w:color w:val="221F1F"/>
          <w:sz w:val="16"/>
        </w:rPr>
        <w:t xml:space="preserve"> Ferro Electric-materials as Storage Elements for Digital</w:t>
      </w:r>
    </w:p>
    <w:p>
      <w:pPr>
        <w:autoSpaceDN w:val="0"/>
        <w:autoSpaceDE w:val="0"/>
        <w:widowControl/>
        <w:spacing w:line="164" w:lineRule="exact" w:before="24" w:after="0"/>
        <w:ind w:left="298" w:right="0" w:firstLine="0"/>
        <w:jc w:val="left"/>
      </w:pPr>
      <w:r>
        <w:rPr>
          <w:rFonts w:ascii="AdvP696A" w:hAnsi="AdvP696A" w:eastAsia="AdvP696A"/>
          <w:b w:val="0"/>
          <w:i w:val="0"/>
          <w:color w:val="221F1F"/>
          <w:sz w:val="16"/>
        </w:rPr>
        <w:t>Computers and Switching Systems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(ACM, USA, 1952), p. 81.</w:t>
      </w:r>
    </w:p>
    <w:p>
      <w:pPr>
        <w:autoSpaceDN w:val="0"/>
        <w:autoSpaceDE w:val="0"/>
        <w:widowControl/>
        <w:spacing w:line="194" w:lineRule="exact" w:before="0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>N. Setter, D. Damjanovic, L. Eng, G. Fox, S. Gevorgian, S. Hong, A.</w:t>
      </w:r>
    </w:p>
    <w:p>
      <w:pPr>
        <w:autoSpaceDN w:val="0"/>
        <w:autoSpaceDE w:val="0"/>
        <w:widowControl/>
        <w:spacing w:line="160" w:lineRule="exact" w:before="30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Kingon, H. Kohlstedt, N. Y. Park, G. B. Stephenson, I. Stolitchnov, A. K.</w:t>
      </w:r>
    </w:p>
    <w:p>
      <w:pPr>
        <w:autoSpaceDN w:val="0"/>
        <w:autoSpaceDE w:val="0"/>
        <w:widowControl/>
        <w:spacing w:line="164" w:lineRule="exact" w:before="30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Taganstev, D. V. Taylor, T. Yamada, and S. Streiffer,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14" w:history="1">
          <w:r>
            <w:rPr>
              <w:rStyle w:val="Hyperlink"/>
            </w:rPr>
            <w:t>J. Appl. 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</w:t>
      </w:r>
    </w:p>
    <w:p>
      <w:pPr>
        <w:autoSpaceDN w:val="0"/>
        <w:autoSpaceDE w:val="0"/>
        <w:widowControl/>
        <w:spacing w:line="160" w:lineRule="exact" w:before="26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051606 (2006).</w:t>
      </w:r>
    </w:p>
    <w:p>
      <w:pPr>
        <w:autoSpaceDN w:val="0"/>
        <w:autoSpaceDE w:val="0"/>
        <w:widowControl/>
        <w:spacing w:line="198" w:lineRule="exact" w:before="0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S.-A. Wu,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15" w:history="1">
          <w:r>
            <w:rPr>
              <w:rStyle w:val="Hyperlink"/>
            </w:rPr>
            <w:t>IEEE Trans. Electron Devices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499 (1974).</w:t>
      </w:r>
    </w:p>
    <w:p>
      <w:pPr>
        <w:autoSpaceDN w:val="0"/>
        <w:autoSpaceDE w:val="0"/>
        <w:widowControl/>
        <w:spacing w:line="194" w:lineRule="exact" w:before="0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T. S. Bo¨scke, J. Mu¨ller, D. Bra¨uhaus, U. Schro¨der, and U. Bo¨ttger,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16" w:history="1">
          <w:r>
            <w:rPr>
              <w:rStyle w:val="Hyperlink"/>
            </w:rPr>
            <w:t>Appl.</w:t>
          </w:r>
        </w:hyperlink>
      </w:r>
    </w:p>
    <w:p>
      <w:pPr>
        <w:autoSpaceDN w:val="0"/>
        <w:autoSpaceDE w:val="0"/>
        <w:widowControl/>
        <w:spacing w:line="164" w:lineRule="exact" w:before="30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0000FF"/>
          <w:sz w:val="16"/>
        </w:rPr>
        <w:hyperlink r:id="rId16" w:history="1">
          <w:r>
            <w:rPr>
              <w:rStyle w:val="Hyperlink"/>
            </w:rPr>
            <w:t>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99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102903 (2011).</w:t>
      </w:r>
    </w:p>
    <w:p>
      <w:pPr>
        <w:autoSpaceDN w:val="0"/>
        <w:autoSpaceDE w:val="0"/>
        <w:widowControl/>
        <w:spacing w:line="198" w:lineRule="exact" w:before="0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K. J. Hubbard and D. G. Schlom,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17" w:history="1">
          <w:r>
            <w:rPr>
              <w:rStyle w:val="Hyperlink"/>
            </w:rPr>
            <w:t>J. Mater. Res.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2757 (1996).</w:t>
      </w:r>
    </w:p>
    <w:p>
      <w:pPr>
        <w:autoSpaceDN w:val="0"/>
        <w:autoSpaceDE w:val="0"/>
        <w:widowControl/>
        <w:spacing w:line="186" w:lineRule="exact" w:before="12" w:after="0"/>
        <w:ind w:left="144" w:right="0" w:firstLine="0"/>
        <w:jc w:val="center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6</w:t>
      </w:r>
      <w:r>
        <w:rPr>
          <w:rFonts w:ascii="AdvP6975" w:hAnsi="AdvP6975" w:eastAsia="AdvP6975"/>
          <w:b w:val="0"/>
          <w:i w:val="0"/>
          <w:color w:val="221F1F"/>
          <w:sz w:val="16"/>
        </w:rPr>
        <w:t>K. Tomida, K. Kita, and A. Toriumi,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18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89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142902 (2006). 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T. S. Bo¨scke, S. Govindarajan, P. D. Kirsch, P. Y. Hung, C. Krug, B.-H.</w:t>
      </w:r>
    </w:p>
    <w:p>
      <w:pPr>
        <w:autoSpaceDN w:val="0"/>
        <w:autoSpaceDE w:val="0"/>
        <w:widowControl/>
        <w:spacing w:line="160" w:lineRule="exact" w:before="30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Lee, J. Heitmann, U. Schro¨der, G. Pant, B. E. Gnade, and W. H. Krautsch-</w:t>
      </w:r>
    </w:p>
    <w:p>
      <w:pPr>
        <w:autoSpaceDN w:val="0"/>
        <w:autoSpaceDE w:val="0"/>
        <w:widowControl/>
        <w:spacing w:line="164" w:lineRule="exact" w:before="30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neider,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19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072902 (2007).</w:t>
      </w:r>
    </w:p>
    <w:p>
      <w:pPr>
        <w:autoSpaceDN w:val="0"/>
        <w:autoSpaceDE w:val="0"/>
        <w:widowControl/>
        <w:spacing w:line="200" w:lineRule="exact" w:before="0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8</w:t>
      </w:r>
      <w:r>
        <w:rPr>
          <w:rFonts w:ascii="AdvP6975" w:hAnsi="AdvP6975" w:eastAsia="AdvP6975"/>
          <w:b w:val="0"/>
          <w:i w:val="0"/>
          <w:color w:val="221F1F"/>
          <w:sz w:val="16"/>
        </w:rPr>
        <w:t>D. Fischer and A. Kersch,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0" w:history="1">
          <w:r>
            <w:rPr>
              <w:rStyle w:val="Hyperlink"/>
            </w:rPr>
            <w:t>Microelectron. Eng.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84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2039 (2007).</w:t>
      </w:r>
    </w:p>
    <w:p>
      <w:pPr>
        <w:autoSpaceDN w:val="0"/>
        <w:autoSpaceDE w:val="0"/>
        <w:widowControl/>
        <w:spacing w:line="194" w:lineRule="exact" w:before="0" w:after="0"/>
        <w:ind w:left="23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9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T. S. Bo¨scke, P. Y. Hung, P. D. Kirsch, M. a. Quevedo-Lopez, and</w:t>
      </w:r>
    </w:p>
    <w:p>
      <w:pPr>
        <w:autoSpaceDN w:val="0"/>
        <w:autoSpaceDE w:val="0"/>
        <w:widowControl/>
        <w:spacing w:line="166" w:lineRule="exact" w:before="30" w:after="0"/>
        <w:ind w:left="29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R. Ramı´rez-Bon,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1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052904 (2009).</w:t>
      </w:r>
    </w:p>
    <w:p>
      <w:pPr>
        <w:autoSpaceDN w:val="0"/>
        <w:autoSpaceDE w:val="0"/>
        <w:widowControl/>
        <w:spacing w:line="190" w:lineRule="exact" w:before="8" w:after="0"/>
        <w:ind w:left="17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K. Kita, K. Kyuno, and A. Toriumi,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2" w:history="1">
          <w:r>
            <w:rPr>
              <w:rStyle w:val="Hyperlink"/>
            </w:rPr>
            <w:t>Appl. 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86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, 102906 (2005). 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Wang, H. P. Li, and R. Stevens,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3" w:history="1">
          <w:r>
            <w:rPr>
              <w:rStyle w:val="Hyperlink"/>
            </w:rPr>
            <w:t>J. Mater. Sci.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5397 (1992).</w:t>
      </w:r>
    </w:p>
    <w:p>
      <w:pPr>
        <w:autoSpaceDN w:val="0"/>
        <w:autoSpaceDE w:val="0"/>
        <w:widowControl/>
        <w:spacing w:line="198" w:lineRule="exact" w:before="0" w:after="0"/>
        <w:ind w:left="17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12</w:t>
      </w:r>
      <w:r>
        <w:rPr>
          <w:rFonts w:ascii="AdvP6975" w:hAnsi="AdvP6975" w:eastAsia="AdvP6975"/>
          <w:b w:val="0"/>
          <w:i w:val="0"/>
          <w:color w:val="221F1F"/>
          <w:sz w:val="16"/>
        </w:rPr>
        <w:t>E. H. Kisi,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4" w:history="1">
          <w:r>
            <w:rPr>
              <w:rStyle w:val="Hyperlink"/>
            </w:rPr>
            <w:t>J. Am. Ceram. Soc.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81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741 (1998).</w:t>
      </w:r>
    </w:p>
    <w:p>
      <w:pPr>
        <w:autoSpaceDN w:val="0"/>
        <w:autoSpaceDE w:val="0"/>
        <w:widowControl/>
        <w:spacing w:line="194" w:lineRule="exact" w:before="0" w:after="0"/>
        <w:ind w:left="17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C. J. Howard, E. H. Kisi, R. B. Roberts, and R. J. Hill,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5" w:history="1">
          <w:r>
            <w:rPr>
              <w:rStyle w:val="Hyperlink"/>
            </w:rPr>
            <w:t>J. Am. Ceram. Soc.</w:t>
          </w:r>
        </w:hyperlink>
      </w:r>
    </w:p>
    <w:p>
      <w:pPr>
        <w:autoSpaceDN w:val="0"/>
        <w:autoSpaceDE w:val="0"/>
        <w:widowControl/>
        <w:spacing w:line="166" w:lineRule="exact" w:before="30" w:after="0"/>
        <w:ind w:left="298" w:right="0" w:firstLine="0"/>
        <w:jc w:val="left"/>
      </w:pPr>
      <w:r>
        <w:rPr>
          <w:rFonts w:ascii="AdvP6960" w:hAnsi="AdvP6960" w:eastAsia="AdvP6960"/>
          <w:b w:val="0"/>
          <w:i w:val="0"/>
          <w:color w:val="221F1F"/>
          <w:sz w:val="16"/>
        </w:rPr>
        <w:t>73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2828 (1990).</w:t>
      </w:r>
    </w:p>
    <w:p>
      <w:pPr>
        <w:autoSpaceDN w:val="0"/>
        <w:autoSpaceDE w:val="0"/>
        <w:widowControl/>
        <w:spacing w:line="198" w:lineRule="exact" w:before="0" w:after="0"/>
        <w:ind w:left="17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A. Navrotsky,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6" w:history="1">
          <w:r>
            <w:rPr>
              <w:rStyle w:val="Hyperlink"/>
            </w:rPr>
            <w:t>J. Mater. Chem.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1883 (2005).</w:t>
      </w:r>
    </w:p>
    <w:p>
      <w:pPr>
        <w:autoSpaceDN w:val="0"/>
        <w:autoSpaceDE w:val="0"/>
        <w:widowControl/>
        <w:spacing w:line="200" w:lineRule="exact" w:before="0" w:after="0"/>
        <w:ind w:left="178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E. H. Kisi and C. J. Howard,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27" w:history="1">
          <w:r>
            <w:rPr>
              <w:rStyle w:val="Hyperlink"/>
            </w:rPr>
            <w:t>Key Eng. Mater.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153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 (1998).</w:t>
      </w:r>
    </w:p>
    <w:sectPr w:rsidR="00FC693F" w:rsidRPr="0006063C" w:rsidSect="00034616">
      <w:type w:val="nextColumn"/>
      <w:pgSz w:w="12240" w:h="16199"/>
      <w:pgMar w:top="306" w:right="998" w:bottom="1440" w:left="1020" w:header="720" w:footer="720" w:gutter="0"/>
      <w:cols w:space="720" w:num="2" w:equalWidth="0">
        <w:col w:w="5102" w:space="0"/>
        <w:col w:w="5120" w:space="0"/>
        <w:col w:w="10222" w:space="0"/>
        <w:col w:w="4472" w:space="0"/>
        <w:col w:w="5750" w:space="0"/>
        <w:col w:w="10222" w:space="0"/>
        <w:col w:w="5100" w:space="0"/>
        <w:col w:w="5122" w:space="0"/>
        <w:col w:w="10222" w:space="0"/>
        <w:col w:w="5100" w:space="0"/>
        <w:col w:w="5122" w:space="0"/>
        <w:col w:w="10222" w:space="0"/>
        <w:col w:w="10222" w:space="0"/>
        <w:col w:w="5100" w:space="0"/>
        <w:col w:w="5122" w:space="0"/>
        <w:col w:w="10222" w:space="0"/>
        <w:col w:w="5100" w:space="0"/>
        <w:col w:w="5122" w:space="0"/>
        <w:col w:w="102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63/1.3636434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dx.doi.org/10.1063/1.2336999" TargetMode="External"/><Relationship Id="rId15" Type="http://schemas.openxmlformats.org/officeDocument/2006/relationships/hyperlink" Target="http://dx.doi.org/10.1109/T-ED.1974.17955" TargetMode="External"/><Relationship Id="rId16" Type="http://schemas.openxmlformats.org/officeDocument/2006/relationships/hyperlink" Target="http://dx.doi.org/10.1063/1.3634052" TargetMode="External"/><Relationship Id="rId17" Type="http://schemas.openxmlformats.org/officeDocument/2006/relationships/hyperlink" Target="http://dx.doi.org/10.1557/JMR.1996.0350" TargetMode="External"/><Relationship Id="rId18" Type="http://schemas.openxmlformats.org/officeDocument/2006/relationships/hyperlink" Target="http://dx.doi.org/10.1063/1.2355471" TargetMode="External"/><Relationship Id="rId19" Type="http://schemas.openxmlformats.org/officeDocument/2006/relationships/hyperlink" Target="http://dx.doi.org/10.1063/1.2771376" TargetMode="External"/><Relationship Id="rId20" Type="http://schemas.openxmlformats.org/officeDocument/2006/relationships/hyperlink" Target="http://dx.doi.org/10.1016/j.mee.2007.04.006" TargetMode="External"/><Relationship Id="rId21" Type="http://schemas.openxmlformats.org/officeDocument/2006/relationships/hyperlink" Target="http://dx.doi.org/10.1063/1.3195623" TargetMode="External"/><Relationship Id="rId22" Type="http://schemas.openxmlformats.org/officeDocument/2006/relationships/hyperlink" Target="http://dx.doi.org/10.1063/1.1880436" TargetMode="External"/><Relationship Id="rId23" Type="http://schemas.openxmlformats.org/officeDocument/2006/relationships/hyperlink" Target="http://dx.doi.org/10.1007/BF00541601" TargetMode="External"/><Relationship Id="rId24" Type="http://schemas.openxmlformats.org/officeDocument/2006/relationships/hyperlink" Target="http://dx.doi.org/10.1111/j.1151-2916.1998.tb02402.x" TargetMode="External"/><Relationship Id="rId25" Type="http://schemas.openxmlformats.org/officeDocument/2006/relationships/hyperlink" Target="http://dx.doi.org/10.1111/j.1151-2916.1990.tb06682.x" TargetMode="External"/><Relationship Id="rId26" Type="http://schemas.openxmlformats.org/officeDocument/2006/relationships/hyperlink" Target="http://dx.doi.org/10.1039/b417143h" TargetMode="External"/><Relationship Id="rId27" Type="http://schemas.openxmlformats.org/officeDocument/2006/relationships/hyperlink" Target="http://dx.doi.org/10.4028/www.scientific.net/KEM.153-154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