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6210300</wp:posOffset>
            </wp:positionV>
            <wp:extent cx="2146300" cy="977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77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High Endurance Strategies for Hafnium Oxide Based 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>Ferroelectric Field Effect Transistor</w:t>
      </w:r>
    </w:p>
    <w:p>
      <w:pPr>
        <w:autoSpaceDN w:val="0"/>
        <w:tabs>
          <w:tab w:pos="6730" w:val="left"/>
        </w:tabs>
        <w:autoSpaceDE w:val="0"/>
        <w:widowControl/>
        <w:spacing w:line="233" w:lineRule="auto" w:before="680" w:after="0"/>
        <w:ind w:left="14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J. Müller, P. Polakowski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S. Müller, H. Mulaosmanovic, </w:t>
      </w:r>
    </w:p>
    <w:p>
      <w:pPr>
        <w:autoSpaceDN w:val="0"/>
        <w:tabs>
          <w:tab w:pos="6442" w:val="left"/>
        </w:tabs>
        <w:autoSpaceDE w:val="0"/>
        <w:widowControl/>
        <w:spacing w:line="233" w:lineRule="auto" w:before="8" w:after="0"/>
        <w:ind w:left="17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Fraunhofer IPMS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J. Ocker, T. Mikolajick, S. Slesazeck </w:t>
      </w:r>
    </w:p>
    <w:p>
      <w:pPr>
        <w:autoSpaceDN w:val="0"/>
        <w:tabs>
          <w:tab w:pos="7292" w:val="left"/>
        </w:tabs>
        <w:autoSpaceDE w:val="0"/>
        <w:widowControl/>
        <w:spacing w:line="230" w:lineRule="auto" w:before="10" w:after="0"/>
        <w:ind w:left="16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Dresden, Germany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NaMLab gGmbH </w:t>
      </w:r>
    </w:p>
    <w:p>
      <w:pPr>
        <w:autoSpaceDN w:val="0"/>
        <w:tabs>
          <w:tab w:pos="7242" w:val="left"/>
        </w:tabs>
        <w:autoSpaceDE w:val="0"/>
        <w:widowControl/>
        <w:spacing w:line="233" w:lineRule="auto" w:before="12" w:after="0"/>
        <w:ind w:left="127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FF"/>
          <w:sz w:val="22"/>
          <w:u w:val="single"/>
        </w:rPr>
        <w:t xml:space="preserve">johannes.mueller@ieee.org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Dresden, Germany </w:t>
      </w:r>
    </w:p>
    <w:p>
      <w:pPr>
        <w:autoSpaceDN w:val="0"/>
        <w:tabs>
          <w:tab w:pos="7468" w:val="left"/>
        </w:tabs>
        <w:autoSpaceDE w:val="0"/>
        <w:widowControl/>
        <w:spacing w:line="230" w:lineRule="auto" w:before="368" w:after="0"/>
        <w:ind w:left="16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S. Müller, J. Ocker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T. Mikolajick </w:t>
      </w:r>
    </w:p>
    <w:p>
      <w:pPr>
        <w:autoSpaceDN w:val="0"/>
        <w:tabs>
          <w:tab w:pos="7254" w:val="left"/>
        </w:tabs>
        <w:autoSpaceDE w:val="0"/>
        <w:widowControl/>
        <w:spacing w:line="230" w:lineRule="auto" w:before="10" w:after="0"/>
        <w:ind w:left="1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Ferroelectric Memory GmbH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IHM, TU-Dresden </w:t>
      </w:r>
    </w:p>
    <w:p>
      <w:pPr>
        <w:autoSpaceDN w:val="0"/>
        <w:tabs>
          <w:tab w:pos="7242" w:val="left"/>
        </w:tabs>
        <w:autoSpaceDE w:val="0"/>
        <w:widowControl/>
        <w:spacing w:line="233" w:lineRule="auto" w:before="12" w:after="0"/>
        <w:ind w:left="16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Dresden, Germany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Dresden, Germany </w:t>
      </w:r>
    </w:p>
    <w:p>
      <w:pPr>
        <w:autoSpaceDN w:val="0"/>
        <w:autoSpaceDE w:val="0"/>
        <w:widowControl/>
        <w:spacing w:line="233" w:lineRule="auto" w:before="36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S. Flachowsky, M. Trentzsch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GLOBALFOUNDRIES </w:t>
      </w:r>
    </w:p>
    <w:p>
      <w:pPr>
        <w:autoSpaceDN w:val="0"/>
        <w:autoSpaceDE w:val="0"/>
        <w:widowControl/>
        <w:spacing w:line="230" w:lineRule="auto" w:before="12" w:after="278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Dresden, Germany </w:t>
      </w:r>
    </w:p>
    <w:p>
      <w:pPr>
        <w:sectPr>
          <w:pgSz w:w="11904" w:h="16840"/>
          <w:pgMar w:top="550" w:right="646" w:bottom="926" w:left="672" w:header="720" w:footer="720" w:gutter="0"/>
          <w:cols w:space="720" w:num="1" w:equalWidth="0"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— In this paper potential strategies to overcome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endurance limitations of hafnium oxide based ferroelectric field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effect transistors are discussed. These pathways are based on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assumption that the high interfacial field stress and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accompanying charge injection in the metal-ferroelectric-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insulator-semiconductor gate stack are the dominant degradation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mechanisms during program and erase operation. Three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different approaches capable of loweri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ng or eliminating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interfacial field stress are being assessed -</w:t>
      </w:r>
      <w:r>
        <w:rPr>
          <w:shd w:val="clear" w:color="auto" w:fill="ffd100"/>
          <w:rFonts w:ascii="TimesNewRoman,Bold" w:hAnsi="TimesNewRoman,Bold" w:eastAsia="TimesNewRoman,Bold"/>
          <w:b/>
          <w:i w:val="0"/>
          <w:color w:val="000000"/>
          <w:sz w:val="18"/>
        </w:rPr>
        <w:t xml:space="preserve"> lowering the electrical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586"/>
      </w:tblGrid>
      <w:tr>
        <w:trPr>
          <w:trHeight w:hRule="exact" w:val="240"/>
        </w:trPr>
        <w:tc>
          <w:tcPr>
            <w:tcW w:type="dxa" w:w="5152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field stress induced by polarization reversal; utilizing low voltage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586"/>
      </w:tblGrid>
      <w:tr>
        <w:trPr>
          <w:trHeight w:hRule="exact" w:val="240"/>
        </w:trPr>
        <w:tc>
          <w:tcPr>
            <w:tcW w:type="dxa" w:w="5152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sub-loop operation; altering the capacitive divider within the gate 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62" w:right="0" w:firstLine="0"/>
        <w:jc w:val="left"/>
      </w:pPr>
      <w:r>
        <w:rPr>
          <w:shd w:val="clear" w:color="auto" w:fill="ffd100"/>
          <w:rFonts w:ascii="TimesNewRoman,Bold" w:hAnsi="TimesNewRoman,Bold" w:eastAsia="TimesNewRoman,Bold"/>
          <w:b/>
          <w:i w:val="0"/>
          <w:color w:val="000000"/>
          <w:sz w:val="18"/>
        </w:rPr>
        <w:t>stack.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0" w:lineRule="auto" w:before="210" w:after="0"/>
        <w:ind w:left="350" w:right="0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hafnium oxide; ferroelectric; FRAM; FeFET, NVM </w:t>
      </w:r>
    </w:p>
    <w:p>
      <w:pPr>
        <w:autoSpaceDN w:val="0"/>
        <w:tabs>
          <w:tab w:pos="2278" w:val="left"/>
        </w:tabs>
        <w:autoSpaceDE w:val="0"/>
        <w:widowControl/>
        <w:spacing w:line="230" w:lineRule="auto" w:before="164" w:after="0"/>
        <w:ind w:left="1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90" w:after="0"/>
        <w:ind w:left="62" w:right="0" w:firstLine="28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the appearance of ferroelectric hafnium oxide (FE-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ferroelectric field effect transistor (FeFET)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experienced a renaissance in terms of scalability and CMOS-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compatibility and has become a serious contender for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embedded memory solution in 2X nm HKMG technologies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beyond ([1] and Ref. therein). However, at this stage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development and devic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 implementation the FeFET faces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some trade-off between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endurance and retentio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n, as well as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between scalability and 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memory window (MW).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In particular,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the key feature of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 -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coervice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field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in combination with an ultra-thin SiO(N) interface -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proven ambivalent in nature. On the one hand the high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the key enabler for device scaling and retention, on the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hand it ch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allenges the cycling endurance of the novel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device [2].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The degradation of the SiO(N) interface driven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6"/>
      </w:tblGrid>
      <w:tr>
        <w:trPr>
          <w:trHeight w:hRule="exact" w:val="264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cyclic charge trapping during program (PGM) and erase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6"/>
      </w:tblGrid>
      <w:tr>
        <w:trPr>
          <w:trHeight w:hRule="exact" w:val="262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(ERS) operation was identified as the root cause for this </w:t>
            </w:r>
          </w:p>
        </w:tc>
      </w:tr>
    </w:tbl>
    <w:p>
      <w:pPr>
        <w:autoSpaceDN w:val="0"/>
        <w:autoSpaceDE w:val="0"/>
        <w:widowControl/>
        <w:spacing w:line="228" w:lineRule="auto" w:before="0" w:after="0"/>
        <w:ind w:left="0" w:right="0" w:firstLine="0"/>
        <w:jc w:val="center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endurance degradation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[3].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According to these findings new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6"/>
      </w:tblGrid>
      <w:tr>
        <w:trPr>
          <w:trHeight w:hRule="exact" w:val="264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strategies need to be derived to overcome this endurance 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limitation.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experimental data and theoretical </w:t>
      </w:r>
    </w:p>
    <w:p>
      <w:pPr>
        <w:autoSpaceDN w:val="0"/>
        <w:autoSpaceDE w:val="0"/>
        <w:widowControl/>
        <w:spacing w:line="230" w:lineRule="auto" w:before="482" w:after="0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IEEE Copyright Notice,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978-1-5090-3522-9/16/$31.00 ©2016 IEEE.</w:t>
      </w:r>
    </w:p>
    <w:p>
      <w:pPr>
        <w:sectPr>
          <w:type w:val="continuous"/>
          <w:pgSz w:w="11904" w:h="16840"/>
          <w:pgMar w:top="550" w:right="646" w:bottom="926" w:left="672" w:header="720" w:footer="720" w:gutter="0"/>
          <w:cols w:space="720" w:num="2" w:equalWidth="0"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8" w:right="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considerations this paper will review and assess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strategies to overcome this dilemma towards a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endurance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FeFET. The following strategies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 or eliminate the high interfacial field stress during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PGM and ERS operation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examined: In section II –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th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e tailoring of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the polarization of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will be examined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. I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n section III –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the poss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ibilities of 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ferroelectric sub-loop operat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ion will be a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nalyzed.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Finally in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section IV – the engineer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ing of the capacitive volta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 divider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gate stack utilizi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ng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higher-k in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terfaces or direct growth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of FE-HfO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on silicon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well as the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separate area scaling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23" w:type="dxa"/>
      </w:tblPr>
      <w:tblGrid>
        <w:gridCol w:w="3529"/>
        <w:gridCol w:w="3529"/>
        <w:gridCol w:w="3529"/>
      </w:tblGrid>
      <w:tr>
        <w:trPr>
          <w:trHeight w:hRule="exact" w:val="264"/>
        </w:trPr>
        <w:tc>
          <w:tcPr>
            <w:tcW w:type="dxa" w:w="5166"/>
            <w:gridSpan w:val="3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ferroelectric and the insulator capacitance in metal-</w:t>
            </w:r>
          </w:p>
        </w:tc>
      </w:tr>
      <w:tr>
        <w:trPr>
          <w:trHeight w:hRule="exact" w:val="228"/>
        </w:trPr>
        <w:tc>
          <w:tcPr>
            <w:tcW w:type="dxa" w:w="362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ferroelectric-metal-insulator-semiconductor </w:t>
            </w:r>
          </w:p>
        </w:tc>
        <w:tc>
          <w:tcPr>
            <w:tcW w:type="dxa" w:w="1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(MFMIS) 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gate 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1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structures will be discussed. </w:t>
      </w:r>
    </w:p>
    <w:p>
      <w:pPr>
        <w:autoSpaceDN w:val="0"/>
        <w:autoSpaceDE w:val="0"/>
        <w:widowControl/>
        <w:spacing w:line="283" w:lineRule="auto" w:before="282" w:after="0"/>
        <w:ind w:left="0" w:right="1978" w:firstLine="0"/>
        <w:jc w:val="right"/>
      </w:pPr>
      <w:r>
        <w:rPr>
          <w:w w:val="102.66999637379367"/>
          <w:rFonts w:ascii="TimesNewRoman,Bold" w:hAnsi="TimesNewRoman,Bold" w:eastAsia="TimesNewRoman,Bold"/>
          <w:b/>
          <w:i w:val="0"/>
          <w:color w:val="000000"/>
          <w:sz w:val="17"/>
        </w:rPr>
        <w:t>TiN</w:t>
      </w:r>
      <w:r>
        <w:rPr>
          <w:w w:val="102.66999637379367"/>
          <w:rFonts w:ascii="TimesNewRoman" w:hAnsi="TimesNewRoman" w:eastAsia="TimesNewRoman"/>
          <w:b w:val="0"/>
          <w:i w:val="0"/>
          <w:color w:val="000000"/>
          <w:sz w:val="17"/>
        </w:rPr>
        <w:t xml:space="preserve"> Φ</w:t>
      </w:r>
      <w:r>
        <w:rPr>
          <w:w w:val="96.43999735514322"/>
          <w:rFonts w:ascii="TimesNewRoman" w:hAnsi="TimesNewRoman" w:eastAsia="TimesNewRoman"/>
          <w:b w:val="0"/>
          <w:i w:val="0"/>
          <w:color w:val="000000"/>
          <w:sz w:val="12"/>
        </w:rPr>
        <w:t>M</w:t>
      </w:r>
      <w:r>
        <w:rPr>
          <w:w w:val="102.66999637379367"/>
          <w:rFonts w:ascii="TimesNewRoman" w:hAnsi="TimesNewRoman" w:eastAsia="TimesNewRoman"/>
          <w:b w:val="0"/>
          <w:i w:val="0"/>
          <w:color w:val="000000"/>
          <w:sz w:val="17"/>
        </w:rPr>
        <w:t xml:space="preserve"> 4.45 eV</w:t>
      </w:r>
    </w:p>
    <w:p>
      <w:pPr>
        <w:autoSpaceDN w:val="0"/>
        <w:autoSpaceDE w:val="0"/>
        <w:widowControl/>
        <w:spacing w:line="259" w:lineRule="auto" w:before="50" w:after="12"/>
        <w:ind w:left="1440" w:right="1296" w:firstLine="0"/>
        <w:jc w:val="center"/>
      </w:pPr>
      <w:r>
        <w:rPr>
          <w:w w:val="102.66999637379367"/>
          <w:rFonts w:ascii="TimesNewRoman,Bold" w:hAnsi="TimesNewRoman,Bold" w:eastAsia="TimesNewRoman,Bold"/>
          <w:b/>
          <w:i w:val="0"/>
          <w:color w:val="FFFFFF"/>
          <w:sz w:val="17"/>
        </w:rPr>
        <w:t>FE-HfO</w:t>
      </w:r>
      <w:r>
        <w:rPr>
          <w:w w:val="96.43999735514322"/>
          <w:rFonts w:ascii="TimesNewRoman,Bold" w:hAnsi="TimesNewRoman,Bold" w:eastAsia="TimesNewRoman,Bold"/>
          <w:b/>
          <w:i w:val="0"/>
          <w:color w:val="FFFFFF"/>
          <w:sz w:val="12"/>
        </w:rPr>
        <w:t xml:space="preserve">2 </w:t>
      </w:r>
      <w:r>
        <w:br/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t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 xml:space="preserve">HfO2 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10 nm;</w:t>
      </w:r>
      <w:r>
        <w:rPr>
          <w:w w:val="102.66999637379367"/>
          <w:rFonts w:ascii="Arial" w:hAnsi="Arial" w:eastAsia="Arial"/>
          <w:b w:val="0"/>
          <w:i w:val="0"/>
          <w:color w:val="FFFFFF"/>
          <w:sz w:val="17"/>
        </w:rPr>
        <w:t xml:space="preserve"> ε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>HfO2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 xml:space="preserve"> 30; E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 xml:space="preserve">c 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 xml:space="preserve">1 MV/cm </w:t>
      </w:r>
      <w:r>
        <w:br/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P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>r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 xml:space="preserve"> 9 µC/cm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 xml:space="preserve">2 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 xml:space="preserve">; 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P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>r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/P</w:t>
      </w:r>
      <w:r>
        <w:rPr>
          <w:w w:val="96.43999735514322"/>
          <w:rFonts w:ascii="TimesNewRoman" w:hAnsi="TimesNewRoman" w:eastAsia="TimesNewRoman"/>
          <w:b w:val="0"/>
          <w:i w:val="0"/>
          <w:color w:val="FFFFFF"/>
          <w:sz w:val="12"/>
        </w:rPr>
        <w:t>s</w:t>
      </w:r>
      <w:r>
        <w:rPr>
          <w:w w:val="102.66999637379367"/>
          <w:rFonts w:ascii="TimesNewRoman" w:hAnsi="TimesNewRoman" w:eastAsia="TimesNewRoman"/>
          <w:b w:val="0"/>
          <w:i w:val="0"/>
          <w:color w:val="FFFFFF"/>
          <w:sz w:val="17"/>
        </w:rPr>
        <w:t>0.9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3.9999999999998" w:type="dxa"/>
      </w:tblPr>
      <w:tblGrid>
        <w:gridCol w:w="3529"/>
        <w:gridCol w:w="3529"/>
        <w:gridCol w:w="3529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268" w:firstLine="0"/>
              <w:jc w:val="right"/>
            </w:pP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n++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2" w:after="0"/>
              <w:ind w:left="0" w:right="0" w:firstLine="0"/>
              <w:jc w:val="center"/>
            </w:pPr>
            <w:r>
              <w:rPr>
                <w:w w:val="102.66999637379367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SiO</w:t>
            </w:r>
            <w:r>
              <w:rPr>
                <w:w w:val="96.43999735514322"/>
                <w:rFonts w:ascii="TimesNewRoman,Bold" w:hAnsi="TimesNewRoman,Bold" w:eastAsia="TimesNewRoman,Bold"/>
                <w:b/>
                <w:i w:val="0"/>
                <w:color w:val="FFFFFF"/>
                <w:sz w:val="12"/>
              </w:rPr>
              <w:t>2</w:t>
            </w: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FFFFFF"/>
                <w:sz w:val="17"/>
              </w:rPr>
              <w:t xml:space="preserve"> t</w:t>
            </w:r>
            <w:r>
              <w:rPr>
                <w:w w:val="96.43999735514322"/>
                <w:rFonts w:ascii="TimesNewRoman" w:hAnsi="TimesNewRoman" w:eastAsia="TimesNewRoman"/>
                <w:b w:val="0"/>
                <w:i w:val="0"/>
                <w:color w:val="FFFFFF"/>
                <w:sz w:val="12"/>
              </w:rPr>
              <w:t>IF</w:t>
            </w: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FFFFFF"/>
                <w:sz w:val="17"/>
              </w:rPr>
              <w:t xml:space="preserve"> 1.2 nm; </w:t>
            </w:r>
            <w:r>
              <w:rPr>
                <w:w w:val="102.66999637379367"/>
                <w:rFonts w:ascii="Arial" w:hAnsi="Arial" w:eastAsia="Arial"/>
                <w:b w:val="0"/>
                <w:i w:val="0"/>
                <w:color w:val="FFFFFF"/>
                <w:sz w:val="17"/>
              </w:rPr>
              <w:t>ε</w:t>
            </w:r>
            <w:r>
              <w:rPr>
                <w:w w:val="96.43999735514322"/>
                <w:rFonts w:ascii="TimesNewRoman" w:hAnsi="TimesNewRoman" w:eastAsia="TimesNewRoman"/>
                <w:b w:val="0"/>
                <w:i w:val="0"/>
                <w:color w:val="FFFFFF"/>
                <w:sz w:val="12"/>
              </w:rPr>
              <w:t>IF</w:t>
            </w: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FFFFFF"/>
                <w:sz w:val="17"/>
              </w:rPr>
              <w:t xml:space="preserve"> 4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256" w:right="0" w:firstLine="0"/>
              <w:jc w:val="left"/>
            </w:pP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n++</w:t>
            </w:r>
          </w:p>
        </w:tc>
      </w:tr>
      <w:tr>
        <w:trPr>
          <w:trHeight w:hRule="exact" w:val="330"/>
        </w:trPr>
        <w:tc>
          <w:tcPr>
            <w:tcW w:type="dxa" w:w="3529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102.66999637379367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 xml:space="preserve">p-Si   </w:t>
            </w: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FFFFFF"/>
                <w:sz w:val="17"/>
              </w:rPr>
              <w:t>N</w:t>
            </w:r>
            <w:r>
              <w:rPr>
                <w:w w:val="96.43999735514322"/>
                <w:rFonts w:ascii="TimesNewRoman" w:hAnsi="TimesNewRoman" w:eastAsia="TimesNewRoman"/>
                <w:b w:val="0"/>
                <w:i w:val="0"/>
                <w:color w:val="FFFFFF"/>
                <w:sz w:val="12"/>
              </w:rPr>
              <w:t>A</w:t>
            </w:r>
            <w:r>
              <w:rPr>
                <w:w w:val="102.66999637379367"/>
                <w:rFonts w:ascii="TimesNewRoman" w:hAnsi="TimesNewRoman" w:eastAsia="TimesNewRoman"/>
                <w:b w:val="0"/>
                <w:i w:val="0"/>
                <w:color w:val="FFFFFF"/>
                <w:sz w:val="17"/>
              </w:rPr>
              <w:t xml:space="preserve"> 5.5 E18</w:t>
            </w:r>
          </w:p>
        </w:tc>
        <w:tc>
          <w:tcPr>
            <w:tcW w:type="dxa" w:w="35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0" w:after="0"/>
        <w:ind w:left="1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1.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Schematic cross-section and gate stack parameters of the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based FeFET used for modelling and obtaining the experimental results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discussed in this paper. </w:t>
      </w:r>
    </w:p>
    <w:p>
      <w:pPr>
        <w:autoSpaceDN w:val="0"/>
        <w:autoSpaceDE w:val="0"/>
        <w:widowControl/>
        <w:spacing w:line="245" w:lineRule="auto" w:before="202" w:after="0"/>
        <w:ind w:left="178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numerical simulation results shown in this paper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the FeFET description given by Miller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McWorther [4]. The polarization hysteresis is simulated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a Preisach [5] behavior, including sub-loop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operation. The parameters of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FeFET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 as a reference are given in Fig. 1., with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representing the remanent and spontaneous polarization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dielectric constants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thickness of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interfacial layer respectively.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A</w:t>
      </w:r>
    </w:p>
    <w:p>
      <w:pPr>
        <w:sectPr>
          <w:type w:val="nextColumn"/>
          <w:pgSz w:w="11904" w:h="16840"/>
          <w:pgMar w:top="550" w:right="646" w:bottom="926" w:left="672" w:header="720" w:footer="720" w:gutter="0"/>
          <w:cols w:space="720" w:num="2" w:equalWidth="0"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sectPr>
          <w:pgSz w:w="11904" w:h="16840"/>
          <w:pgMar w:top="530" w:right="648" w:bottom="1238" w:left="734" w:header="720" w:footer="720" w:gutter="0"/>
          <w:cols w:space="720" w:num="2" w:equalWidth="0"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represents the doping concentration of the p-Si, whereas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work function of the TiN metal gate is represented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Φ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896" w:val="left"/>
        </w:tabs>
        <w:autoSpaceDE w:val="0"/>
        <w:widowControl/>
        <w:spacing w:line="230" w:lineRule="auto" w:before="160" w:after="0"/>
        <w:ind w:left="4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AILORING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OLARIZATION</w:t>
      </w:r>
    </w:p>
    <w:p>
      <w:pPr>
        <w:autoSpaceDN w:val="0"/>
        <w:autoSpaceDE w:val="0"/>
        <w:widowControl/>
        <w:spacing w:line="245" w:lineRule="auto" w:before="88" w:after="0"/>
        <w:ind w:left="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assess the potential use to be expected from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tunable polarization, its role during polarization switching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has to be examined. In Fig. 2 the electrical field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hysteresis in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(a) as well as in the interfacial layer (b)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both a ferroelectric and a dielectric gate stack are shown. </w:t>
      </w:r>
    </w:p>
    <w:p>
      <w:pPr>
        <w:autoSpaceDN w:val="0"/>
        <w:autoSpaceDE w:val="0"/>
        <w:widowControl/>
        <w:spacing w:line="240" w:lineRule="auto" w:before="132" w:after="0"/>
        <w:ind w:left="8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59000" cy="2755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8" w:after="0"/>
        <w:ind w:left="0" w:right="13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2.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Simulated electrical field strength hysteresis for a 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(blue solid lines, parameters according to Fig. 1) and a dielectric (red dashed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lines, same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stack, but without polarization) gate stack for a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excitation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voltage oscillating from ±10V to zero. In (a) the electrical field in the hafnium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oxide is given, whereas in (b) the electrical field in the interfacial layer (here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 is given. </w:t>
      </w:r>
    </w:p>
    <w:p>
      <w:pPr>
        <w:autoSpaceDN w:val="0"/>
        <w:autoSpaceDE w:val="0"/>
        <w:widowControl/>
        <w:spacing w:line="245" w:lineRule="auto" w:before="202" w:after="0"/>
        <w:ind w:left="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bipolar gate voltage excitation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is decreasing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±10V to zero. The simulation with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possessing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properties was performed according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given in Fig. 1, whereas the simulation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performed with a similar stack but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excluding polarization. </w:t>
      </w:r>
    </w:p>
    <w:p>
      <w:pPr>
        <w:autoSpaceDN w:val="0"/>
        <w:autoSpaceDE w:val="0"/>
        <w:widowControl/>
        <w:spacing w:line="245" w:lineRule="auto" w:before="8" w:after="0"/>
        <w:ind w:left="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Fig. 3a the electrical field in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interface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were extracted assuming a program operation 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5V. In Fig 2 and 3a it is readily observed that the trends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electric field distribution for the two stacks,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dielectric, are inverted. For the ferroelectric stack,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reversal from the negative polarization state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positive polarization state leads on the one hand to a reduced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electrical field in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on the other hand to an even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increased interfacial field strength. </w:t>
      </w:r>
    </w:p>
    <w:p>
      <w:pPr>
        <w:autoSpaceDN w:val="0"/>
        <w:autoSpaceDE w:val="0"/>
        <w:widowControl/>
        <w:spacing w:line="245" w:lineRule="auto" w:before="8" w:after="6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Due to the fact that charge injection was not considered in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simulation, this behavior can simply be explained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7"/>
        <w:gridCol w:w="3507"/>
        <w:gridCol w:w="3507"/>
      </w:tblGrid>
      <w:tr>
        <w:trPr>
          <w:trHeight w:hRule="exact" w:val="372"/>
        </w:trPr>
        <w:tc>
          <w:tcPr>
            <w:tcW w:type="dxa" w:w="44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98" w:val="left"/>
              </w:tabs>
              <w:autoSpaceDE w:val="0"/>
              <w:widowControl/>
              <w:spacing w:line="245" w:lineRule="auto" w:before="0" w:after="0"/>
              <w:ind w:left="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conservation of the electric displacement field </w:t>
            </w:r>
            <w:r>
              <w:tab/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!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</w:t>
            </w:r>
          </w:p>
        </w:tc>
      </w:tr>
      <w:tr>
        <w:trPr>
          <w:trHeight w:hRule="exact" w:val="312"/>
        </w:trPr>
        <w:tc>
          <w:tcPr>
            <w:tcW w:type="dxa" w:w="3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2" w:after="0"/>
              <w:ind w:left="426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 � � �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" w:after="0"/>
              <w:ind w:left="20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35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48" w:after="0"/>
        <w:ind w:left="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the electric displacement field and </w:t>
      </w:r>
      <w:r>
        <w:rPr>
          <w:rFonts w:ascii="Symbol" w:hAnsi="Symbol" w:eastAsia="Symbol"/>
          <w:b w:val="0"/>
          <w:i w:val="0"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vacuum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permittivity. Accordingly, simply judging from the analytical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description of the electric displacement field it becomes clear </w:t>
      </w:r>
    </w:p>
    <w:p>
      <w:pPr>
        <w:sectPr>
          <w:type w:val="continuous"/>
          <w:pgSz w:w="11904" w:h="16840"/>
          <w:pgMar w:top="530" w:right="648" w:bottom="1238" w:left="734" w:header="720" w:footer="720" w:gutter="0"/>
          <w:cols w:space="720" w:num="2" w:equalWidth="0"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8" w:after="0"/>
        <w:ind w:left="184" w:right="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is both respons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ible for the increase in 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as well as for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decrease in </w:t>
      </w:r>
      <w:r>
        <w:rPr>
          <w:shd w:val="clear" w:color="auto" w:fill="ffd100"/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shd w:val="clear" w:color="auto" w:fill="ffd100"/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Unfortunately, this is disadvantageous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for device operation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since it increases the gate 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for saturated polarization switching and also affects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reliability due to the fact that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increased. </w:t>
      </w:r>
    </w:p>
    <w:p>
      <w:pPr>
        <w:autoSpaceDN w:val="0"/>
        <w:autoSpaceDE w:val="0"/>
        <w:widowControl/>
        <w:spacing w:line="240" w:lineRule="auto" w:before="120" w:after="0"/>
        <w:ind w:left="10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64079" cy="31521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315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96" w:after="0"/>
        <w:ind w:left="184" w:right="4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3.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Simulated electrical field strength for a ferroelectric (parameters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according to Fig. 1) and dielectric (same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stack, but without polarization)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 at 5 V applied gate bias. In (a) the electrical field in the hafnium oxide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the interfacial layer were extracted. The striped blue bars illustrate results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for the ferroelectric stack and the blank red bars for the stack containing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dielectric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only. Below, (b) compares the band diagram of both stacks at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 V applied gate voltage (blue dashed: ferroelectric; red solid: dielectric). </w:t>
      </w:r>
    </w:p>
    <w:p>
      <w:pPr>
        <w:autoSpaceDN w:val="0"/>
        <w:autoSpaceDE w:val="0"/>
        <w:widowControl/>
        <w:spacing w:line="245" w:lineRule="auto" w:before="212" w:after="0"/>
        <w:ind w:left="184" w:right="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increase in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additionally illustrated in the band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diagram in Fig. 3b. In the example given here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 already enables Fowler-Nordheim tunneling, whereas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dielectric stack remains in a direct tunneling regime for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 5V. </w:t>
      </w:r>
    </w:p>
    <w:p>
      <w:pPr>
        <w:autoSpaceDN w:val="0"/>
        <w:autoSpaceDE w:val="0"/>
        <w:widowControl/>
        <w:spacing w:line="240" w:lineRule="auto" w:before="132" w:after="0"/>
        <w:ind w:left="5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97480" cy="17106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10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8" w:after="0"/>
        <w:ind w:left="184" w:right="4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4.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Simulated memory window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ΔV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(primary y-axis) and interfacial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(secondary y-axis) of a ferroelectric gate stack as a function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spontaneous 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(remaining parameters according to Fig. 1).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data were extracted for a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excitation of ±5V. </w:t>
      </w:r>
    </w:p>
    <w:p>
      <w:pPr>
        <w:sectPr>
          <w:type w:val="nextColumn"/>
          <w:pgSz w:w="11904" w:h="16840"/>
          <w:pgMar w:top="530" w:right="648" w:bottom="1238" w:left="734" w:header="720" w:footer="720" w:gutter="0"/>
          <w:cols w:space="720" w:num="2" w:equalWidth="0"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1676400</wp:posOffset>
            </wp:positionV>
            <wp:extent cx="2019300" cy="2400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4864100</wp:posOffset>
            </wp:positionH>
            <wp:positionV relativeFrom="page">
              <wp:posOffset>4279900</wp:posOffset>
            </wp:positionV>
            <wp:extent cx="1689100" cy="1206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42" w:right="658" w:bottom="1320" w:left="672" w:header="720" w:footer="720" w:gutter="0"/>
          <w:cols w:space="720" w:num="2" w:equalWidth="0"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2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analyze the impact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FeFET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in more detail, additional simulations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performed in which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varied and its impact on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window (MW) and interfacial 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analyzed (see Fig. 4).</w:t>
      </w:r>
    </w:p>
    <w:p>
      <w:pPr>
        <w:autoSpaceDN w:val="0"/>
        <w:autoSpaceDE w:val="0"/>
        <w:widowControl/>
        <w:spacing w:line="245" w:lineRule="auto" w:before="6" w:after="0"/>
        <w:ind w:left="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fixed gate voltage of ±5 V, varying the spontaneous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from 0 to 50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yields a maximum memory </w:t>
      </w:r>
    </w:p>
    <w:p>
      <w:pPr>
        <w:sectPr>
          <w:type w:val="continuous"/>
          <w:pgSz w:w="11904" w:h="16840"/>
          <w:pgMar w:top="542" w:right="658" w:bottom="1320" w:left="672" w:header="720" w:footer="720" w:gutter="0"/>
          <w:cols w:space="720" w:num="2" w:equalWidth="0"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4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axis: The reduction of the projected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 the field axis is accompanied by a reduced projection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electrical field onto the polarization axis. Accordingly,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higher gate voltage needs to be applied to switch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states which again increases the interfacial field stress due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overall increased gate voltage. </w:t>
      </w:r>
    </w:p>
    <w:p>
      <w:pPr>
        <w:sectPr>
          <w:type w:val="nextColumn"/>
          <w:pgSz w:w="11904" w:h="16840"/>
          <w:pgMar w:top="542" w:right="658" w:bottom="1320" w:left="672" w:header="720" w:footer="720" w:gutter="0"/>
          <w:cols w:space="720" w:num="2" w:equalWidth="0"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762"/>
        <w:gridCol w:w="1762"/>
        <w:gridCol w:w="1762"/>
        <w:gridCol w:w="1762"/>
        <w:gridCol w:w="1762"/>
        <w:gridCol w:w="1762"/>
      </w:tblGrid>
      <w:tr>
        <w:trPr>
          <w:trHeight w:hRule="exact" w:val="22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window of around 1.3 V for a spontaneous polarization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0" w:right="4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820" w:after="0"/>
              <w:ind w:left="0" w:right="24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6"/>
              </w:rPr>
              <w:t>∥�</w:t>
            </w:r>
          </w:p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488" w:after="0"/>
              <w:ind w:left="38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4" w:after="0"/>
              <w:ind w:left="70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FF0000"/>
                <w:sz w:val="22"/>
              </w:rPr>
              <w:t>�</w:t>
            </w:r>
          </w:p>
        </w:tc>
      </w:tr>
      <w:tr>
        <w:trPr>
          <w:trHeight w:hRule="exact" w:val="22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between 5 – 10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 Below 5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memory window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524"/>
            <w:gridSpan w:val="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drops dramatically and above 10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memory window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524"/>
            <w:gridSpan w:val="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decreases gradually. Even though the memory window should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524"/>
            <w:gridSpan w:val="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64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6FC0"/>
                <w:sz w:val="22"/>
              </w:rPr>
              <w:t>�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8" w:after="0"/>
              <w:ind w:left="0" w:right="42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6"/>
              </w:rPr>
              <w:t>∥�</w:t>
            </w:r>
          </w:p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rather independent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due to the fact that MW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∼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2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⋅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C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⋅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HfO2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[6], the behavior can reasonably be explained as follows: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80" w:after="0"/>
              <w:ind w:left="0" w:right="342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values smaller than 5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channel surface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524"/>
            <w:gridSpan w:val="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 density induced by the spontaneous polarization is not </w:t>
            </w:r>
          </w:p>
        </w:tc>
        <w:tc>
          <w:tcPr>
            <w:tcW w:type="dxa" w:w="176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  <w:tc>
          <w:tcPr>
            <w:tcW w:type="dxa" w:w="3524"/>
            <w:gridSpan w:val="2"/>
            <w:vMerge/>
            <w:tcBorders/>
          </w:tcPr>
          <w:p/>
        </w:tc>
        <w:tc>
          <w:tcPr>
            <w:tcW w:type="dxa" w:w="17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4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sufficient for the given parameterization of the simulation (this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643"/>
        <w:gridCol w:w="2643"/>
        <w:gridCol w:w="2643"/>
        <w:gridCol w:w="2643"/>
      </w:tblGrid>
      <w:tr>
        <w:trPr>
          <w:trHeight w:hRule="exact" w:val="224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does however not imply that small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values cannot induce 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8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FE-HfO</w:t>
            </w:r>
            <w:r>
              <w:rPr>
                <w:w w:val="97.664000193278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TiN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8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n++</w:t>
            </w:r>
          </w:p>
        </w:tc>
      </w:tr>
      <w:tr>
        <w:trPr>
          <w:trHeight w:hRule="exact" w:val="220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large memory windows [7]). Moreover, for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values larger 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than 10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for 5 V fixed gate voltage the ferroelectric 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2"/>
              </w:rPr>
              <w:t>SiO</w:t>
            </w:r>
            <w:r>
              <w:rPr>
                <w:w w:val="97.664000193278"/>
                <w:rFonts w:ascii="TimesNewRoman" w:hAnsi="TimesNewRoman" w:eastAsia="TimesNewRoman"/>
                <w:b w:val="0"/>
                <w:i w:val="0"/>
                <w:color w:val="FFFFFF"/>
                <w:sz w:val="15"/>
              </w:rPr>
              <w:t>2</w:t>
            </w:r>
          </w:p>
        </w:tc>
        <w:tc>
          <w:tcPr>
            <w:tcW w:type="dxa" w:w="264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more and more operated in a sub-loop state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reduces 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HfO2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Fig. 2-3), which effectively decreases the memory 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window. Hence, the expected saturation of the memory 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4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n++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2643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window for larger spontaneous polarization even turns into a </w:t>
            </w:r>
          </w:p>
        </w:tc>
        <w:tc>
          <w:tcPr>
            <w:tcW w:type="dxa" w:w="264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2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FFFFFF"/>
                <w:sz w:val="22"/>
              </w:rPr>
              <w:t>p-Si</w:t>
            </w:r>
          </w:p>
        </w:tc>
        <w:tc>
          <w:tcPr>
            <w:tcW w:type="dxa" w:w="26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4" w:h="16840"/>
          <w:pgMar w:top="542" w:right="658" w:bottom="1320" w:left="672" w:header="720" w:footer="720" w:gutter="0"/>
          <w:cols w:space="720" w:num="1" w:equalWidth="0"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degradation of MW. </w:t>
      </w:r>
    </w:p>
    <w:p>
      <w:pPr>
        <w:autoSpaceDN w:val="0"/>
        <w:autoSpaceDE w:val="0"/>
        <w:widowControl/>
        <w:spacing w:line="245" w:lineRule="auto" w:before="10" w:after="0"/>
        <w:ind w:left="62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Besides these observations, Fig. 4 shows that the interfacial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stress monotonically increases with larger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gradually saturates. The increase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increasing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explained by equation 1 whereas the saturating behavior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caused by the inability of 5 V gate bias to fully polarize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films with a higher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Saturating the MW at high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requires large switching voltages and lead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further increase of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8" w:lineRule="auto" w:before="4" w:after="0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total, these simulations show that besides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being in general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4"/>
      </w:tblGrid>
      <w:tr>
        <w:trPr>
          <w:trHeight w:hRule="exact" w:val="264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detrimental to data retention [8], a large spontaneous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4"/>
      </w:tblGrid>
      <w:tr>
        <w:trPr>
          <w:trHeight w:hRule="exact" w:val="264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and the accompanying large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IF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might be one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4"/>
      </w:tblGrid>
      <w:tr>
        <w:trPr>
          <w:trHeight w:hRule="exact" w:val="264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possible origins for the interface degradation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4"/>
      </w:tblGrid>
      <w:tr>
        <w:trPr>
          <w:trHeight w:hRule="exact" w:val="264"/>
        </w:trPr>
        <w:tc>
          <w:tcPr>
            <w:tcW w:type="dxa" w:w="331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nonvolatile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based FeFETs [3].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62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Accordingly, the possibilities for reducing the spontaneous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need to be discussed. Due to the fact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 of the spontaneous polarization is intrinsically connected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ions and crystal structure of the ferroelectric, it is highly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challenging to influence the basic value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For ferroelectric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4"/>
      </w:tblGrid>
      <w:tr>
        <w:trPr>
          <w:trHeight w:hRule="exact" w:val="480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hafnium oxide, the theoretical value for spontaneous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polarization was recently predicted to be around 51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0574"/>
      </w:tblGrid>
      <w:tr>
        <w:trPr>
          <w:trHeight w:hRule="exact" w:val="228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showed only minor response to different dopants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[9].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2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Referring back to the statements of the last paragraphs, such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spontaneous polarization would exert significant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electrical field stress on the interface between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silicon bulk when switched into saturation. Assuming it is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 to influence the intrinsic value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possibility to reduce the spontaneous polarization is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orientation control of the polarization axis with respect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axis of the electrical field being applied (see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Error!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Reference source not found.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). </w:t>
      </w:r>
    </w:p>
    <w:p>
      <w:pPr>
        <w:autoSpaceDN w:val="0"/>
        <w:autoSpaceDE w:val="0"/>
        <w:widowControl/>
        <w:spacing w:line="245" w:lineRule="auto" w:before="10" w:after="0"/>
        <w:ind w:left="62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even in case it would be possible to control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axis (texture control or epitaxial growth would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required), there is an obvious drawback connected to rotated </w:t>
      </w:r>
    </w:p>
    <w:p>
      <w:pPr>
        <w:sectPr>
          <w:type w:val="continuous"/>
          <w:pgSz w:w="11904" w:h="16840"/>
          <w:pgMar w:top="542" w:right="658" w:bottom="1320" w:left="672" w:header="720" w:footer="720" w:gutter="0"/>
          <w:cols w:space="720" w:num="2" w:equalWidth="0"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"/>
        <w:ind w:left="10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>(b)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3.9999999999998" w:type="dxa"/>
      </w:tblPr>
      <w:tblGrid>
        <w:gridCol w:w="1322"/>
        <w:gridCol w:w="1322"/>
        <w:gridCol w:w="1322"/>
        <w:gridCol w:w="1322"/>
        <w:gridCol w:w="1322"/>
        <w:gridCol w:w="1322"/>
        <w:gridCol w:w="1322"/>
        <w:gridCol w:w="1322"/>
      </w:tblGrid>
      <w:tr>
        <w:trPr>
          <w:trHeight w:hRule="exact" w:val="276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24" w:firstLine="0"/>
              <w:jc w:val="right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120</w:t>
            </w:r>
          </w:p>
        </w:tc>
        <w:tc>
          <w:tcPr>
            <w:tcW w:type="dxa" w:w="1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52" w:after="0"/>
              <w:ind w:left="0" w:right="0" w:firstLine="0"/>
              <w:jc w:val="center"/>
            </w:pPr>
            <w:r>
              <w:rPr>
                <w:w w:val="102.304740179152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HfO2</w:t>
            </w:r>
            <w:r>
              <w:rPr>
                <w:w w:val="102.30474017915272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= 2E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1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86" w:after="0"/>
              <w:ind w:left="266" w:right="0" w:firstLine="0"/>
              <w:jc w:val="left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0°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S</w:t>
            </w: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tilt </w:t>
            </w:r>
          </w:p>
        </w:tc>
      </w:tr>
      <w:tr>
        <w:trPr>
          <w:trHeight w:hRule="exact" w:val="114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522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IF</w:t>
            </w: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(MV/cm)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286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80 </w:t>
            </w: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3966"/>
            <w:gridSpan w:val="3"/>
            <w:vMerge/>
            <w:tcBorders/>
          </w:tcPr>
          <w:p/>
        </w:tc>
        <w:tc>
          <w:tcPr>
            <w:tcW w:type="dxa" w:w="3966"/>
            <w:gridSpan w:val="3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266" w:right="0" w:firstLine="0"/>
              <w:jc w:val="left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45°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S</w:t>
            </w: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tilt</w:t>
            </w:r>
          </w:p>
        </w:tc>
      </w:tr>
      <w:tr>
        <w:trPr>
          <w:trHeight w:hRule="exact" w:val="232"/>
        </w:trPr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124" w:firstLine="0"/>
              <w:jc w:val="right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3966"/>
            <w:gridSpan w:val="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644"/>
            <w:gridSpan w:val="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08" w:right="0" w:firstLine="0"/>
              <w:jc w:val="left"/>
            </w:pPr>
            <w:r>
              <w:rPr>
                <w:w w:val="98.7399708140980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314" w:lineRule="auto" w:before="16" w:after="0"/>
        <w:ind w:left="0" w:right="1700" w:firstLine="0"/>
        <w:jc w:val="right"/>
      </w:pPr>
      <w:r>
        <w:rPr>
          <w:w w:val="98.73997081409802"/>
          <w:rFonts w:ascii="TimesNewRoman" w:hAnsi="TimesNewRoman" w:eastAsia="TimesNewRoman"/>
          <w:b w:val="0"/>
          <w:i w:val="0"/>
          <w:color w:val="000000"/>
          <w:sz w:val="22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</w:t>
      </w:r>
      <w:r>
        <w:rPr>
          <w:w w:val="98.73997081409802"/>
          <w:rFonts w:ascii="TimesNewRoman" w:hAnsi="TimesNewRoman" w:eastAsia="TimesNewRoman"/>
          <w:b w:val="0"/>
          <w:i w:val="0"/>
          <w:color w:val="000000"/>
          <w:sz w:val="22"/>
        </w:rPr>
        <w:t xml:space="preserve"> (µC/cm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w w:val="98.73997081409802"/>
          <w:rFonts w:ascii="TimesNewRoman" w:hAnsi="TimesNewRoman" w:eastAsia="TimesNewRoman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186" w:lineRule="exact" w:before="170" w:after="0"/>
        <w:ind w:left="148" w:right="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5.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Orientation control of polarization axis to reduce effective value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spontaneous polarization. In (a) a FeFET transistor with homogenously tilted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polarization axis is shown. The magnification shows the mutual projections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polarization and electrical field axis (whereas </w:t>
      </w:r>
      <w:r>
        <w:rPr>
          <w:rFonts w:ascii="Symbol" w:hAnsi="Symbol" w:eastAsia="Symbol"/>
          <w:b w:val="0"/>
          <w:i w:val="0"/>
          <w:color w:val="000000"/>
          <w:sz w:val="16"/>
        </w:rPr>
        <w:t>||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and </w:t>
      </w:r>
      <w:r>
        <w:rPr>
          <w:rFonts w:ascii="Symbol" w:hAnsi="Symbol" w:eastAsia="Symbol"/>
          <w:b w:val="0"/>
          <w:i w:val="0"/>
          <w:color w:val="000000"/>
          <w:sz w:val="16"/>
        </w:rPr>
        <w:t xml:space="preserve">⊥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represent the parallel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perpendicular projections). In (b) the impact of the polarization axis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orientation on the electric field in the interface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during saturated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polarization switching at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HfO2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= 2E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is illustrated as a function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spontaneous 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(parameters according to Fig. 1). The tilt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defined with respect to the surface normal of the channel. </w:t>
      </w:r>
    </w:p>
    <w:p>
      <w:pPr>
        <w:autoSpaceDN w:val="0"/>
        <w:autoSpaceDE w:val="0"/>
        <w:widowControl/>
        <w:spacing w:line="245" w:lineRule="auto" w:before="210" w:after="0"/>
        <w:ind w:left="14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trade-off is illustrated in Fig. 5b assuming a tilted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axis with respect to the surface normal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channel. Nevertheless, for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above 10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observed for saturated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FE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= 2E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Hence, the control of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orientation is limited for reducing interfacial field stress but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represents one possible approach to improve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endurance. The first experimental work on controlling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axis alignment for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are currently being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performed by research groups in Japan [10][11][12]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 important contributions to further enhance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performance. </w:t>
      </w:r>
    </w:p>
    <w:p>
      <w:pPr>
        <w:sectPr>
          <w:type w:val="nextColumn"/>
          <w:pgSz w:w="11904" w:h="16840"/>
          <w:pgMar w:top="542" w:right="658" w:bottom="1320" w:left="672" w:header="720" w:footer="720" w:gutter="0"/>
          <w:cols w:space="720" w:num="2" w:equalWidth="0"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5.99999999999994" w:type="dxa"/>
      </w:tblPr>
      <w:tblGrid>
        <w:gridCol w:w="3508"/>
        <w:gridCol w:w="3508"/>
        <w:gridCol w:w="3508"/>
      </w:tblGrid>
      <w:tr>
        <w:trPr>
          <w:trHeight w:hRule="exact" w:val="20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III.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TILIZING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OOP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PERATION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6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memory window evolutions shown in Fig. 6a.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8"/>
        <w:ind w:left="0" w:right="0"/>
      </w:pPr>
    </w:p>
    <w:p>
      <w:pPr>
        <w:sectPr>
          <w:pgSz w:w="11904" w:h="16840"/>
          <w:pgMar w:top="542" w:right="646" w:bottom="1254" w:left="734" w:header="720" w:footer="720" w:gutter="0"/>
          <w:cols w:space="720" w:num="1" w:equalWidth="0"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viable solution to suppress charge trapping and to achieve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endurance cycles of more than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(limited by testing time)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been experimentally demonstrated for large area, µm-sized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FeFET devices utilizing low voltage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combination with an about 3 nm thick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 [13],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[14]. A possible explanation for this improved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was given in [2]. It is assumed that due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non-saturated polarization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ferroelectric sub-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loops, which are accessed at low voltage, the MW remains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small, but also the electric field stress on the rather thick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interface can be minimized yielding significantly less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trapping and therewith higher endurance.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assumption is further supported by the simulation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results given in Figure 6a. Here the programming slope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window and the corresponding interfacial 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different interfacial layer thicknesses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a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FeFET are shown. In the saturated memory window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regime the system is bound by constant field scaling, meaning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in order to obtain a saturating switching field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the PGM/ERS voltage has to be increased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increasing interfacial layer thickness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whereas the maximum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 stress in the interface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saturated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remains largely independent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auto" w:before="184" w:after="0"/>
        <w:ind w:left="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08629" cy="1003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629" cy="100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08629" cy="1003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629" cy="100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6" w:lineRule="exact" w:before="152" w:after="0"/>
        <w:ind w:left="0" w:right="13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6.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Simulated memory window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ΔV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(primary y-axis) and interfacial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(secondary y-axis) of a ferroelectric gate stack (parameters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according to Fig. 1) are shown as a function of the PGM/ERS voltage. Part (a)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the figure shows a variation of the thickness of the interfacial layer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whereas part (b) shows a variation of the dielectric constant of the interfacial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layer </w:t>
      </w:r>
      <w:r>
        <w:rPr>
          <w:rFonts w:ascii="Symbol" w:hAnsi="Symbol" w:eastAsia="Symbol"/>
          <w:b w:val="0"/>
          <w:i w:val="0"/>
          <w:color w:val="000000"/>
          <w:sz w:val="16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Alternatively, the variation of </w:t>
      </w:r>
      <w:r>
        <w:rPr>
          <w:rFonts w:ascii="Symbol" w:hAnsi="Symbol" w:eastAsia="Symbol"/>
          <w:b w:val="0"/>
          <w:i w:val="0"/>
          <w:color w:val="000000"/>
          <w:sz w:val="16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can be interpreted as a variation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area ratio between the interfacial layer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and the ferroelectric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layer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within the gate stack. </w:t>
      </w:r>
    </w:p>
    <w:p>
      <w:pPr>
        <w:autoSpaceDN w:val="0"/>
        <w:autoSpaceDE w:val="0"/>
        <w:widowControl/>
        <w:spacing w:line="245" w:lineRule="auto" w:before="202" w:after="4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when considering the ability of ferroelectrics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 minor hysteresis loops it is possible to define operating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conditions below the saturated polarization switching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therewith below the maximum field stress in the interfacial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layer. The existence of this sub-loop behavior in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systems has been directly observed in the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hysteresis of metal-insulator-metal capacitors as well as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programming slope of long channel FeFETs [15]. Since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simulation results shown here are based on a sub-loop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54"/>
        <w:gridCol w:w="1754"/>
        <w:gridCol w:w="1754"/>
        <w:gridCol w:w="1754"/>
        <w:gridCol w:w="1754"/>
        <w:gridCol w:w="1754"/>
      </w:tblGrid>
      <w:tr>
        <w:trPr>
          <w:trHeight w:hRule="exact" w:val="230"/>
        </w:trPr>
        <w:tc>
          <w:tcPr>
            <w:tcW w:type="dxa" w:w="9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containing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Preisach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hysteresis, this programing slope is also reflected </w:t>
      </w:r>
    </w:p>
    <w:p>
      <w:pPr>
        <w:sectPr>
          <w:type w:val="continuous"/>
          <w:pgSz w:w="11904" w:h="16840"/>
          <w:pgMar w:top="542" w:right="646" w:bottom="1254" w:left="734" w:header="720" w:footer="720" w:gutter="0"/>
          <w:cols w:space="720" w:num="2" w:equalWidth="0"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" w:right="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Especially for larger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this slope extends over a broad 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offering a stable operating range at reduced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window. </w:t>
      </w:r>
    </w:p>
    <w:p>
      <w:pPr>
        <w:autoSpaceDN w:val="0"/>
        <w:autoSpaceDE w:val="0"/>
        <w:widowControl/>
        <w:spacing w:line="245" w:lineRule="auto" w:before="10" w:after="0"/>
        <w:ind w:left="184" w:right="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contrast to the constant field scaling in the saturated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regime described above, the increase of interfacial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layer thickness in the non-saturated regime may now offer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true benefit. The possibility to significantly reduce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by 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operation allows for PGM/ERS conditions that are no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longer dominated by Fowler-Nordheim tunneling [2].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remaining charge injection into the conduction band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may now rely on direct tunneling alone,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turn is strongly suppressed with increasing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126" w:after="0"/>
        <w:ind w:left="3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59430" cy="23914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391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8" w:after="0"/>
        <w:ind w:left="184" w:right="4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7.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Simulated memory window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ΔV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(primary y-axis) and interfacial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(secondary y-axis) of a ferroelectric gate stack as a function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spontaneous 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(remaining parameters according to Fig. </w:t>
      </w:r>
      <w:r>
        <w:rPr>
          <w:rFonts w:ascii="TimesNewRoman" w:hAnsi="TimesNewRoman" w:eastAsia="TimesNewRoman"/>
          <w:b w:val="0"/>
          <w:i w:val="0"/>
          <w:color w:val="000000"/>
          <w:sz w:val="16"/>
          <w:highlight w:val="yellow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data were extracted for a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excitation of ±5V. </w:t>
      </w:r>
    </w:p>
    <w:p>
      <w:pPr>
        <w:autoSpaceDN w:val="0"/>
        <w:autoSpaceDE w:val="0"/>
        <w:widowControl/>
        <w:spacing w:line="245" w:lineRule="auto" w:before="202" w:after="0"/>
        <w:ind w:left="184" w:right="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this high endurance strategy jeopardizes long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 retention due to the low stability of unsaturated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loops, it suggests a possible pathway to a 1T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DRAM application of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FeFET.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since the minor hysteresis loop behavior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forms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core of this high endurance strategy its physical origin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scalability needs to be considered. </w:t>
      </w:r>
    </w:p>
    <w:p>
      <w:pPr>
        <w:autoSpaceDN w:val="0"/>
        <w:autoSpaceDE w:val="0"/>
        <w:widowControl/>
        <w:spacing w:line="245" w:lineRule="auto" w:before="10" w:after="0"/>
        <w:ind w:left="144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existence of sub-loops in the polarization hysteresis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is a cumulative phenomenon relying on a multi-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grain, multi-domain state 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nd a statistical distribution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switching events.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When shrinking the device size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10524"/>
      </w:tblGrid>
      <w:tr>
        <w:trPr>
          <w:trHeight w:hRule="exact" w:val="262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dimensions of the grains or even single domains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10524"/>
      </w:tblGrid>
      <w:tr>
        <w:trPr>
          <w:trHeight w:hRule="exact" w:val="262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different situation arises, that was recently investigated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10524"/>
      </w:tblGrid>
      <w:tr>
        <w:trPr>
          <w:trHeight w:hRule="exact" w:val="264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Mulaosmanovic et al. [16] using highly scaled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based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84" w:right="32" w:firstLine="0"/>
        <w:jc w:val="both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FeFETs.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context Fig. 7 shows experimentally obtained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program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ming slopes for differently sized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FeFETs (fabrication described elsewhere [16]) measured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same wafer. For the W:500 nm L: 500 nm device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gradual programming slope due to sub-loop switching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window saturation above 5V can be observed.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 is in accordance with the simulation results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6 assuming a Preisach like polarization reversal.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when further scaling device size to W: 80 nm L: 30 </w:t>
      </w:r>
    </w:p>
    <w:p>
      <w:pPr>
        <w:sectPr>
          <w:type w:val="nextColumn"/>
          <w:pgSz w:w="11904" w:h="16840"/>
          <w:pgMar w:top="542" w:right="646" w:bottom="1254" w:left="734" w:header="720" w:footer="720" w:gutter="0"/>
          <w:cols w:space="720" w:num="2" w:equalWidth="0"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1638300</wp:posOffset>
            </wp:positionV>
            <wp:extent cx="2476500" cy="1511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1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3492500</wp:posOffset>
            </wp:positionV>
            <wp:extent cx="2451100" cy="1092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09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4432300</wp:posOffset>
            </wp:positionH>
            <wp:positionV relativeFrom="page">
              <wp:posOffset>5105400</wp:posOffset>
            </wp:positionV>
            <wp:extent cx="2489200" cy="787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8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30" w:right="658" w:bottom="1232" w:left="672" w:header="720" w:footer="720" w:gutter="0"/>
          <w:cols w:space="720" w:num="2" w:equalWidth="0"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4" w:after="0"/>
        <w:ind w:left="62" w:right="154" w:firstLine="0"/>
        <w:jc w:val="both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nm a programming slope is no longer present.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Instead the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devices are characterized by an abrupt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 intermediate polarization states. The onset voltage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abrupt switching is statistically distributed as illustrated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five DUTs of similar dimension. From these experimental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findings it can be deduced that large area devices may be </w:t>
      </w:r>
    </w:p>
    <w:p>
      <w:pPr>
        <w:sectPr>
          <w:type w:val="continuous"/>
          <w:pgSz w:w="11904" w:h="16840"/>
          <w:pgMar w:top="530" w:right="658" w:bottom="1232" w:left="672" w:header="720" w:footer="720" w:gutter="0"/>
          <w:cols w:space="720" w:num="2" w:equalWidth="0"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4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during saturated polarization switching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≈ 2E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maximization of the dielectric constant ratio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/ε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alternatively the maximization of the area ratio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where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represents the area of the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IF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area of the interfacial layer, which is in direct contact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semiconductor channel material. </w:t>
      </w:r>
    </w:p>
    <w:p>
      <w:pPr>
        <w:sectPr>
          <w:type w:val="nextColumn"/>
          <w:pgSz w:w="11904" w:h="16840"/>
          <w:pgMar w:top="530" w:right="658" w:bottom="1232" w:left="672" w:header="720" w:footer="720" w:gutter="0"/>
          <w:cols w:space="720" w:num="2" w:equalWidth="0"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115"/>
        <w:gridCol w:w="2115"/>
        <w:gridCol w:w="2115"/>
        <w:gridCol w:w="2115"/>
        <w:gridCol w:w="2115"/>
      </w:tblGrid>
      <w:tr>
        <w:trPr>
          <w:trHeight w:hRule="exact" w:val="21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viewed as a superposition of this statistical fluctuation of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(a)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8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2 MV/cm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ε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IF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=4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6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CB</w:t>
            </w:r>
          </w:p>
        </w:tc>
      </w:tr>
      <w:tr>
        <w:trPr>
          <w:trHeight w:hRule="exact" w:val="2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discrete switching voltages observed in devices scaled to the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domain size.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a consequence of this size-induced transition from an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12" w:after="0"/>
              <w:ind w:left="0" w:right="7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V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=7.5 V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62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VB</w:t>
            </w:r>
          </w:p>
        </w:tc>
      </w:tr>
      <w:tr>
        <w:trPr>
          <w:trHeight w:hRule="exact" w:val="23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“analog” to a more or less “digital” device behavior, the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utilization of sub-loop operation to overcome the endurance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limitations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based FeFETs has to be viewed with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53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6FC0"/>
                <w:sz w:val="21"/>
              </w:rPr>
              <w:t>TiN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6" w:after="0"/>
              <w:ind w:left="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interfacial</w:t>
            </w:r>
          </w:p>
        </w:tc>
      </w:tr>
      <w:tr>
        <w:trPr>
          <w:trHeight w:hRule="exact" w:val="22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caution. Based on these results the sizing of the memory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window and the related interfacial field stress is no longer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possible. Nevertheless, when considering the possibility of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layer</w:t>
            </w:r>
          </w:p>
        </w:tc>
      </w:tr>
      <w:tr>
        <w:trPr>
          <w:trHeight w:hRule="exact" w:val="23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future improvements in the microscopic homogeneity of the </w:t>
            </w:r>
          </w:p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  <w:tc>
          <w:tcPr>
            <w:tcW w:type="dxa" w:w="21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6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material, the domains, which are responsible for the low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525"/>
        <w:gridCol w:w="3525"/>
        <w:gridCol w:w="3525"/>
      </w:tblGrid>
      <w:tr>
        <w:trPr>
          <w:trHeight w:hRule="exact" w:val="21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voltage onset of switching in large array devices, may be 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112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(b)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0" w:right="83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ε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IF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=16</w:t>
            </w:r>
          </w:p>
        </w:tc>
      </w:tr>
      <w:tr>
        <w:trPr>
          <w:trHeight w:hRule="exact" w:val="24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homogenously stabilized in highly scaled devices. However,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impact of the full polarization switching in these devices 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92" w:after="0"/>
              <w:ind w:left="0" w:right="4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V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=3.9 V</w:t>
            </w:r>
          </w:p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possibility that a reduced switching voltage is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6"/>
        <w:ind w:left="62" w:right="53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correlated with a higher impact of polarization on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field stress (discussion of polarization axis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287"/>
        <w:gridCol w:w="5287"/>
      </w:tblGrid>
      <w:tr>
        <w:trPr>
          <w:trHeight w:hRule="exact" w:val="458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 II) needs to be investigated in detail. Furthermore 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should be noted that based on the assumption of a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2 MV/cm</w:t>
            </w:r>
          </w:p>
        </w:tc>
      </w:tr>
    </w:tbl>
    <w:p>
      <w:pPr>
        <w:autoSpaceDN w:val="0"/>
        <w:autoSpaceDE w:val="0"/>
        <w:widowControl/>
        <w:spacing w:line="230" w:lineRule="auto" w:before="4" w:after="6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superposition of different switching voltages in large area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287"/>
        <w:gridCol w:w="5287"/>
      </w:tblGrid>
      <w:tr>
        <w:trPr>
          <w:trHeight w:hRule="exact" w:val="45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devices, the local polarization impact of early switching grains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the interfacial field stress remains unclear and is not 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64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(c)</w:t>
            </w:r>
          </w:p>
        </w:tc>
      </w:tr>
    </w:tbl>
    <w:p>
      <w:pPr>
        <w:autoSpaceDN w:val="0"/>
        <w:autoSpaceDE w:val="0"/>
        <w:widowControl/>
        <w:spacing w:line="230" w:lineRule="auto" w:before="4" w:after="6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covered by the simulation results, which assume a continuous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525"/>
        <w:gridCol w:w="3525"/>
        <w:gridCol w:w="3525"/>
      </w:tblGrid>
      <w:tr>
        <w:trPr>
          <w:trHeight w:hRule="exact" w:val="21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system and therewith an overall lowered polarization within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V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=2.7 V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2 MV/cm</w:t>
            </w:r>
          </w:p>
        </w:tc>
      </w:tr>
      <w:tr>
        <w:trPr>
          <w:trHeight w:hRule="exact" w:val="23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sub-loop regime.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Beyond the scope of this paper it is interesting to note that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“digital” switching behavior of highly scaled device does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 longer support the application space of neuromorphic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functionality, for which the FeFET is believed to be a suitable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candidate [17]. </w:t>
            </w:r>
          </w:p>
        </w:tc>
        <w:tc>
          <w:tcPr>
            <w:tcW w:type="dxa" w:w="3525"/>
            <w:vMerge/>
            <w:tcBorders/>
          </w:tcPr>
          <w:p/>
        </w:tc>
        <w:tc>
          <w:tcPr>
            <w:tcW w:type="dxa" w:w="35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1904" w:h="16840"/>
          <w:pgMar w:top="530" w:right="658" w:bottom="1232" w:left="672" w:header="720" w:footer="720" w:gutter="0"/>
          <w:cols w:space="720" w:num="1" w:equalWidth="0"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tabs>
          <w:tab w:pos="1376" w:val="left"/>
        </w:tabs>
        <w:autoSpaceDE w:val="0"/>
        <w:widowControl/>
        <w:spacing w:line="230" w:lineRule="auto" w:before="0" w:after="0"/>
        <w:ind w:left="8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AILORING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APACITIVE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IVIDER</w:t>
      </w:r>
    </w:p>
    <w:p>
      <w:pPr>
        <w:autoSpaceDN w:val="0"/>
        <w:autoSpaceDE w:val="0"/>
        <w:widowControl/>
        <w:spacing w:line="245" w:lineRule="auto" w:before="80" w:after="0"/>
        <w:ind w:left="62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switch the ferroelectric polarization of a FeFET,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drop across the ferroelectric layer exceeding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coercive voltage needs to be realized. The distribution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gate voltage within the gate stack of a MFIS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is determined by the capacitive voltage divider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capacitance of the ferroelectric layer, the capacitance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layer and the semiconductor capacitance. Hence,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reduction of the gate voltage required for switching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minimization of unnecessary voltage drops across the interface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semiconductor can be influenced by the capacitive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divider of the gate stack. However, simply altering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capacitive divider by scaling the layer thicknesses (see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III and Fig. 6a) will result in constant field scaling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therewith fails to reduce the interfacial field stress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responsible for the endurance degradation in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FeFETs. Additionally, it can be noted that during PGM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ERS operation the FeFET is either in strong inversion or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strong accumulation, thus reducing the impact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semiconductor capacitance to a minimum. Hence, the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remaining means to influence the interfacial 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</w:p>
    <w:p>
      <w:pPr>
        <w:sectPr>
          <w:type w:val="continuous"/>
          <w:pgSz w:w="11904" w:h="16840"/>
          <w:pgMar w:top="530" w:right="658" w:bottom="1232" w:left="672" w:header="720" w:footer="720" w:gutter="0"/>
          <w:cols w:space="720" w:num="2" w:equalWidth="0">
            <w:col w:w="5308" w:space="0"/>
            <w:col w:w="5265" w:space="0"/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8.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Band diagrams of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FeFETs during program operation.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 saturated polarization switching with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HfO2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=2E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is achieved at (a)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=7.5V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for the reference device according to Fig.1; (b)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=3.9V for the reference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device with </w:t>
      </w:r>
      <w:r>
        <w:rPr>
          <w:rFonts w:ascii="Arial,Italic" w:hAnsi="Arial,Italic" w:eastAsia="Arial,Italic"/>
          <w:b w:val="0"/>
          <w:i/>
          <w:color w:val="000000"/>
          <w:sz w:val="16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enhanced to 16 or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enhanced to 4; (c)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=2.7V for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reference device configured as an MFS-FET. </w:t>
      </w:r>
    </w:p>
    <w:p>
      <w:pPr>
        <w:autoSpaceDN w:val="0"/>
        <w:autoSpaceDE w:val="0"/>
        <w:widowControl/>
        <w:spacing w:line="245" w:lineRule="auto" w:before="21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the dielectric constant and the ferroelectric properties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material are rather intrinsic, only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remains as a material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 capable of changing the capacitive divider towards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 interfacial field stress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simulation results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depicted in Fig. 6b clearly illustrate the reduced switching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and interfacial field stress to be expected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increasing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beyond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dielectric constant of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improved band bending with increasing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a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FeFET during program operation is further illustrated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8b. The increased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suppresses the Fowlwer-Nordheim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tunneling, which most likely dominates the program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reference device illustrated in Fig. 8a. A further increase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would ultimately require modified FN tunneling through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reach its conduction band. Charge trapping would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reduced to direct tunneling into energetically available trap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sites close to the interface. </w:t>
      </w:r>
    </w:p>
    <w:p>
      <w:pPr>
        <w:sectPr>
          <w:type w:val="nextColumn"/>
          <w:pgSz w:w="11904" w:h="16840"/>
          <w:pgMar w:top="530" w:right="658" w:bottom="1232" w:left="672" w:header="720" w:footer="720" w:gutter="0"/>
          <w:cols w:space="720" w:num="2" w:equalWidth="0">
            <w:col w:w="5308" w:space="0"/>
            <w:col w:w="5265" w:space="0"/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11904" w:h="16840"/>
          <w:pgMar w:top="542" w:right="656" w:bottom="1290" w:left="672" w:header="720" w:footer="720" w:gutter="0"/>
          <w:cols w:space="720" w:num="2" w:equalWidth="0">
            <w:col w:w="5308" w:space="0"/>
            <w:col w:w="5265" w:space="0"/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2" w:right="16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However, the replacement of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by a higher-k interfacial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layer poses a severe technological challenge that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extensively investigated during the 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ntroduction of high-k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metal gate transistor technologies [18].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Proven concepts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6"/>
      </w:tblGrid>
      <w:tr>
        <w:trPr>
          <w:trHeight w:hRule="exact" w:val="264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increasing the nitrogen content in SiON or the use of SiN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6"/>
      </w:tblGrid>
      <w:tr>
        <w:trPr>
          <w:trHeight w:hRule="exact" w:val="264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instead of 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only offer a minor increase of </w:t>
            </w: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>ε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IF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may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76"/>
      </w:tblGrid>
      <w:tr>
        <w:trPr>
          <w:trHeight w:hRule="exact" w:val="262"/>
        </w:trPr>
        <w:tc>
          <w:tcPr>
            <w:tcW w:type="dxa" w:w="5164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result in a reliability trade-off due to a higher interfacial trap </w:t>
            </w:r>
          </w:p>
        </w:tc>
      </w:tr>
    </w:tbl>
    <w:p>
      <w:pPr>
        <w:autoSpaceDN w:val="0"/>
        <w:autoSpaceDE w:val="0"/>
        <w:widowControl/>
        <w:spacing w:line="245" w:lineRule="auto" w:before="0" w:after="4"/>
        <w:ind w:left="62" w:right="160" w:firstLine="0"/>
        <w:jc w:val="both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density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[19], [20]. Ultimately the replacement of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by a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high-k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with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above 8 will require the direct growth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 CMOS compatible metal oxide with a sufficiently large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band offset and thermal stability in direct contact with silicon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[18][21]. This significantly narrows down the choice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material to a few metal oxides, amongst which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itself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found. This means that if technological challenges such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regrowth of a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interfacial layer after thermal treatment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the availability of manufacturing ready direct growth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techniques of metal oxides on silicon can be overcome,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logical choice appears to be the direct transition to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525"/>
        <w:gridCol w:w="3525"/>
        <w:gridCol w:w="3525"/>
      </w:tblGrid>
      <w:tr>
        <w:trPr>
          <w:trHeight w:hRule="exact" w:val="23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metal-ferroelectric-semiconductor-FET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(MFS-FET).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2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moderate band bending experienced by such a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MFS-FET structure during PGM operation is displayed in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8c. Depending on the interface quality endurance values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similar to the best results (&gt;10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obtained for saturated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in metal-ferroelectric-metal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might be expected [22]. </w:t>
      </w:r>
    </w:p>
    <w:p>
      <w:pPr>
        <w:autoSpaceDN w:val="0"/>
        <w:autoSpaceDE w:val="0"/>
        <w:widowControl/>
        <w:spacing w:line="245" w:lineRule="auto" w:before="8" w:after="0"/>
        <w:ind w:left="62" w:right="16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first indications of an orthorhombic phase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directly grown on silicon [23], [24] and the significant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progress in the interface-less growth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 Ge [25],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first feasibility studies on actual MFS-FET devices might soon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available. </w:t>
      </w:r>
    </w:p>
    <w:p>
      <w:pPr>
        <w:autoSpaceDN w:val="0"/>
        <w:autoSpaceDE w:val="0"/>
        <w:widowControl/>
        <w:spacing w:line="245" w:lineRule="auto" w:before="8" w:after="0"/>
        <w:ind w:left="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Finally the rather straight forward approach to alter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capacitive divider within the gate stack of a FeFET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influencing the area ratio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discussed.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separate scaling of the individual capacitor areas requires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utilization of a MFMIS gate structure, whose feasibility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devices has already been demonstrated [26]. In terms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 reduction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changing the area ratio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equivalent to changing the ratio of the dielectric constants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/ε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For this reason the improved electric field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distribution within the gate stack for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 2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 4 can be observed in Fig 6b. The improved band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bending for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IF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/A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HfO2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= 4 is illustrated in Fig 8b. Considering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ability of the floating gate (FG) to store electrical charge,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achieving a large area ratio to suppress charge trapping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appears mandatory for the functionality of the MFMIS-FET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stack. </w:t>
      </w:r>
    </w:p>
    <w:p>
      <w:pPr>
        <w:autoSpaceDN w:val="0"/>
        <w:autoSpaceDE w:val="0"/>
        <w:widowControl/>
        <w:spacing w:line="245" w:lineRule="auto" w:before="0" w:after="0"/>
        <w:ind w:left="62" w:right="16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pathways to realize such a structure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contemporary technologies are illustrated in Fig. 9. In a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first technology the enlargement of the interfacial area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 to the ferroelectric area might simply be achieved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separately patterning the dielectric and the ferroelectric part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gate stack using the FG as an etch stop (Fig. 9a).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Alternatively, shrinking of the control gate (CG) alone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suffice. As a major drawback the enhanced complexity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stack and the reduced scalability with increasing area ratio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to be accepted. </w:t>
      </w:r>
    </w:p>
    <w:p>
      <w:pPr>
        <w:sectPr>
          <w:type w:val="continuous"/>
          <w:pgSz w:w="11904" w:h="16840"/>
          <w:pgMar w:top="542" w:right="656" w:bottom="1290" w:left="672" w:header="720" w:footer="720" w:gutter="0"/>
          <w:cols w:space="720" w:num="2" w:equalWidth="0">
            <w:col w:w="5314" w:space="0"/>
            <w:col w:w="5261" w:space="0"/>
            <w:col w:w="5308" w:space="0"/>
            <w:col w:w="5265" w:space="0"/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utilizing a high-k first metal last process technology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starting point for the conformal deposition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area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of the MFMIS-FET will occur naturally (Fig. 9b).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the sizing of the CG plug responsible for this area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scaling depends on the gate length and the thickness of the 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This imposes a restriction on the available area ratios.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Achieving a large area ratio, while simultaneously maintaining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lateral footprint of the device may be achieved by using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recess gate approach as depicted in Fig. 9c. The depth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recess defines the size of the dielectric capacitor, whereas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buried CG contact defines the area of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capacitor. Restrictions for the achievable area ratio are given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technological limits of the recess and the decreasing 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current of the FeFET with increasing channel length. </w:t>
      </w:r>
    </w:p>
    <w:p>
      <w:pPr>
        <w:autoSpaceDN w:val="0"/>
        <w:autoSpaceDE w:val="0"/>
        <w:widowControl/>
        <w:spacing w:line="240" w:lineRule="auto" w:before="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77060" cy="41757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417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8" w:after="0"/>
        <w:ind w:left="148" w:right="3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9.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Schematic FeFET device cross sections illustrating different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pathways towards a reduction of interfacial field stress in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FeFETs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by separately scaling the area of the ferroelectric and the dielectric capacitor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within a MFMIS-FET gate stack. (a) lithographically sizing the capacitor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areas in a gate first technology; (b) utilizing the intrinsic size reduction of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gate plug in replacement gate; (c) sizing of the gate contact in a recess gate. </w:t>
      </w:r>
    </w:p>
    <w:p>
      <w:pPr>
        <w:autoSpaceDN w:val="0"/>
        <w:tabs>
          <w:tab w:pos="2428" w:val="left"/>
        </w:tabs>
        <w:autoSpaceDE w:val="0"/>
        <w:widowControl/>
        <w:spacing w:line="228" w:lineRule="auto" w:before="212" w:after="0"/>
        <w:ind w:left="1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5" w:lineRule="auto" w:before="88" w:after="0"/>
        <w:ind w:left="148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conclusion, we assessed different strategies to cope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interfacial field strength present during program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erase operation in hafnium oxide based MFIS-FETs. It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found that besides the high external biasing required to reach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coercive field strength of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additionally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reversal itself significantly contributes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field stress. When accepting the polarization as an </w:t>
      </w:r>
    </w:p>
    <w:p>
      <w:pPr>
        <w:sectPr>
          <w:type w:val="nextColumn"/>
          <w:pgSz w:w="11904" w:h="16840"/>
          <w:pgMar w:top="542" w:right="656" w:bottom="1290" w:left="672" w:header="720" w:footer="720" w:gutter="0"/>
          <w:cols w:space="720" w:num="2" w:equalWidth="0">
            <w:col w:w="5314" w:space="0"/>
            <w:col w:w="5261" w:space="0"/>
            <w:col w:w="5308" w:space="0"/>
            <w:col w:w="5265" w:space="0"/>
            <w:col w:w="10573" w:space="0"/>
            <w:col w:w="5308" w:space="0"/>
            <w:col w:w="5265" w:space="0"/>
            <w:col w:w="5216" w:space="0"/>
            <w:col w:w="5308" w:space="0"/>
            <w:col w:w="10523" w:space="0"/>
            <w:col w:w="5314" w:space="0"/>
            <w:col w:w="5259" w:space="0"/>
            <w:col w:w="10573" w:space="0"/>
            <w:col w:w="5308" w:space="0"/>
            <w:col w:w="5265" w:space="0"/>
            <w:col w:w="5216" w:space="0"/>
            <w:col w:w="5305" w:space="0"/>
            <w:col w:w="5284" w:space="0"/>
            <w:col w:w="5301" w:space="0"/>
            <w:col w:w="105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>
        <w:trPr>
          <w:trHeight w:hRule="exact" w:val="213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intrinsic material property, the technological challenge to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[9]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field-effect transistor still elusive?,”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IEEE Electron Device Lett,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</w:t>
            </w:r>
          </w:p>
        </w:tc>
      </w:tr>
      <w:tr>
        <w:trPr>
          <w:trHeight w:hRule="exact" w:val="145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homogenously tilt the polarization axis remains as the only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23, no. 7, pp. 386–388, 2002. </w:t>
            </w:r>
          </w:p>
        </w:tc>
      </w:tr>
      <w:tr>
        <w:trPr>
          <w:trHeight w:hRule="exact" w:val="10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S. Clima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“Identification of the ferroelectric switching process </w:t>
            </w:r>
          </w:p>
        </w:tc>
      </w:tr>
      <w:tr>
        <w:trPr>
          <w:trHeight w:hRule="exact" w:val="92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viable option to reduce the polarization contribution. Although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dopant-dependent switching properties in orthorhombic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: A </w:t>
            </w:r>
          </w:p>
        </w:tc>
      </w:tr>
      <w:tr>
        <w:trPr>
          <w:trHeight w:hRule="exact" w:val="50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accompanying increase of switching voltage with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first principles insight,”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Appl. Phys. Lett,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104, no. 9, p. 92906, </w:t>
            </w:r>
          </w:p>
        </w:tc>
      </w:tr>
      <w:tr>
        <w:trPr>
          <w:trHeight w:hRule="exact" w:val="202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increasing tilt angle results in a trade-off, a lower interfacial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[10]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2014. </w:t>
            </w:r>
          </w:p>
        </w:tc>
      </w:tr>
      <w:tr>
        <w:trPr>
          <w:trHeight w:hRule="exact" w:val="16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field strength is still to be expected for polarization values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T. Shimizu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“Growth of epitaxial orthorhombic YO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-substituted </w:t>
            </w:r>
          </w:p>
        </w:tc>
      </w:tr>
      <w:tr>
        <w:trPr>
          <w:trHeight w:hRule="exact" w:val="86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thin film,”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Applied Physics Letters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107, no. 3, p. 32910, </w:t>
            </w:r>
          </w:p>
        </w:tc>
      </w:tr>
      <w:tr>
        <w:trPr>
          <w:trHeight w:hRule="exact" w:val="100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above 10 µC/cm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2015. </w:t>
            </w:r>
          </w:p>
        </w:tc>
      </w:tr>
      <w:tr>
        <w:trPr>
          <w:trHeight w:hRule="exact" w:val="182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simultaneous decrease of the switching voltage and 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[11]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K. Katayama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“Orientation control and domain structure </w:t>
            </w:r>
          </w:p>
        </w:tc>
      </w:tr>
      <w:tr>
        <w:trPr>
          <w:trHeight w:hRule="exact" w:val="20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contribution to the interfacial field stress may be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[12]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analysis of {100}-oriented epitaxial ferroelectric orthorhombic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44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based thin films,”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Journal of Applied Physics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119, no. 13, p. </w:t>
            </w:r>
          </w:p>
        </w:tc>
      </w:tr>
      <w:tr>
        <w:trPr>
          <w:trHeight w:hRule="exact" w:val="134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expected when operating the FeFET in a sub-loop regime,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134101, 2016. </w:t>
            </w:r>
          </w:p>
        </w:tc>
      </w:tr>
      <w:tr>
        <w:trPr>
          <w:trHeight w:hRule="exact" w:val="90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accessing intermediate memory window states below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T. Kiguchi, S. Nakamura, A. Akama, T. Shiraishi, and T. J. Konno, </w:t>
            </w:r>
          </w:p>
        </w:tc>
      </w:tr>
      <w:tr>
        <w:trPr>
          <w:trHeight w:hRule="exact" w:val="64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saturation. However, as was proven experimentally in this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“Solid state epitaxy of (Hf,Zr)O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thin films with orthorhombic </w:t>
            </w:r>
          </w:p>
        </w:tc>
      </w:tr>
      <w:tr>
        <w:trPr>
          <w:trHeight w:hRule="exact" w:val="193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paper, this sub-loop behavior observed in large area devices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[13]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phase,”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Journal of the Ceramic Society of Japan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124, no. 6, pp. </w:t>
            </w:r>
          </w:p>
        </w:tc>
      </w:tr>
      <w:tr>
        <w:trPr>
          <w:trHeight w:hRule="exact" w:val="46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689–693, 2016. </w:t>
            </w:r>
          </w:p>
        </w:tc>
      </w:tr>
      <w:tr>
        <w:trPr>
          <w:trHeight w:hRule="exact" w:val="136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most likely originates from the statistical superposition of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C.-H. Cheng and A. Chin, “Low-Leakage-Current DRAM-Like </w:t>
            </w:r>
          </w:p>
        </w:tc>
      </w:tr>
      <w:tr>
        <w:trPr>
          <w:trHeight w:hRule="exact" w:val="90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individual switching voltages and grain orientations and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Memory Using a One-Transistor Ferroelectric MOSFET With a Hf-</w:t>
            </w:r>
          </w:p>
        </w:tc>
      </w:tr>
      <w:tr>
        <w:trPr>
          <w:trHeight w:hRule="exact" w:val="201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therewith vanishes with decreasing device size or in single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[14]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Based Gate Dielectric,”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IEEE Electron Device Lett,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35, no. 1, pp. </w:t>
            </w:r>
          </w:p>
        </w:tc>
      </w:tr>
      <w:tr>
        <w:trPr>
          <w:trHeight w:hRule="exact" w:val="202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crystal FeFETs. It should be noted that based on these findings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138–140, 2014. </w:t>
            </w:r>
          </w:p>
        </w:tc>
      </w:tr>
      <w:tr>
        <w:trPr>
          <w:trHeight w:hRule="exact" w:val="159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Preisach description of polarization hysteresis becomes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Y. C. Chiu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“Low power 1T DRAM/NVM versatile memory </w:t>
            </w:r>
          </w:p>
        </w:tc>
      </w:tr>
      <w:tr>
        <w:trPr>
          <w:trHeight w:hRule="exact" w:val="10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featuring steep sub-60-mV/decade operation, fast 20-ns speed, and </w:t>
            </w:r>
          </w:p>
        </w:tc>
      </w:tr>
      <w:tr>
        <w:trPr>
          <w:trHeight w:hRule="exact" w:val="88"/>
        </w:trPr>
        <w:tc>
          <w:tcPr>
            <w:tcW w:type="dxa" w:w="5166"/>
            <w:vMerge w:val="restart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inadequate for highly scaled devices and should be substituted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robust 85°C-extrapolated 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endurance,”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Symposium on VLSI </w:t>
            </w:r>
          </w:p>
        </w:tc>
      </w:tr>
      <w:tr>
        <w:trPr>
          <w:trHeight w:hRule="exact" w:val="217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 Landau based model in future simulation work.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Technology (VLSIT)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2015, pp. T184-T185. </w:t>
            </w:r>
          </w:p>
        </w:tc>
      </w:tr>
      <w:tr>
        <w:trPr>
          <w:trHeight w:hRule="exact" w:val="202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Finally, the feasibility of altering the capacitive divider of the 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[15]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J. Müller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“Nanosecond polarization switching and long </w:t>
            </w:r>
          </w:p>
        </w:tc>
      </w:tr>
      <w:tr>
        <w:trPr>
          <w:trHeight w:hRule="exact" w:val="154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gate stack by increasing the dielectric constant or the area of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[16]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retention in a novel MFIS-FET based on ferroelectric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2,”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IEEE </w:t>
            </w:r>
          </w:p>
        </w:tc>
      </w:tr>
      <w:tr>
        <w:trPr>
          <w:trHeight w:hRule="exact" w:val="9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Electron Dev. Lett,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33, no. 2, p. 185, 2012. </w:t>
            </w:r>
          </w:p>
        </w:tc>
      </w:tr>
      <w:tr>
        <w:trPr>
          <w:trHeight w:hRule="exact" w:val="90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interfacial layer with respect to the ferroelectric layer has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H. Mulaosmanovic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“Evidence of single domain switching in </w:t>
            </w:r>
          </w:p>
        </w:tc>
      </w:tr>
      <w:tr>
        <w:trPr>
          <w:trHeight w:hRule="exact" w:val="202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been discussed. It was concluded that if the technological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hafnium oxide based FeFETs: Enabler for multi-level FeFET </w:t>
            </w:r>
          </w:p>
        </w:tc>
      </w:tr>
      <w:tr>
        <w:trPr>
          <w:trHeight w:hRule="exact" w:val="92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challenges to replace 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with an interface-less high-k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memory cells,”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IEEE International Electron Devices Meeting </w:t>
            </w:r>
          </w:p>
        </w:tc>
      </w:tr>
      <w:tr>
        <w:trPr>
          <w:trHeight w:hRule="exact" w:val="90"/>
        </w:trPr>
        <w:tc>
          <w:tcPr>
            <w:tcW w:type="dxa" w:w="1320"/>
            <w:vMerge/>
            <w:tcBorders/>
          </w:tcPr>
          <w:p/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[17] </w:t>
            </w:r>
          </w:p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(IEDM)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2015, p. 26.8.1. </w:t>
            </w:r>
          </w:p>
        </w:tc>
      </w:tr>
      <w:tr>
        <w:trPr>
          <w:trHeight w:hRule="exact" w:val="136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material can be overcome the direct transition to a MFS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S.-M. Yoon and H. Ishiwara, “Adaptive-Learning Synaptic Devices </w:t>
            </w:r>
          </w:p>
        </w:tc>
      </w:tr>
      <w:tr>
        <w:trPr>
          <w:trHeight w:hRule="exact" w:val="90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structure appears to be the more likely pathway. In the case of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Using Ferroelectric-Gate Field-Effect Transistors for Neuromorphic </w:t>
            </w:r>
          </w:p>
        </w:tc>
      </w:tr>
      <w:tr>
        <w:trPr>
          <w:trHeight w:hRule="exact" w:val="202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improved field distribution within the gate stack by a 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[18]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Applications,”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Ferroelectric-Gate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Field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Effect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Transistor </w:t>
            </w:r>
          </w:p>
        </w:tc>
      </w:tr>
      <w:tr>
        <w:trPr>
          <w:trHeight w:hRule="exact" w:val="182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simple capacitor area sizing in an MFMIS structure, the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Memories: Device Physics and Applications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B.-E. Park, H. Ishiwara, </w:t>
            </w:r>
          </w:p>
        </w:tc>
      </w:tr>
      <w:tr>
        <w:trPr>
          <w:trHeight w:hRule="exact" w:val="48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M. Okuyama, S. Sakai, and S.-M. Yoon, Eds, Dordrecht: Springer </w:t>
            </w:r>
          </w:p>
        </w:tc>
      </w:tr>
      <w:tr>
        <w:trPr>
          <w:trHeight w:hRule="exact" w:val="13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increased integration complexity and scaling penalties would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Netherlands, 2016, pp. 311–333. </w:t>
            </w:r>
          </w:p>
        </w:tc>
      </w:tr>
      <w:tr>
        <w:trPr>
          <w:trHeight w:hRule="exact" w:val="8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need careful evaluation.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J. Robertson, “High dielectric constant gate oxides for metal oxide Si </w:t>
            </w:r>
          </w:p>
        </w:tc>
      </w:tr>
      <w:tr>
        <w:trPr>
          <w:trHeight w:hRule="exact" w:val="19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CKNOWLEDGMENT</w:t>
            </w:r>
          </w:p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[19] </w:t>
            </w:r>
          </w:p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transistors,”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Reports on Progress in Physics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69, no. 2, p. 327, </w:t>
            </w:r>
          </w:p>
        </w:tc>
      </w:tr>
      <w:tr>
        <w:trPr>
          <w:trHeight w:hRule="exact" w:val="184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2006. </w:t>
            </w:r>
          </w:p>
        </w:tc>
      </w:tr>
      <w:tr>
        <w:trPr>
          <w:trHeight w:hRule="exact" w:val="171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K. Kushida-Abdelghafar, K. Watanabe, J. Ushio, and E. Murakami, </w:t>
            </w:r>
          </w:p>
        </w:tc>
      </w:tr>
      <w:tr>
        <w:trPr>
          <w:trHeight w:hRule="exact" w:val="199"/>
        </w:trPr>
        <w:tc>
          <w:tcPr>
            <w:tcW w:type="dxa" w:w="5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work for this paper was supported by funding from the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“Effect of nitrogen at 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/Si interface on reliability issues—</w:t>
            </w:r>
          </w:p>
        </w:tc>
      </w:tr>
      <w:tr>
        <w:trPr>
          <w:trHeight w:hRule="exact" w:val="183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Free State of Saxony (Project: SPHINX) 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negative-bias-temperature instability and Fowler–Nordheim-stress </w:t>
            </w:r>
          </w:p>
        </w:tc>
      </w:tr>
      <w:tr>
        <w:trPr>
          <w:trHeight w:hRule="exact" w:val="125"/>
        </w:trPr>
        <w:tc>
          <w:tcPr>
            <w:tcW w:type="dxa" w:w="1320"/>
            <w:vMerge/>
            <w:tcBorders/>
          </w:tcPr>
          <w:p/>
        </w:tc>
        <w:tc>
          <w:tcPr>
            <w:tcW w:type="dxa" w:w="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[20] </w:t>
            </w:r>
          </w:p>
        </w:tc>
        <w:tc>
          <w:tcPr>
            <w:tcW w:type="dxa" w:w="46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degradation,”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Applied Physics Letters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, vol. 81, no. 23, pp. 4362–</w:t>
            </w:r>
          </w:p>
        </w:tc>
      </w:tr>
      <w:tr>
        <w:trPr>
          <w:trHeight w:hRule="exact" w:val="58"/>
        </w:trPr>
        <w:tc>
          <w:tcPr>
            <w:tcW w:type="dxa" w:w="5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EFERENCES</w:t>
            </w:r>
          </w:p>
        </w:tc>
        <w:tc>
          <w:tcPr>
            <w:tcW w:type="dxa" w:w="1320"/>
            <w:vMerge/>
            <w:tcBorders/>
          </w:tcPr>
          <w:p/>
        </w:tc>
        <w:tc>
          <w:tcPr>
            <w:tcW w:type="dxa" w:w="7920"/>
            <w:gridSpan w:val="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4364, 2002. </w:t>
            </w:r>
          </w:p>
        </w:tc>
      </w:tr>
      <w:tr>
        <w:trPr>
          <w:trHeight w:hRule="exact" w:val="186"/>
        </w:trPr>
        <w:tc>
          <w:tcPr>
            <w:tcW w:type="dxa" w:w="1320"/>
            <w:vMerge/>
            <w:tcBorders/>
          </w:tcPr>
          <w:p/>
        </w:tc>
        <w:tc>
          <w:tcPr>
            <w:tcW w:type="dxa" w:w="1320"/>
            <w:vMerge/>
            <w:tcBorders/>
          </w:tcPr>
          <w:p/>
        </w:tc>
        <w:tc>
          <w:tcPr>
            <w:tcW w:type="dxa" w:w="4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J. Ocker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“Influence of nitrogen trap states on the electronic </w:t>
            </w:r>
          </w:p>
        </w:tc>
      </w:tr>
    </w:tbl>
    <w:p>
      <w:pPr>
        <w:autoSpaceDN w:val="0"/>
        <w:autoSpaceDE w:val="0"/>
        <w:widowControl/>
        <w:spacing w:line="230" w:lineRule="auto" w:before="2" w:after="4"/>
        <w:ind w:left="0" w:right="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properties of high-k metal gate transistors,”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International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509"/>
        <w:gridCol w:w="1509"/>
        <w:gridCol w:w="1509"/>
        <w:gridCol w:w="1509"/>
        <w:gridCol w:w="1509"/>
        <w:gridCol w:w="1509"/>
        <w:gridCol w:w="1509"/>
      </w:tblGrid>
      <w:tr>
        <w:trPr>
          <w:trHeight w:hRule="exact" w:val="19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[1]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J. Müller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“Ferroelectric hafnium oxide: A CMOS-compatible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[21]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Integrated Reliability Workshop (IIRW)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2014, pp. 86–89. </w:t>
            </w:r>
          </w:p>
        </w:tc>
      </w:tr>
      <w:tr>
        <w:trPr>
          <w:trHeight w:hRule="exact" w:val="174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highly scalable approach to future ferroelectric memories,” in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K. J. Hubbard and D. G. Schlom, “Thermodynamic stability of </w:t>
            </w:r>
          </w:p>
        </w:tc>
      </w:tr>
      <w:tr>
        <w:trPr>
          <w:trHeight w:hRule="exact" w:val="193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IEEE International Electron Devices Meeting (IEDM)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2013, p.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[22]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binary oxides in contact with silicon,”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J. Mater. Res,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11, no. 11, </w:t>
            </w:r>
          </w:p>
        </w:tc>
      </w:tr>
      <w:tr>
        <w:trPr>
          <w:trHeight w:hRule="exact" w:val="185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10.8.1.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p. 2757, 1996. </w:t>
            </w:r>
          </w:p>
        </w:tc>
      </w:tr>
      <w:tr>
        <w:trPr>
          <w:trHeight w:hRule="exact" w:val="178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J. Müller, S. Müller, P. Polakowski, and T. Mikolajick, “Ferroelectric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P. Polakowski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“Ferroelectric deep trench capacitors based on </w:t>
            </w:r>
          </w:p>
        </w:tc>
      </w:tr>
      <w:tr>
        <w:trPr>
          <w:trHeight w:hRule="exact" w:val="195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hafnium oxide: a game changer to FRAM?,”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14th Non-Volatile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[23]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Al:HfO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for 3D nonvolatile memory applications,”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6th IEEE </w:t>
            </w:r>
          </w:p>
        </w:tc>
      </w:tr>
      <w:tr>
        <w:trPr>
          <w:trHeight w:hRule="exact" w:val="177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[3]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Memory Technology Symposium (NVMTS)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2014.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International Memory Workshop (IMW)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2014. </w:t>
            </w:r>
          </w:p>
        </w:tc>
      </w:tr>
      <w:tr>
        <w:trPr>
          <w:trHeight w:hRule="exact" w:val="171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E. Yurchuk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“Origin of the endurance degradation in the novel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S. Migita, Y. Morita, W. Mizubayashi, and H. Ota, “Preparation of </w:t>
            </w:r>
          </w:p>
        </w:tc>
      </w:tr>
      <w:tr>
        <w:trPr>
          <w:trHeight w:hRule="exact" w:val="201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[4]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-based 1T ferroelectric non-volatile memories,”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IEEE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[24]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epitaxial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film (EOT=0.5 nm) on Si substrate using atomic-layer </w:t>
            </w:r>
          </w:p>
        </w:tc>
      </w:tr>
      <w:tr>
        <w:trPr>
          <w:trHeight w:hRule="exact" w:val="180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International Reliability Physics Symposium (IRPS)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2014, p. 2E.5.1.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deposition of amorphous film and rapid thermal crystallization (RTC) </w:t>
            </w:r>
          </w:p>
        </w:tc>
      </w:tr>
      <w:tr>
        <w:trPr>
          <w:trHeight w:hRule="exact" w:val="185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S. L. Miller and P. J. McWhorter, “Physics of the ferroelectric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an abrupt temperature gradient,”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IEEE International Electron </w:t>
            </w:r>
          </w:p>
        </w:tc>
      </w:tr>
      <w:tr>
        <w:trPr>
          <w:trHeight w:hRule="exact" w:val="183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nonvolatile memory field effect transistor,”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J. Appl. Phys,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vol. 72, no.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Devices Meeting (IEDM)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2010, p. 11.5.1. </w:t>
            </w:r>
          </w:p>
        </w:tc>
      </w:tr>
      <w:tr>
        <w:trPr>
          <w:trHeight w:hRule="exact" w:val="183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12, pp. 5999–6010, Dec. 1992.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Y. Morita, S. Migita, W. Mizubayashi, M. Masahara, and H. Ota, </w:t>
            </w:r>
          </w:p>
        </w:tc>
      </w:tr>
      <w:tr>
        <w:trPr>
          <w:trHeight w:hRule="exact" w:val="18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[5]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F. Preisach, “Über die magnetische Nachwirkung,”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Zeitschrift für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[25]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“Two-step annealing effects on ultrathin EOT higher-k (k = 40) ALD-</w:t>
            </w:r>
          </w:p>
        </w:tc>
      </w:tr>
      <w:tr>
        <w:trPr>
          <w:trHeight w:hRule="exact" w:val="102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Physik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94, no. 5, pp. 277–302, 1935.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gate stacks,”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42nd European Solid-State Device Research </w:t>
            </w:r>
          </w:p>
        </w:tc>
      </w:tr>
      <w:tr>
        <w:trPr>
          <w:trHeight w:hRule="exact" w:val="83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[6]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1509"/>
            <w:vMerge/>
            <w:tcBorders/>
          </w:tcPr>
          <w:p/>
        </w:tc>
        <w:tc>
          <w:tcPr>
            <w:tcW w:type="dxa" w:w="6036"/>
            <w:gridSpan w:val="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M. Ullmann, “Ferroelektrische Feldeffekttransistoren: Modellierung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Conference (ESSDERC)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2012, pp. 81–84. </w:t>
            </w:r>
          </w:p>
        </w:tc>
      </w:tr>
      <w:tr>
        <w:trPr>
          <w:trHeight w:hRule="exact" w:val="179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 Anwendung,” Dissertation, Universität der Bundeswehr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P. D. Lomenzo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“Ferroelectric Si-Doped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Device Properties </w:t>
            </w:r>
          </w:p>
        </w:tc>
      </w:tr>
      <w:tr>
        <w:trPr>
          <w:trHeight w:hRule="exact" w:val="187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[7]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Hamburg, Hamburg, 2002.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[26] 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on Highly Doped Germanium,”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Electron Device Letters, IEEE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vol. </w:t>
            </w:r>
          </w:p>
        </w:tc>
      </w:tr>
      <w:tr>
        <w:trPr>
          <w:trHeight w:hRule="exact" w:val="185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S. Müller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 et al,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“Performance Investigation and Optimization of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36, no. 8, pp. 766–768, 2015. </w:t>
            </w:r>
          </w:p>
        </w:tc>
      </w:tr>
      <w:tr>
        <w:trPr>
          <w:trHeight w:hRule="exact" w:val="182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Si:HfO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FeFETs on a 28 nm Bulk Technology,” in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Applications of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E. Tokumitsu, K. Okamoto, and H. Ishiwara, “Low Voltage </w:t>
            </w:r>
          </w:p>
        </w:tc>
      </w:tr>
      <w:tr>
        <w:trPr>
          <w:trHeight w:hRule="exact" w:val="185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[8]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Ferroelectric and Workshop on the Piezoresponse Force Microscopy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Nonvolatile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Metal-Ferroelectric-Metal-Insulator-</w:t>
            </w:r>
          </w:p>
        </w:tc>
      </w:tr>
      <w:tr>
        <w:trPr>
          <w:trHeight w:hRule="exact" w:val="184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(ISAF/PFM), 2013 IEEE International Symposium on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2013, pp.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Semiconductor (MFMIS)-Field-Effect-Transistors (FETs) Using </w:t>
            </w:r>
          </w:p>
        </w:tc>
      </w:tr>
      <w:tr>
        <w:trPr>
          <w:trHeight w:hRule="exact" w:val="186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248–251.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Pt/SrBi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/Pt/SrTa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/SiON/Si Structures,”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Jap. J. Apl. Phys,</w:t>
            </w:r>
          </w:p>
        </w:tc>
      </w:tr>
      <w:tr>
        <w:trPr>
          <w:trHeight w:hRule="exact" w:val="169"/>
        </w:trPr>
        <w:tc>
          <w:tcPr>
            <w:tcW w:type="dxa" w:w="15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T. P. Ma and J.-P. Han, “Why is nonvolatile ferroelectric memory </w:t>
            </w:r>
          </w:p>
        </w:tc>
        <w:tc>
          <w:tcPr>
            <w:tcW w:type="dxa" w:w="1509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vol. 40, no. 4S, p. 2917, 2001.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40"/>
      <w:pgMar w:top="540" w:right="668" w:bottom="1248" w:left="672" w:header="720" w:footer="720" w:gutter="0"/>
      <w:cols w:space="720" w:num="1" w:equalWidth="0">
        <w:col w:w="10563" w:space="0"/>
        <w:col w:w="5314" w:space="0"/>
        <w:col w:w="5261" w:space="0"/>
        <w:col w:w="5308" w:space="0"/>
        <w:col w:w="5265" w:space="0"/>
        <w:col w:w="10573" w:space="0"/>
        <w:col w:w="5308" w:space="0"/>
        <w:col w:w="5265" w:space="0"/>
        <w:col w:w="5216" w:space="0"/>
        <w:col w:w="5308" w:space="0"/>
        <w:col w:w="10523" w:space="0"/>
        <w:col w:w="5314" w:space="0"/>
        <w:col w:w="5259" w:space="0"/>
        <w:col w:w="10573" w:space="0"/>
        <w:col w:w="5308" w:space="0"/>
        <w:col w:w="5265" w:space="0"/>
        <w:col w:w="5216" w:space="0"/>
        <w:col w:w="5305" w:space="0"/>
        <w:col w:w="5284" w:space="0"/>
        <w:col w:w="5301" w:space="0"/>
        <w:col w:w="105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