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Variants of Ferroelectric Hafnium Oxide based Nonvolatile Memories </w:t>
      </w:r>
    </w:p>
    <w:p>
      <w:pPr>
        <w:autoSpaceDN w:val="0"/>
        <w:autoSpaceDE w:val="0"/>
        <w:widowControl/>
        <w:spacing w:line="245" w:lineRule="auto" w:before="98" w:after="0"/>
        <w:ind w:left="1008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T. Mikolajick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1,2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H. Mulaosmanovic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M. Hoffmann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B.Max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T. Mittmann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U. Schroeder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and S. Slesazeck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NaMLab gGmbH, Noethnitzer Str. 64, Dresden, D-01187, Germany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Chair of Nanoelectronic Materials, TU Dresden, Dresden, D-01069, Germany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Email: </w:t>
      </w:r>
      <w:r>
        <w:rPr>
          <w:rFonts w:ascii="TimesNewRomanPS" w:hAnsi="TimesNewRomanPS" w:eastAsia="TimesNewRomanPS"/>
          <w:b w:val="0"/>
          <w:i/>
          <w:color w:val="0000FF"/>
          <w:sz w:val="20"/>
          <w:u w:val="single"/>
        </w:rPr>
        <w:t>Thomas.mikolajick@namlab.com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/ Phone: (+49) 351-212499020 </w:t>
      </w:r>
    </w:p>
    <w:p>
      <w:pPr>
        <w:autoSpaceDN w:val="0"/>
        <w:autoSpaceDE w:val="0"/>
        <w:widowControl/>
        <w:spacing w:line="245" w:lineRule="auto" w:before="15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Ferroelectricity is very attractive for nonvolatile memories since it allows non-volatility paired with a field driven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switching mechanism enabling a very low-power write operation. Non-volatile memories based on ferroelectric lead-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zirconium-titanate (PZT) (see fig. 1a) are available on the market for more than a quarter of a century now [1]. Yet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limited to niche applications due to the compatibility issues of the ferroelectric material with CMOS processes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associated limited scalability [2]. The discovery of ferroelectricity in doped hafnium oxide has revived the activities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towards a variety of scalable ferroelectric nonvolatile memory devices [3].</w:t>
      </w:r>
    </w:p>
    <w:p>
      <w:pPr>
        <w:autoSpaceDN w:val="0"/>
        <w:autoSpaceDE w:val="0"/>
        <w:widowControl/>
        <w:spacing w:line="245" w:lineRule="auto" w:before="2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Ferroelectricity in Hafnium Oxide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certain processing conditions a non-centrosymmetric orthorhombic phase can be stabilized in hafnium oxide 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films [4]. In such a crystal structure, the oxygen ions can switch between two stable positions. The schematic of a unit cell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 orthorhombic hafnium oxide is shown in fig. 1b in comparison to the unit cell of a perovskite like PZT (fig. 1a)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cation on the B lattice site of the ABO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structure is assumed to be responsible for ferroelectric switching. </w:t>
      </w:r>
    </w:p>
    <w:p>
      <w:pPr>
        <w:autoSpaceDN w:val="0"/>
        <w:autoSpaceDE w:val="0"/>
        <w:widowControl/>
        <w:spacing w:line="245" w:lineRule="auto" w:before="23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Advancements in Ferroelectric Memory Cell Concepts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three different ways to read out the ferroelectric polarization and construct a memory cell (fig.2). First the 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switched during the polarization switching in a capacitor can be directly detected which leads to the classical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access memory (FeRAM, see fig. 2a) [5]. Second, the ferroelectric can be integrated into the gate stack of a MOS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transistor leading to a ferroelectric field effect transistor (FeFET, see fig. 2b) [5]. Finally, in very thin ferroelectric layers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allow tunneling, the magnitude of the tunneling current depends on the polarization direction leading to a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tunnel junction (FTJ, see fig. 2c) [6]. In the capacitor based FeRAM, the material properties of the ferroelectric are directly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reflected. The coercive field of hafnium oxide based ferroelectrics is in the region of 1-2MV/cm leading to a high electrical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stress during endurance cycling and degradation of the ferroelectric. In particular oxygen vacancies play a crucial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role in the optimization since they seem to support the stabilization of the orthorhombic phase [7] while at the same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they are detrimental for the endurance [8].</w:t>
      </w:r>
    </w:p>
    <w:p>
      <w:pPr>
        <w:autoSpaceDN w:val="0"/>
        <w:autoSpaceDE w:val="0"/>
        <w:widowControl/>
        <w:spacing w:line="245" w:lineRule="auto" w:before="1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FeFET devices have been successfully integrated into 28nm [9] and 22nm [10] technologies in the last years.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unavoidable interface oxide between the channel and the ferroelectric and the sensitivity of the MOSFET to any trapped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 makes cycling degradation even more severe [11]. Increasing the thickness of the ferroelectric layer helps to reduce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stress on the tunneling oxide during cycling [12]. A self-heating technique can be utilized to enhance cycling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annealing the cycling damage during device operation [13]. Furthermore, with an additional metal electrode the area ratio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the MOS capacitor and the ferroelectric capacitor can be optimized [11]. A basic limitation of the classical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FeRAM cell shown in fig. 2a is the necessary capacitor area for stable sensing. 3D capacitors are necessary when scaling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below 90nm [14]. When connecting the capacitor to the gate of a MOSFET, the amplification of the MOSFET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utilized to drastically reduce the necessary capacitor area. However, a second transistor is required to reset the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internal node (see fig. 3a). Such a cell was recently fabricated using a 28nm technology were the gate capacitor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FeFET was used as a storage capacitor.[15] (fig. 3b). Fig. 4 shows the measurement results. The interface oxide in series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ferroelectric in the FeFET can be also utilized as a double layer tunnel junction [16]. The respective operation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configuration mode is illustrated in fig. 5. The talk will start with a summary on the current understanding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of ferroelectricity in hafnium oxide and explain the implications for applications in FeRAMs, FeFETs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FTJs in detail. </w:t>
      </w:r>
    </w:p>
    <w:p>
      <w:pPr>
        <w:autoSpaceDN w:val="0"/>
        <w:autoSpaceDE w:val="0"/>
        <w:widowControl/>
        <w:spacing w:line="245" w:lineRule="auto" w:before="244" w:after="0"/>
        <w:ind w:left="0" w:right="0" w:firstLine="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[1] D. Bondurant, Ferroelectrics 112, 273-282 (1990) [2] C.-U. Pinnow and T. Mikolajick, J. Electrochem. Soc. 151, K13-K19 (2004)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[3] T. S. Böscke et al., Appl. Phys. Lett., 99: 102903 (2011) [4] M. Hoffmann et al, Journal of Applied Physics 118, 072006 (2015)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[5] T. Mikolajick et al., MRS Bulletin 43, 340 (2018) [6] E.Y. Tsymbal and H. Kohlstedt, Science, 313 (5784), 181-183, 2006 [7] T.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Mittmann, Advanced Materials Interfaces (2019) [8] Russia [9] M. Trentzsch et al., IEDM 2016, pp. 11.5.1-11.5 (2016) [10] S.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Dünkel et al., IEDM 2017, pp. 19.7.1-19.7.4 (2017) [11] J. Mueller et al., 16th NVMTS 2016, pp. 1-7 (2016) [12] H Mulaosmanovic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et al., IEEE Electron Device Letters, in review [13] H Mulaosmanovic et al., IEEE Electron Device Letters 40 (2), 216-219 (2019)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[14] K. Maruyama et al., M. Kondo, S.K. Singh, H. Ishiwara, Fujitsu Sci. Tech. J 43, 502-507 (2007) [15] S. Slesazeck et al., IMW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(2019) [16] B. Max, ESSDERC 2018, 142-145, (2018) </w:t>
      </w:r>
    </w:p>
    <w:p>
      <w:pPr>
        <w:autoSpaceDN w:val="0"/>
        <w:tabs>
          <w:tab w:pos="4854" w:val="left"/>
        </w:tabs>
        <w:autoSpaceDE w:val="0"/>
        <w:widowControl/>
        <w:spacing w:line="233" w:lineRule="auto" w:before="742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978-1-7281-2111-6/19/$31.00 ©2019 IEEE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207</w:t>
      </w:r>
    </w:p>
    <w:p>
      <w:pPr>
        <w:sectPr>
          <w:pgSz w:w="12240" w:h="15840"/>
          <w:pgMar w:top="628" w:right="1344" w:bottom="272" w:left="1132" w:header="720" w:footer="720" w:gutter="0"/>
          <w:cols w:space="720" w:num="1" w:equalWidth="0">
            <w:col w:w="976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4305300</wp:posOffset>
            </wp:positionV>
            <wp:extent cx="2603500" cy="901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901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802640</wp:posOffset>
            </wp:positionH>
            <wp:positionV relativeFrom="page">
              <wp:posOffset>7165340</wp:posOffset>
            </wp:positionV>
            <wp:extent cx="2047239" cy="1042634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239" cy="1042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6464300</wp:posOffset>
            </wp:positionV>
            <wp:extent cx="1968500" cy="1676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7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7198359</wp:posOffset>
            </wp:positionV>
            <wp:extent cx="1303020" cy="1124084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240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6515100</wp:posOffset>
            </wp:positionV>
            <wp:extent cx="1435100" cy="1765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765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>
        <w:trPr>
          <w:trHeight w:hRule="exact" w:val="166"/>
        </w:trPr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" w:after="0"/>
              <w:ind w:left="0" w:right="24" w:firstLine="0"/>
              <w:jc w:val="right"/>
            </w:pPr>
            <w:r>
              <w:rPr>
                <w:w w:val="101.06124877929688"/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49300" cy="95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" w:after="0"/>
              <w:ind w:left="274" w:right="0" w:firstLine="0"/>
              <w:jc w:val="left"/>
            </w:pPr>
            <w:r>
              <w:rPr>
                <w:w w:val="101.06124877929688"/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76300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00" w:after="0"/>
              <w:ind w:left="0" w:right="0" w:firstLine="0"/>
              <w:jc w:val="righ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2"/>
              </w:rPr>
              <w:t>���������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08" w:after="0"/>
              <w:ind w:left="0" w:right="0" w:firstLine="0"/>
              <w:jc w:val="right"/>
            </w:pPr>
            <w:r>
              <w:rPr>
                <w:w w:val="97.8436209938743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158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2"/>
              </w:rPr>
              <w:t>���������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86" w:after="0"/>
              <w:ind w:left="0" w:right="8" w:firstLine="0"/>
              <w:jc w:val="righ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298" w:right="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2"/>
              </w:rPr>
              <w:t>������</w:t>
            </w:r>
          </w:p>
        </w:tc>
      </w:tr>
      <w:tr>
        <w:trPr>
          <w:trHeight w:hRule="exact" w:val="1020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2600"/>
            <w:gridSpan w:val="4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64" w:after="0"/>
              <w:ind w:left="46" w:right="0" w:firstLine="0"/>
              <w:jc w:val="lef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7700" cy="939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93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72" w:after="0"/>
              <w:ind w:left="46" w:right="0" w:firstLine="0"/>
              <w:jc w:val="lef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7700" cy="723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60400" cy="584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52" w:lineRule="exact" w:before="0" w:after="0"/>
              <w:ind w:left="298" w:right="0" w:firstLine="0"/>
              <w:jc w:val="left"/>
            </w:pPr>
            <w:r>
              <w:rPr>
                <w:w w:val="97.8436209938743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</w:tr>
      <w:tr>
        <w:trPr>
          <w:trHeight w:hRule="exact" w:val="500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2600"/>
            <w:gridSpan w:val="4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28" w:after="0"/>
              <w:ind w:left="0" w:right="12" w:firstLine="0"/>
              <w:jc w:val="righ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4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112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ABO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0" w:firstLine="0"/>
              <w:jc w:val="center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BaTiO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136" w:right="0" w:firstLine="0"/>
              <w:jc w:val="lef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PZT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0" w:after="0"/>
              <w:ind w:left="0" w:right="922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HfO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0" w:after="0"/>
              <w:ind w:left="0" w:right="12" w:firstLine="0"/>
              <w:jc w:val="right"/>
            </w:pPr>
            <w:r>
              <w:rPr>
                <w:w w:val="97.71271618929777"/>
                <w:rFonts w:ascii="ArialUnicodeMS" w:hAnsi="ArialUnicodeMS" w:eastAsia="ArialUnicodeMS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600"/>
            <w:gridSpan w:val="4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54" w:right="0" w:firstLine="0"/>
              <w:jc w:val="lef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Hf</w:t>
            </w:r>
            <w:r>
              <w:rPr>
                <w:w w:val="101.26374959945679"/>
                <w:rFonts w:ascii="Calibri" w:hAnsi="Calibri" w:eastAsia="Calibri"/>
                <w:b w:val="0"/>
                <w:i w:val="0"/>
                <w:color w:val="000000"/>
                <w:sz w:val="8"/>
              </w:rPr>
              <w:t>4+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8" w:after="0"/>
              <w:ind w:left="0" w:right="0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A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2+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8" w:after="0"/>
              <w:ind w:left="0" w:right="186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Ba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2+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8" w:after="0"/>
              <w:ind w:left="130" w:right="0" w:firstLine="0"/>
              <w:jc w:val="lef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Pb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2+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4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0" w:after="0"/>
              <w:ind w:left="0" w:right="4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2-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0" w:after="0"/>
              <w:ind w:left="0" w:right="218" w:firstLine="0"/>
              <w:jc w:val="righ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2-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90" w:after="0"/>
              <w:ind w:left="168" w:right="0" w:firstLine="0"/>
              <w:jc w:val="lef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2-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67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34" w:right="0" w:firstLine="0"/>
              <w:jc w:val="left"/>
            </w:pPr>
            <w:r>
              <w:rPr>
                <w:w w:val="101.06082757314046"/>
                <w:rFonts w:ascii="Calibri" w:hAnsi="Calibri" w:eastAsia="Calibri"/>
                <w:b w:val="0"/>
                <w:i w:val="0"/>
                <w:color w:val="000000"/>
                <w:sz w:val="12"/>
              </w:rPr>
              <w:t>O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2-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0"/>
        </w:trPr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9400" cy="127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19582811991374"/>
                <w:rFonts w:ascii="Calibri" w:hAnsi="Calibri" w:eastAsia="Calibri"/>
                <w:b w:val="0"/>
                <w:i w:val="0"/>
                <w:color w:val="000000"/>
                <w:sz w:val="12"/>
              </w:rPr>
              <w:t>B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4+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2" w:after="0"/>
              <w:ind w:left="0" w:right="190" w:firstLine="0"/>
              <w:jc w:val="right"/>
            </w:pPr>
            <w:r>
              <w:rPr>
                <w:w w:val="101.19582811991374"/>
                <w:rFonts w:ascii="Calibri" w:hAnsi="Calibri" w:eastAsia="Calibri"/>
                <w:b w:val="0"/>
                <w:i w:val="0"/>
                <w:color w:val="000000"/>
                <w:sz w:val="12"/>
              </w:rPr>
              <w:t>Ti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4+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2" w:after="0"/>
              <w:ind w:left="136" w:right="0" w:firstLine="0"/>
              <w:jc w:val="left"/>
            </w:pPr>
            <w:r>
              <w:rPr>
                <w:w w:val="101.19582811991374"/>
                <w:rFonts w:ascii="Calibri" w:hAnsi="Calibri" w:eastAsia="Calibri"/>
                <w:b w:val="0"/>
                <w:i w:val="0"/>
                <w:color w:val="000000"/>
                <w:sz w:val="12"/>
              </w:rPr>
              <w:t>Zr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4+ </w:t>
            </w:r>
            <w:r>
              <w:rPr>
                <w:w w:val="101.19582811991374"/>
                <w:rFonts w:ascii="Calibri" w:hAnsi="Calibri" w:eastAsia="Calibri"/>
                <w:b w:val="0"/>
                <w:i w:val="0"/>
                <w:color w:val="000000"/>
                <w:sz w:val="12"/>
              </w:rPr>
              <w:t>/Ti</w:t>
            </w:r>
            <w:r>
              <w:rPr>
                <w:w w:val="101.06124877929688"/>
                <w:rFonts w:ascii="Calibri" w:hAnsi="Calibri" w:eastAsia="Calibri"/>
                <w:b w:val="0"/>
                <w:i w:val="0"/>
                <w:color w:val="000000"/>
                <w:sz w:val="8"/>
              </w:rPr>
              <w:t>4+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78"/>
        <w:ind w:left="0" w:right="0"/>
      </w:pPr>
    </w:p>
    <w:p>
      <w:pPr>
        <w:sectPr>
          <w:pgSz w:w="12240" w:h="15840"/>
          <w:pgMar w:top="856" w:right="1440" w:bottom="272" w:left="1052" w:header="720" w:footer="720" w:gutter="0"/>
          <w:cols w:space="720" w:num="1" w:equalWidth="0">
            <w:col w:w="9748" w:space="0"/>
            <w:col w:w="9763" w:space="0"/>
          </w:cols>
          <w:docGrid w:linePitch="360"/>
        </w:sectPr>
      </w:pPr>
    </w:p>
    <w:p>
      <w:pPr>
        <w:autoSpaceDN w:val="0"/>
        <w:tabs>
          <w:tab w:pos="1008" w:val="left"/>
        </w:tabs>
        <w:autoSpaceDE w:val="0"/>
        <w:widowControl/>
        <w:spacing w:line="245" w:lineRule="auto" w:before="0" w:after="0"/>
        <w:ind w:left="22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Fig. 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Crystal structure of a) perovskite and 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orthorhombic hafnium oxide. The possible switching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cation in a) and the oxygen ions in b)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indicated by the green arrows</w:t>
      </w:r>
    </w:p>
    <w:p>
      <w:pPr>
        <w:sectPr>
          <w:type w:val="continuous"/>
          <w:pgSz w:w="12240" w:h="15840"/>
          <w:pgMar w:top="856" w:right="1440" w:bottom="272" w:left="1052" w:header="720" w:footer="720" w:gutter="0"/>
          <w:cols w:space="720" w:num="2" w:equalWidth="0">
            <w:col w:w="4752" w:space="0"/>
            <w:col w:w="4996" w:space="0"/>
            <w:col w:w="9748" w:space="0"/>
            <w:col w:w="976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76"/>
        <w:ind w:left="208" w:right="46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Fig. 2.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Three different cell concepts for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memories. a) Classical ferroelectric random access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memory (FeRAM) cell with many similarities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DRAM cell, b) Ferroelectric field effect transistor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(FeFET) and c) Ferroelectric tunnel junction (FTJ)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cross-bar without selector device</w:t>
      </w:r>
    </w:p>
    <w:p>
      <w:pPr>
        <w:sectPr>
          <w:type w:val="nextColumn"/>
          <w:pgSz w:w="12240" w:h="15840"/>
          <w:pgMar w:top="856" w:right="1440" w:bottom="272" w:left="1052" w:header="720" w:footer="720" w:gutter="0"/>
          <w:cols w:space="720" w:num="2" w:equalWidth="0">
            <w:col w:w="4752" w:space="0"/>
            <w:col w:w="4996" w:space="0"/>
            <w:col w:w="9748" w:space="0"/>
            <w:col w:w="976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14" w:firstLine="0"/>
              <w:jc w:val="right"/>
            </w:pPr>
            <w:r>
              <w:rPr>
                <w:w w:val="101.44388779349948"/>
                <w:rFonts w:ascii="ArialUnicodeMS" w:hAnsi="ArialUnicodeMS" w:eastAsia="ArialUnicodeMS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60" w:after="0"/>
              <w:ind w:left="0" w:right="0" w:firstLine="0"/>
              <w:jc w:val="center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72" w:after="0"/>
              <w:ind w:left="74" w:right="0" w:firstLine="0"/>
              <w:jc w:val="left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98" w:after="0"/>
              <w:ind w:left="0" w:right="0" w:firstLine="0"/>
              <w:jc w:val="center"/>
            </w:pPr>
            <w:r>
              <w:rPr>
                <w:w w:val="97.31414318084717"/>
                <w:rFonts w:ascii="ArialUnicodeMS" w:hAnsi="ArialUnicodeMS" w:eastAsia="ArialUnicodeMS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6" w:after="0"/>
              <w:ind w:left="42" w:right="0" w:firstLine="0"/>
              <w:jc w:val="left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4" w:firstLine="0"/>
              <w:jc w:val="right"/>
            </w:pPr>
            <w:r>
              <w:rPr>
                <w:w w:val="101.44388779349948"/>
                <w:rFonts w:ascii="ArialUnicodeMS" w:hAnsi="ArialUnicodeMS" w:eastAsia="ArialUnicodeMS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14" w:after="0"/>
              <w:ind w:left="0" w:right="0" w:firstLine="0"/>
              <w:jc w:val="center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62" w:after="0"/>
              <w:ind w:left="0" w:right="0" w:firstLine="0"/>
              <w:jc w:val="center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8" w:after="0"/>
              <w:ind w:left="54" w:right="0" w:firstLine="0"/>
              <w:jc w:val="lef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6" w:after="0"/>
              <w:ind w:left="70" w:right="0" w:firstLine="0"/>
              <w:jc w:val="lef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���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86" w:after="0"/>
              <w:ind w:left="52" w:right="0" w:firstLine="0"/>
              <w:jc w:val="lef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</w:tr>
      <w:tr>
        <w:trPr>
          <w:trHeight w:hRule="exact" w:val="300"/>
        </w:trPr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126" w:right="0" w:firstLine="0"/>
              <w:jc w:val="left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32" w:after="0"/>
              <w:ind w:left="0" w:right="52" w:firstLine="0"/>
              <w:jc w:val="righ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0" w:after="0"/>
              <w:ind w:left="0" w:right="24" w:firstLine="0"/>
              <w:jc w:val="right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98" w:after="0"/>
              <w:ind w:left="0" w:right="28" w:firstLine="0"/>
              <w:jc w:val="righ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04" w:after="0"/>
              <w:ind w:left="42" w:right="0" w:firstLine="0"/>
              <w:jc w:val="lef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0" w:right="36" w:firstLine="0"/>
              <w:jc w:val="right"/>
            </w:pPr>
            <w:r>
              <w:rPr>
                <w:w w:val="102.83291760612936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" w:after="0"/>
              <w:ind w:left="36" w:right="0" w:firstLine="0"/>
              <w:jc w:val="left"/>
            </w:pPr>
            <w:r>
              <w:rPr>
                <w:w w:val="97.11997509002686"/>
                <w:rFonts w:ascii="ArialUnicodeMS" w:hAnsi="ArialUnicodeMS" w:eastAsia="ArialUnicodeMS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886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58" w:after="0"/>
              <w:ind w:left="0" w:right="20" w:firstLine="0"/>
              <w:jc w:val="right"/>
            </w:pPr>
            <w:r>
              <w:rPr>
                <w:w w:val="97.2494231330024"/>
                <w:rFonts w:ascii="ArialUnicodeMS" w:hAnsi="ArialUnicodeMS" w:eastAsia="ArialUnicodeMS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8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62" w:after="322"/>
        <w:ind w:left="286" w:right="34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Fig. 3.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2T/1C gain FeRAM cell. a) Basic concept. The read transistors T3 amplifies the voltage on the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 n1 making very small switched charge detectable. b) Experimentally realized version were the gate capacitor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 FeFET device is used as the storage capacitor.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>
        <w:trPr>
          <w:trHeight w:hRule="exact" w:val="428"/>
        </w:trPr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4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erase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pre-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FeRAM operation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80" w:right="0" w:firstLine="0"/>
              <w:jc w:val="left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pre-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36" w:right="0" w:firstLine="0"/>
              <w:jc w:val="left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read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0" w:after="0"/>
              <w:ind w:left="0" w:right="78" w:firstLine="0"/>
              <w:jc w:val="righ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1"/>
              </w:rPr>
              <w:t>��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48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erase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30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pre-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2" w:after="0"/>
              <w:ind w:left="100" w:right="0" w:firstLine="0"/>
              <w:jc w:val="lef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  <w:u w:val="single"/>
              </w:rPr>
              <w:t>FTJ operation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50" w:after="0"/>
              <w:ind w:left="96" w:right="0" w:firstLine="0"/>
              <w:jc w:val="left"/>
            </w:pPr>
            <w:r>
              <w:rPr>
                <w:w w:val="103.03775999281142"/>
                <w:rFonts w:ascii="Calibri" w:hAnsi="Calibri" w:eastAsia="Calibri"/>
                <w:b w:val="0"/>
                <w:i w:val="0"/>
                <w:color w:val="000000"/>
                <w:sz w:val="9"/>
              </w:rPr>
              <w:t>read</w:t>
            </w:r>
          </w:p>
        </w:tc>
      </w:tr>
      <w:tr>
        <w:trPr>
          <w:trHeight w:hRule="exact" w:val="94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50" w:firstLine="0"/>
              <w:jc w:val="right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read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program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read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program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pre-</w:t>
            </w:r>
          </w:p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SL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16" w:firstLine="0"/>
              <w:jc w:val="right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charge</w:t>
            </w:r>
          </w:p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4" w:after="0"/>
              <w:ind w:left="0" w:right="130" w:firstLine="0"/>
              <w:jc w:val="right"/>
            </w:pPr>
            <w:r>
              <w:rPr>
                <w:w w:val="103.2925009727478"/>
                <w:rFonts w:ascii="Calibri" w:hAnsi="Calibri" w:eastAsia="Calibri"/>
                <w:b w:val="0"/>
                <w:i w:val="0"/>
                <w:color w:val="000000"/>
                <w:sz w:val="8"/>
              </w:rPr>
              <w:t>V</w:t>
            </w:r>
            <w:r>
              <w:rPr>
                <w:w w:val="92.92166233062744"/>
                <w:rFonts w:ascii="Calibri" w:hAnsi="Calibri" w:eastAsia="Calibri"/>
                <w:b w:val="0"/>
                <w:i w:val="0"/>
                <w:color w:val="000000"/>
                <w:sz w:val="6"/>
              </w:rPr>
              <w:t>PR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32" w:right="0" w:firstLine="0"/>
              <w:jc w:val="left"/>
            </w:pPr>
            <w:r>
              <w:rPr>
                <w:w w:val="97.34666612413194"/>
                <w:rFonts w:ascii="Calibri" w:hAnsi="Calibri" w:eastAsia="Calibri"/>
                <w:b w:val="0"/>
                <w:i w:val="0"/>
                <w:color w:val="000000"/>
                <w:sz w:val="9"/>
              </w:rPr>
              <w:t>charge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128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T3 - I</w:t>
            </w:r>
            <w:r>
              <w:rPr>
                <w:w w:val="95.29285430908203"/>
                <w:rFonts w:ascii="Calibri" w:hAnsi="Calibri" w:eastAsia="Calibri"/>
                <w:b w:val="0"/>
                <w:i w:val="0"/>
                <w:color w:val="000000"/>
                <w:sz w:val="7"/>
              </w:rPr>
              <w:t>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V</w:t>
            </w:r>
            <w:r>
              <w:rPr>
                <w:w w:val="95.29285430908203"/>
                <w:rFonts w:ascii="Calibri" w:hAnsi="Calibri" w:eastAsia="Calibri"/>
                <w:b w:val="0"/>
                <w:i w:val="0"/>
                <w:color w:val="000000"/>
                <w:sz w:val="7"/>
              </w:rPr>
              <w:t>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06" w:after="0"/>
              <w:ind w:left="0" w:right="120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SL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102.80442767673068"/>
                <w:rFonts w:ascii="Calibri" w:hAnsi="Calibri" w:eastAsia="Calibri"/>
                <w:b w:val="0"/>
                <w:i w:val="0"/>
                <w:color w:val="000000"/>
                <w:sz w:val="9"/>
              </w:rPr>
              <w:t>charge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76" w:firstLine="0"/>
              <w:jc w:val="right"/>
            </w:pPr>
            <w:r>
              <w:rPr>
                <w:w w:val="103.03775999281142"/>
                <w:rFonts w:ascii="Calibri" w:hAnsi="Calibri" w:eastAsia="Calibri"/>
                <w:b w:val="0"/>
                <w:i w:val="0"/>
                <w:color w:val="000000"/>
                <w:sz w:val="9"/>
              </w:rPr>
              <w:t>charge</w:t>
            </w:r>
          </w:p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WL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78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WL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BL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14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BL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85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PL1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2" w:after="0"/>
              <w:ind w:left="0" w:right="22" w:firstLine="0"/>
              <w:jc w:val="righ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66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PL1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96.96220821804471"/>
                <w:rFonts w:ascii="Calibri" w:hAnsi="Calibri" w:eastAsia="Calibri"/>
                <w:b w:val="0"/>
                <w:i w:val="0"/>
                <w:color w:val="000000"/>
                <w:sz w:val="9"/>
              </w:rPr>
              <w:t>V</w:t>
            </w:r>
            <w:r>
              <w:rPr>
                <w:w w:val="98.1299877166748"/>
                <w:rFonts w:ascii="Calibri" w:hAnsi="Calibri" w:eastAsia="Calibri"/>
                <w:b w:val="0"/>
                <w:i w:val="0"/>
                <w:color w:val="000000"/>
                <w:sz w:val="6"/>
              </w:rPr>
              <w:t>PR</w:t>
            </w:r>
          </w:p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PL2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66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PL2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n1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112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n1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2" w:after="0"/>
              <w:ind w:left="0" w:right="0" w:firstLine="0"/>
              <w:jc w:val="center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4" w:after="0"/>
              <w:ind w:left="0" w:right="0" w:firstLine="0"/>
              <w:jc w:val="center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-4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8" w:after="0"/>
              <w:ind w:left="0" w:right="16" w:firstLine="0"/>
              <w:jc w:val="righ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21"/>
              </w:rPr>
              <w:t>��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0"/>
              </w:rPr>
              <w:t>FeRAM read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" w:after="0"/>
              <w:ind w:left="0" w:right="68" w:firstLine="0"/>
              <w:jc w:val="righ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-4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6" w:after="0"/>
              <w:ind w:left="0" w:right="0" w:firstLine="0"/>
              <w:jc w:val="center"/>
            </w:pPr>
            <w:r>
              <w:rPr>
                <w:w w:val="98.56873750686646"/>
                <w:rFonts w:ascii="Calibri" w:hAnsi="Calibri" w:eastAsia="Calibri"/>
                <w:b w:val="0"/>
                <w:i w:val="0"/>
                <w:color w:val="000000"/>
                <w:sz w:val="8"/>
              </w:rPr>
              <w:t>3x10</w:t>
            </w:r>
            <w:r>
              <w:rPr>
                <w:w w:val="105.13998985290527"/>
                <w:rFonts w:ascii="Calibri" w:hAnsi="Calibri" w:eastAsia="Calibri"/>
                <w:b w:val="0"/>
                <w:i w:val="0"/>
                <w:color w:val="000000"/>
                <w:sz w:val="5"/>
              </w:rPr>
              <w:t>-5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266" w:firstLine="0"/>
              <w:jc w:val="right"/>
            </w:pPr>
            <w:r>
              <w:rPr>
                <w:w w:val="95.58088996193625"/>
                <w:rFonts w:ascii="Calibri" w:hAnsi="Calibri" w:eastAsia="Calibri"/>
                <w:b w:val="0"/>
                <w:i w:val="0"/>
                <w:color w:val="000000"/>
                <w:sz w:val="11"/>
              </w:rPr>
              <w:t>FTJ read</w:t>
            </w:r>
          </w:p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22" w:after="0"/>
              <w:ind w:left="0" w:right="48" w:firstLine="0"/>
              <w:jc w:val="righ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-5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0" w:after="0"/>
              <w:ind w:left="0" w:right="80" w:firstLine="0"/>
              <w:jc w:val="righ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-5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4" w:right="0" w:firstLine="0"/>
              <w:jc w:val="left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I</w:t>
            </w:r>
            <w:r>
              <w:rPr>
                <w:w w:val="101.21832688649495"/>
                <w:rFonts w:ascii="Calibri" w:hAnsi="Calibri" w:eastAsia="Calibri"/>
                <w:b w:val="0"/>
                <w:i w:val="0"/>
                <w:color w:val="000000"/>
                <w:sz w:val="6"/>
              </w:rPr>
              <w:t>SL</w:t>
            </w: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[A]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" w:right="0" w:firstLine="0"/>
              <w:jc w:val="left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I</w:t>
            </w:r>
            <w:r>
              <w:rPr>
                <w:w w:val="101.54999891916911"/>
                <w:rFonts w:ascii="Calibri" w:hAnsi="Calibri" w:eastAsia="Calibri"/>
                <w:b w:val="0"/>
                <w:i w:val="0"/>
                <w:color w:val="000000"/>
                <w:sz w:val="6"/>
              </w:rPr>
              <w:t>D</w:t>
            </w: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[A]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4" w:after="0"/>
        <w:ind w:left="5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0"/>
        </w:rPr>
        <w:t>pre-charge</w:t>
      </w:r>
    </w:p>
    <w:p>
      <w:pPr>
        <w:autoSpaceDN w:val="0"/>
        <w:tabs>
          <w:tab w:pos="2056" w:val="left"/>
        </w:tabs>
        <w:autoSpaceDE w:val="0"/>
        <w:widowControl/>
        <w:spacing w:line="216" w:lineRule="auto" w:before="56" w:after="0"/>
        <w:ind w:left="306" w:right="0" w:firstLine="0"/>
        <w:jc w:val="left"/>
      </w:pPr>
      <w:r>
        <w:rPr>
          <w:w w:val="106.67142868041992"/>
          <w:rFonts w:ascii="Calibri" w:hAnsi="Calibri" w:eastAsia="Calibri"/>
          <w:b w:val="0"/>
          <w:i w:val="0"/>
          <w:color w:val="000000"/>
          <w:sz w:val="7"/>
        </w:rPr>
        <w:t>10</w:t>
      </w:r>
      <w:r>
        <w:rPr>
          <w:rFonts w:ascii="Calibri" w:hAnsi="Calibri" w:eastAsia="Calibri"/>
          <w:b w:val="0"/>
          <w:i w:val="0"/>
          <w:color w:val="000000"/>
          <w:sz w:val="5"/>
        </w:rPr>
        <w:t xml:space="preserve">-7 </w:t>
      </w:r>
      <w:r>
        <w:tab/>
      </w:r>
      <w:r>
        <w:rPr>
          <w:w w:val="106.67142868041992"/>
          <w:rFonts w:ascii="Calibri" w:hAnsi="Calibri" w:eastAsia="Calibri"/>
          <w:b w:val="0"/>
          <w:i w:val="0"/>
          <w:color w:val="000000"/>
          <w:sz w:val="7"/>
        </w:rPr>
        <w:t>10</w:t>
      </w:r>
      <w:r>
        <w:rPr>
          <w:rFonts w:ascii="Calibri" w:hAnsi="Calibri" w:eastAsia="Calibri"/>
          <w:b w:val="0"/>
          <w:i w:val="0"/>
          <w:color w:val="000000"/>
          <w:sz w:val="5"/>
        </w:rPr>
        <w:t>-7</w:t>
      </w:r>
    </w:p>
    <w:p>
      <w:pPr>
        <w:autoSpaceDN w:val="0"/>
        <w:autoSpaceDE w:val="0"/>
        <w:widowControl/>
        <w:spacing w:line="197" w:lineRule="auto" w:before="10" w:after="52"/>
        <w:ind w:left="12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0"/>
        </w:rPr>
        <w:t>post read pulse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>
        <w:trPr>
          <w:trHeight w:hRule="exact" w:val="144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-8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66" w:after="0"/>
              <w:ind w:left="0" w:right="0" w:firstLine="0"/>
              <w:jc w:val="center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100 μs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time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68" w:right="0" w:firstLine="0"/>
              <w:jc w:val="left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100 μs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0" w:after="0"/>
              <w:ind w:left="210" w:right="0" w:firstLine="0"/>
              <w:jc w:val="lef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-8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8" w:right="0" w:firstLine="0"/>
              <w:jc w:val="lef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>2x10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"/>
              </w:rPr>
              <w:t>-5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20" w:after="0"/>
              <w:ind w:left="0" w:right="184" w:firstLine="0"/>
              <w:jc w:val="right"/>
            </w:pPr>
            <w:r>
              <w:rPr>
                <w:w w:val="98.56873750686646"/>
                <w:rFonts w:ascii="Calibri" w:hAnsi="Calibri" w:eastAsia="Calibri"/>
                <w:b w:val="0"/>
                <w:i w:val="0"/>
                <w:color w:val="000000"/>
                <w:sz w:val="8"/>
              </w:rPr>
              <w:t>2x10</w:t>
            </w:r>
            <w:r>
              <w:rPr>
                <w:w w:val="105.13998985290527"/>
                <w:rFonts w:ascii="Calibri" w:hAnsi="Calibri" w:eastAsia="Calibri"/>
                <w:b w:val="0"/>
                <w:i w:val="0"/>
                <w:color w:val="000000"/>
                <w:sz w:val="5"/>
              </w:rPr>
              <w:t>-5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0" w:after="0"/>
              <w:ind w:left="0" w:right="26" w:firstLine="0"/>
              <w:jc w:val="right"/>
            </w:pPr>
            <w:r>
              <w:rPr>
                <w:w w:val="96.72799110412598"/>
                <w:rFonts w:ascii="Calibri" w:hAnsi="Calibri" w:eastAsia="Calibri"/>
                <w:b w:val="0"/>
                <w:i w:val="0"/>
                <w:color w:val="000000"/>
                <w:sz w:val="10"/>
              </w:rPr>
              <w:t>100 μs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46" w:after="0"/>
              <w:ind w:left="64" w:right="0" w:firstLine="0"/>
              <w:jc w:val="left"/>
            </w:pPr>
            <w:r>
              <w:rPr>
                <w:w w:val="96.72799110412598"/>
                <w:rFonts w:ascii="Calibri" w:hAnsi="Calibri" w:eastAsia="Calibri"/>
                <w:b w:val="0"/>
                <w:i w:val="0"/>
                <w:color w:val="000000"/>
                <w:sz w:val="10"/>
              </w:rPr>
              <w:t>time</w:t>
            </w:r>
          </w:p>
        </w:tc>
      </w:tr>
      <w:tr>
        <w:trPr>
          <w:trHeight w:hRule="exact" w:val="80"/>
        </w:trPr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" w:after="0"/>
              <w:ind w:left="296" w:right="0" w:firstLine="0"/>
              <w:jc w:val="left"/>
            </w:pPr>
            <w:r>
              <w:rPr>
                <w:w w:val="106.67142868041992"/>
                <w:rFonts w:ascii="Calibri" w:hAnsi="Calibri" w:eastAsia="Calibri"/>
                <w:b w:val="0"/>
                <w:i w:val="0"/>
                <w:color w:val="000000"/>
                <w:sz w:val="7"/>
              </w:rPr>
              <w:t xml:space="preserve">0.0            0.4            0.8            1.2 </w:t>
            </w:r>
          </w:p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348" w:firstLine="0"/>
              <w:jc w:val="right"/>
            </w:pP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>V</w:t>
            </w:r>
            <w:r>
              <w:rPr>
                <w:w w:val="101.21832688649495"/>
                <w:rFonts w:ascii="Calibri" w:hAnsi="Calibri" w:eastAsia="Calibri"/>
                <w:b w:val="0"/>
                <w:i w:val="0"/>
                <w:color w:val="000000"/>
                <w:sz w:val="6"/>
              </w:rPr>
              <w:t>G</w:t>
            </w:r>
            <w:r>
              <w:rPr>
                <w:w w:val="101.77221298217773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[V]</w:t>
            </w:r>
          </w:p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  <w:tc>
          <w:tcPr>
            <w:tcW w:type="dxa" w:w="10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2"/>
        <w:ind w:left="0" w:right="0"/>
      </w:pPr>
    </w:p>
    <w:p>
      <w:pPr>
        <w:sectPr>
          <w:type w:val="continuous"/>
          <w:pgSz w:w="12240" w:h="15840"/>
          <w:pgMar w:top="856" w:right="1440" w:bottom="272" w:left="1052" w:header="720" w:footer="720" w:gutter="0"/>
          <w:cols w:space="720" w:num="1" w:equalWidth="0">
            <w:col w:w="9748" w:space="0"/>
            <w:col w:w="4752" w:space="0"/>
            <w:col w:w="4996" w:space="0"/>
            <w:col w:w="9748" w:space="0"/>
            <w:col w:w="976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Fig. 4.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Experimental results from the 2T/1C cell of fig.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a) applied and measured signals, b) voltage measured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SL during reading of ´1´ (blue) and ´0´ (red), c) I-V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curve of T3 showing the different operation points.</w:t>
      </w:r>
    </w:p>
    <w:p>
      <w:pPr>
        <w:sectPr>
          <w:type w:val="continuous"/>
          <w:pgSz w:w="12240" w:h="15840"/>
          <w:pgMar w:top="856" w:right="1440" w:bottom="272" w:left="1052" w:header="720" w:footer="720" w:gutter="0"/>
          <w:cols w:space="720" w:num="2" w:equalWidth="0">
            <w:col w:w="4828" w:space="0"/>
            <w:col w:w="4920" w:space="0"/>
            <w:col w:w="9748" w:space="0"/>
            <w:col w:w="4752" w:space="0"/>
            <w:col w:w="4996" w:space="0"/>
            <w:col w:w="9748" w:space="0"/>
            <w:col w:w="976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956"/>
        <w:ind w:left="212" w:right="90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Fig. 5.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Experimental results from the 2T/1C cell of fig. 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reading in FTJ mode a) applied and measured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signals, b) voltage measured on SL during reading of ´1´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(blue) and ´0´ (red).</w:t>
      </w:r>
    </w:p>
    <w:p>
      <w:pPr>
        <w:sectPr>
          <w:type w:val="nextColumn"/>
          <w:pgSz w:w="12240" w:h="15840"/>
          <w:pgMar w:top="856" w:right="1440" w:bottom="272" w:left="1052" w:header="720" w:footer="720" w:gutter="0"/>
          <w:cols w:space="720" w:num="2" w:equalWidth="0">
            <w:col w:w="4828" w:space="0"/>
            <w:col w:w="4920" w:space="0"/>
            <w:col w:w="9748" w:space="0"/>
            <w:col w:w="4752" w:space="0"/>
            <w:col w:w="4996" w:space="0"/>
            <w:col w:w="9748" w:space="0"/>
            <w:col w:w="9763" w:space="0"/>
          </w:cols>
          <w:docGrid w:linePitch="360"/>
        </w:sectPr>
      </w:pPr>
    </w:p>
    <w:p>
      <w:pPr>
        <w:autoSpaceDN w:val="0"/>
        <w:tabs>
          <w:tab w:pos="4934" w:val="left"/>
        </w:tabs>
        <w:autoSpaceDE w:val="0"/>
        <w:widowControl/>
        <w:spacing w:line="233" w:lineRule="auto" w:before="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978-1-7281-2111-6/19/$31.00 ©2019 IEEE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208</w:t>
      </w:r>
    </w:p>
    <w:sectPr w:rsidR="00FC693F" w:rsidRPr="0006063C" w:rsidSect="00034616">
      <w:type w:val="continuous"/>
      <w:pgSz w:w="12240" w:h="15840"/>
      <w:pgMar w:top="856" w:right="1440" w:bottom="272" w:left="1052" w:header="720" w:footer="720" w:gutter="0"/>
      <w:cols w:space="720" w:num="1" w:equalWidth="0">
        <w:col w:w="9748" w:space="0"/>
        <w:col w:w="4828" w:space="0"/>
        <w:col w:w="4920" w:space="0"/>
        <w:col w:w="9748" w:space="0"/>
        <w:col w:w="4752" w:space="0"/>
        <w:col w:w="4996" w:space="0"/>
        <w:col w:w="9748" w:space="0"/>
        <w:col w:w="976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