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Origin of the Endurance Degradation in the Novel </w:t>
      </w:r>
      <w:r>
        <w:rPr>
          <w:rFonts w:ascii="TimesNewRoman" w:hAnsi="TimesNewRoman" w:eastAsia="TimesNewRoman"/>
          <w:b w:val="0"/>
          <w:i w:val="0"/>
          <w:color w:val="000000"/>
          <w:sz w:val="48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31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-based 1T Ferroelectric Non-Volatile Memories </w:t>
      </w:r>
    </w:p>
    <w:p>
      <w:pPr>
        <w:autoSpaceDN w:val="0"/>
        <w:autoSpaceDE w:val="0"/>
        <w:widowControl/>
        <w:spacing w:line="230" w:lineRule="auto" w:before="45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Ekaterina Yurchuk, Stefan Mueller, Dominik Martin, Stefan Slesazeck, Uwe Schroeder, Thomas Mikolajick* </w:t>
      </w:r>
    </w:p>
    <w:p>
      <w:pPr>
        <w:autoSpaceDN w:val="0"/>
        <w:autoSpaceDE w:val="0"/>
        <w:widowControl/>
        <w:spacing w:line="245" w:lineRule="auto" w:before="50" w:after="0"/>
        <w:ind w:left="3888" w:right="388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NaMLab gGmbH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Dresden, Germany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Ekaterina.Yurchuk@namlab.com </w:t>
      </w:r>
    </w:p>
    <w:p>
      <w:pPr>
        <w:autoSpaceDN w:val="0"/>
        <w:autoSpaceDE w:val="0"/>
        <w:widowControl/>
        <w:spacing w:line="245" w:lineRule="auto" w:before="238" w:after="0"/>
        <w:ind w:left="2448" w:right="244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* Chair of Nanoelectronic Materials, Technische Universität Dresden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Dresden, Germany </w:t>
      </w:r>
    </w:p>
    <w:p>
      <w:pPr>
        <w:autoSpaceDN w:val="0"/>
        <w:autoSpaceDE w:val="0"/>
        <w:widowControl/>
        <w:spacing w:line="230" w:lineRule="auto" w:before="37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Johannes Müller, Jan Paul, Raik Hoffmann, Jonas Sundqvist </w:t>
      </w:r>
    </w:p>
    <w:p>
      <w:pPr>
        <w:autoSpaceDN w:val="0"/>
        <w:autoSpaceDE w:val="0"/>
        <w:widowControl/>
        <w:spacing w:line="245" w:lineRule="auto" w:before="48" w:after="0"/>
        <w:ind w:left="3312" w:right="331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Fraunhofer Center Nanoelectronic Technologies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Dresden, Germany </w:t>
      </w:r>
    </w:p>
    <w:p>
      <w:pPr>
        <w:autoSpaceDN w:val="0"/>
        <w:autoSpaceDE w:val="0"/>
        <w:widowControl/>
        <w:spacing w:line="233" w:lineRule="auto" w:before="36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Till Schlösser, Roman Boschke, Ralf van Bentum, Martin Trentzsch </w:t>
      </w:r>
    </w:p>
    <w:p>
      <w:pPr>
        <w:autoSpaceDN w:val="0"/>
        <w:autoSpaceDE w:val="0"/>
        <w:widowControl/>
        <w:spacing w:line="245" w:lineRule="auto" w:before="48" w:after="474"/>
        <w:ind w:left="4176" w:right="41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GLOBALFOUNDRIES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Dresden, Germany </w:t>
      </w:r>
    </w:p>
    <w:p>
      <w:pPr>
        <w:sectPr>
          <w:pgSz w:w="12240" w:h="15840"/>
          <w:pgMar w:top="548" w:right="820" w:bottom="158" w:left="836" w:header="720" w:footer="720" w:gutter="0"/>
          <w:cols w:space="720" w:num="1" w:equalWidth="0"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center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— Novel HfO</w:t>
      </w:r>
      <w:r>
        <w:rPr>
          <w:rFonts w:ascii="TimesNewRoman,Bold" w:hAnsi="TimesNewRoman,Bold" w:eastAsia="TimesNewRoman,Bold"/>
          <w:b/>
          <w:i w:val="0"/>
          <w:color w:val="000000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-based non-volatile ferroelectric field effect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transistors (FeFETs) reveal integration and scaling properties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superior to the devices utilizing perovskite-type ferroelectrics.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However, until now the switching endurance of only 10</w:t>
      </w:r>
      <w:r>
        <w:rPr>
          <w:rFonts w:ascii="TimesNewRoman,Bold" w:hAnsi="TimesNewRoman,Bold" w:eastAsia="TimesNewRoman,Bold"/>
          <w:b/>
          <w:i w:val="0"/>
          <w:color w:val="000000"/>
          <w:sz w:val="12"/>
        </w:rPr>
        <w:t xml:space="preserve">4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program/erase cycles could be proven. The mechanisms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responsible for the cycling degradation have been scarcely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studied so far. Therefore, the scope of this paper is to clarify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origin of the cycling degradation in HfO</w:t>
      </w:r>
      <w:r>
        <w:rPr>
          <w:rFonts w:ascii="TimesNewRoman,Bold" w:hAnsi="TimesNewRoman,Bold" w:eastAsia="TimesNewRoman,Bold"/>
          <w:b/>
          <w:i w:val="0"/>
          <w:color w:val="000000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-based FeFETs. Several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possible degradation mechanisms – fatigue of the ferroelectric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layer and degrad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ation of the transistor gate stack – are proposed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and investigated.</w:t>
      </w:r>
      <w:r>
        <w:rPr>
          <w:shd w:val="clear" w:color="auto" w:fill="ffd100"/>
          <w:rFonts w:ascii="TimesNewRoman,Bold" w:hAnsi="TimesNewRoman,Bold" w:eastAsia="TimesNewRoman,Bold"/>
          <w:b/>
          <w:i w:val="0"/>
          <w:color w:val="000000"/>
          <w:sz w:val="18"/>
        </w:rPr>
        <w:t xml:space="preserve"> The limited endurance properties were found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12"/>
        <w:gridCol w:w="1512"/>
        <w:gridCol w:w="1512"/>
        <w:gridCol w:w="1512"/>
        <w:gridCol w:w="1512"/>
        <w:gridCol w:w="1512"/>
        <w:gridCol w:w="1512"/>
      </w:tblGrid>
      <w:tr>
        <w:trPr>
          <w:trHeight w:hRule="exact" w:val="240"/>
        </w:trPr>
        <w:tc>
          <w:tcPr>
            <w:tcW w:type="dxa" w:w="5160"/>
            <w:gridSpan w:val="7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be linked to the transisto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r gate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stack reliability rather than to the </w:t>
            </w:r>
          </w:p>
        </w:tc>
      </w:tr>
      <w:tr>
        <w:trPr>
          <w:trHeight w:hRule="exact" w:val="206"/>
        </w:trPr>
        <w:tc>
          <w:tcPr>
            <w:tcW w:type="dxa" w:w="106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ferroelectric </w:t>
            </w:r>
          </w:p>
        </w:tc>
        <w:tc>
          <w:tcPr>
            <w:tcW w:type="dxa" w:w="85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858"/>
            </w:tblGrid>
            <w:tr>
              <w:trPr>
                <w:trHeight w:hRule="exact" w:val="192"/>
              </w:trPr>
              <w:tc>
                <w:tcPr>
                  <w:tcW w:type="dxa" w:w="758"/>
                  <w:tcBorders/>
                  <w:shd w:fill="ffd1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NewRoman,Bold" w:hAnsi="TimesNewRoman,Bold" w:eastAsia="TimesNewRoman,Bold"/>
                      <w:b/>
                      <w:i w:val="0"/>
                      <w:color w:val="000000"/>
                      <w:sz w:val="18"/>
                    </w:rPr>
                    <w:t xml:space="preserve">material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52" w:right="0" w:firstLine="0"/>
              <w:jc w:val="left"/>
            </w:pPr>
            <w:r>
              <w:rPr>
                <w:shd w:val="clear" w:color="auto" w:fill="ffd100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itself.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gate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leakage </w:t>
            </w:r>
          </w:p>
        </w:tc>
        <w:tc>
          <w:tcPr>
            <w:tcW w:type="dxa" w:w="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current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56" w:right="162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measurements and the trapping analyses presented in this paper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identified a degradation of the interfacial layer in the gate stack,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which in turn is strongly linked to a reduction of ferroelectric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memory window. </w:t>
      </w:r>
    </w:p>
    <w:p>
      <w:pPr>
        <w:autoSpaceDN w:val="0"/>
        <w:tabs>
          <w:tab w:pos="344" w:val="left"/>
        </w:tabs>
        <w:autoSpaceDE w:val="0"/>
        <w:widowControl/>
        <w:spacing w:line="245" w:lineRule="auto" w:before="208" w:after="0"/>
        <w:ind w:left="56" w:right="144" w:firstLine="0"/>
        <w:jc w:val="left"/>
      </w:pPr>
      <w:r>
        <w:tab/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Keywords</w:t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HfO</w:t>
      </w:r>
      <w:r>
        <w:rPr>
          <w:rFonts w:ascii="TimesNewRoman,BoldItalic" w:hAnsi="TimesNewRoman,BoldItalic" w:eastAsia="TimesNewRoman,BoldItalic"/>
          <w:b/>
          <w:i/>
          <w:color w:val="000000"/>
          <w:sz w:val="12"/>
        </w:rPr>
        <w:t>2</w:t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; ferroelectric; non-volatile memory; FeFET; </w:t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MFIS-FET; endurance; degradation mechanisms </w:t>
      </w:r>
    </w:p>
    <w:p>
      <w:pPr>
        <w:autoSpaceDN w:val="0"/>
        <w:tabs>
          <w:tab w:pos="2276" w:val="left"/>
        </w:tabs>
        <w:autoSpaceDE w:val="0"/>
        <w:widowControl/>
        <w:spacing w:line="233" w:lineRule="auto" w:before="282" w:after="0"/>
        <w:ind w:left="18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80" w:after="0"/>
        <w:ind w:left="56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ferroelectric field effect transistor (FeFET)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considered as a promising candidate for future non-volatile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applications [1]. In the FeFET two stable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states of a ferroelectric material incorporated into a transistor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gate stack are utilized for data storage. The concept of a non-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volatile ferroelectric transistor was introduced in the late 50’s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last century [2]. Its industrial implementation is,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still missing primarily due to the integration [3]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obstacles [4] associated with conventionally used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perovskite-type ferroelectrics (PZT, SBT). The recently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discovered ferroelectric properties of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thin films [5]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overcome these issues. By utilizing ferroelectric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it is </w:t>
      </w:r>
    </w:p>
    <w:p>
      <w:pPr>
        <w:sectPr>
          <w:type w:val="continuous"/>
          <w:pgSz w:w="12240" w:h="15840"/>
          <w:pgMar w:top="548" w:right="820" w:bottom="158" w:left="836" w:header="720" w:footer="720" w:gutter="0"/>
          <w:cols w:space="720" w:num="2" w:equalWidth="0"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2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possible to fabricate FeFET devices at a state-of-the-art 28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node [6]. Low operation voltages (4 – 6 V)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times in the range of a few nanoseconds could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demonstrated for these devices [6]. In the first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FeFETs, however, the memory window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closes after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about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–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program/erase cycles [7]. FeFETs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conventional ferroelectrics, on the other hand, are reported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withstand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program/erase cycles [8]. </w:t>
      </w:r>
    </w:p>
    <w:p>
      <w:pPr>
        <w:autoSpaceDN w:val="0"/>
        <w:autoSpaceDE w:val="0"/>
        <w:widowControl/>
        <w:spacing w:line="245" w:lineRule="auto" w:before="116" w:after="0"/>
        <w:ind w:left="152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identify the main cause of the limited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FeFETs we performed an extensive study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endurance behavior using capacitor and transistor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structures. The gate stack structure of the studied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transistors is similar to an ordinary 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metal gate stack,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whereas a thicker and crystalline 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exhibits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additionally ferroelectric properties. Therefore, the observed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degradation can be explained in the context of either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reliability aspects of the ferroelectric material or the entire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metal gate stack. In the present paper we will consider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explore both scenarios. </w:t>
      </w:r>
    </w:p>
    <w:p>
      <w:pPr>
        <w:autoSpaceDN w:val="0"/>
        <w:tabs>
          <w:tab w:pos="1984" w:val="left"/>
        </w:tabs>
        <w:autoSpaceDE w:val="0"/>
        <w:widowControl/>
        <w:spacing w:line="233" w:lineRule="auto" w:before="284" w:after="0"/>
        <w:ind w:left="15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XPERIMENTAL DETAILS</w:t>
      </w:r>
    </w:p>
    <w:p>
      <w:pPr>
        <w:autoSpaceDN w:val="0"/>
        <w:autoSpaceDE w:val="0"/>
        <w:widowControl/>
        <w:spacing w:line="245" w:lineRule="auto" w:before="82" w:after="1038"/>
        <w:ind w:left="15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metal-ferroelectric-insulator-semiconductor field effect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transistors (MFIS-FETs) studied in this paper feature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poly-Si/TiN (8 nm)/Si:HfO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(9 nm)/SiON (1.2 nm) gate stack.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devices were manufactured using a state-of-the-art 28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metal-gate technology on 300 mm wafers [6]. Metal-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ferroelectric-metal (MFM) capacitor structures consisting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Pt (50 nm) /TiN (10 nm)/Si:HfO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(9 nm)/TiN (10 nm)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 were fabricated on 300 mm silicon substrates [9].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device types included 9 nm thick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films doped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4.4 mol%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known to exhibite the best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behavior as evaluated in [9]. </w:t>
      </w:r>
    </w:p>
    <w:p>
      <w:pPr>
        <w:sectPr>
          <w:type w:val="nextColumn"/>
          <w:pgSz w:w="12240" w:h="15840"/>
          <w:pgMar w:top="548" w:right="820" w:bottom="158" w:left="836" w:header="720" w:footer="720" w:gutter="0"/>
          <w:cols w:space="720" w:num="2" w:equalWidth="0"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tabs>
          <w:tab w:pos="10054" w:val="left"/>
        </w:tabs>
        <w:autoSpaceDE w:val="0"/>
        <w:widowControl/>
        <w:spacing w:line="202" w:lineRule="exact" w:before="0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978-1-4799-3317-4/14/$31.00 ©2014 IEEE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2E.5.1</w:t>
      </w:r>
    </w:p>
    <w:p>
      <w:pPr>
        <w:sectPr>
          <w:type w:val="continuous"/>
          <w:pgSz w:w="12240" w:h="15840"/>
          <w:pgMar w:top="548" w:right="820" w:bottom="158" w:left="836" w:header="720" w:footer="720" w:gutter="0"/>
          <w:cols w:space="720" w:num="1" w:equalWidth="0"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2240" w:h="15840"/>
          <w:pgMar w:top="538" w:right="822" w:bottom="158" w:left="892" w:header="720" w:footer="720" w:gutter="0"/>
          <w:cols w:space="720" w:num="1" w:equalWidth="0"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Polarization-voltage characteristics of the MFM capacitors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recorded using the aixACCT TF Analyzer 3000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applying triangular pulses at 1 kHz frequency and measuring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transient current response, which is subsequently converted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a polarization hysteresis. </w:t>
      </w:r>
    </w:p>
    <w:p>
      <w:pPr>
        <w:autoSpaceDN w:val="0"/>
        <w:autoSpaceDE w:val="0"/>
        <w:widowControl/>
        <w:spacing w:line="218" w:lineRule="exact" w:before="136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trapping behavior of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within the transistor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stack was studied with the help of a single-pulse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-V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technique [10], [11]. This method allows for a more accurate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characterization of the amount of charge trapped during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stress time. Since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-V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 are measured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directly at the rising and falling edges of a stress pulse applied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gate, the time delay between stressing and sensing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practically eliminated. The threshold voltage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shift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induced by the stress pulse gives a quantitative estimation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amount of trapped charges. The measurement setup used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work allowed exploiting pulses with rise/fall transition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times of 500 ns. The pulse width was varied between 500 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100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s. The drain voltage was set to 300 mV in order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maximize the signal-to-noise ratio.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extracted using a constant drain current criterion. </w:t>
      </w:r>
    </w:p>
    <w:p>
      <w:pPr>
        <w:autoSpaceDN w:val="0"/>
        <w:autoSpaceDE w:val="0"/>
        <w:widowControl/>
        <w:spacing w:line="245" w:lineRule="auto" w:before="118" w:after="0"/>
        <w:ind w:left="0" w:right="15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interface trap density was analyzed by means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variable base level charge pumping technique [12], [13].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traps, located directly at the Si / SiON interface,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well as traps, located within the interfacial SiON layer close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Si interface, are accessed. The charge-pumping current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induced by applying ac signal of 1 MHz and constant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amplitude of 1.8 V to the gate. The base gate voltage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 BASE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varied between -2.5 and + 0.5 V, forcing the Si surface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transit from accumulation into inversion.</w:t>
      </w:r>
    </w:p>
    <w:p>
      <w:pPr>
        <w:sectPr>
          <w:type w:val="continuous"/>
          <w:pgSz w:w="12240" w:h="15840"/>
          <w:pgMar w:top="538" w:right="822" w:bottom="158" w:left="892" w:header="720" w:footer="720" w:gutter="0"/>
          <w:cols w:space="720" w:num="2" w:equalWidth="0"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77" w:type="dxa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>
        <w:trPr>
          <w:trHeight w:hRule="exact" w:val="204"/>
        </w:trPr>
        <w:tc>
          <w:tcPr>
            <w:tcW w:type="dxa" w:w="518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device into the “ON”- and “OFF”-state and reading out the </w:t>
            </w:r>
          </w:p>
        </w:tc>
      </w:tr>
      <w:tr>
        <w:trPr>
          <w:trHeight w:hRule="exact" w:val="240"/>
        </w:trPr>
        <w:tc>
          <w:tcPr>
            <w:tcW w:type="dxa" w:w="1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corresponding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TH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values.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2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more pronounced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MW</w:t>
            </w:r>
          </w:p>
        </w:tc>
      </w:tr>
      <w:tr>
        <w:trPr>
          <w:trHeight w:hRule="exact" w:val="200"/>
        </w:trPr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degradation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was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detected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alternating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pulses </w:t>
            </w:r>
          </w:p>
        </w:tc>
      </w:tr>
      <w:tr>
        <w:trPr>
          <w:trHeight w:hRule="exact" w:val="1380"/>
        </w:trPr>
        <w:tc>
          <w:tcPr>
            <w:tcW w:type="dxa" w:w="518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0" w:right="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accompanied by continuous polarization switching, whereas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unipolar pulses only slight shifts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-values of both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memory states were observed. From that we deduce, that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switching itself or mechanisms coupled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alternating pulses aggravate the endurance degradation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Si:HfO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-based FeFETs. </w:t>
            </w:r>
          </w:p>
        </w:tc>
      </w:tr>
      <w:tr>
        <w:trPr>
          <w:trHeight w:hRule="exact" w:val="320"/>
        </w:trPr>
        <w:tc>
          <w:tcPr>
            <w:tcW w:type="dxa" w:w="1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0" w:val="left"/>
              </w:tabs>
              <w:autoSpaceDE w:val="0"/>
              <w:widowControl/>
              <w:spacing w:line="245" w:lineRule="auto" w:before="72" w:after="0"/>
              <w:ind w:left="946" w:right="144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-1 </w:t>
            </w:r>
            <w:r>
              <w:br/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72" w:after="0"/>
              <w:ind w:left="144" w:right="0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0 </w:t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5" w:lineRule="auto" w:before="72" w:after="0"/>
              <w:ind w:left="364" w:right="144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245" w:lineRule="auto" w:before="72" w:after="0"/>
              <w:ind w:left="108" w:right="0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7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45" w:lineRule="auto" w:before="72" w:after="0"/>
              <w:ind w:left="368" w:right="144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7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245" w:lineRule="auto" w:before="72" w:after="0"/>
              <w:ind w:left="178" w:right="288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4 </w:t>
            </w:r>
            <w:r>
              <w:br/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245" w:lineRule="auto" w:before="72" w:after="0"/>
              <w:ind w:left="10" w:right="432" w:firstLine="0"/>
              <w:jc w:val="left"/>
            </w:pPr>
            <w:r>
              <w:tab/>
            </w:r>
            <w:r>
              <w:rPr>
                <w:w w:val="96.4176091280850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5 </w:t>
            </w:r>
            <w:r>
              <w:br/>
            </w: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</w:tr>
      <w:tr>
        <w:trPr>
          <w:trHeight w:hRule="exact" w:val="340"/>
        </w:trPr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48" w:firstLine="0"/>
              <w:jc w:val="right"/>
            </w:pP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1.0</w:t>
            </w:r>
          </w:p>
        </w:tc>
        <w:tc>
          <w:tcPr>
            <w:tcW w:type="dxa" w:w="1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72" w:right="0" w:firstLine="0"/>
              <w:jc w:val="left"/>
            </w:pPr>
            <w:r>
              <w:rPr>
                <w:w w:val="98.20496241251627"/>
                <w:rFonts w:ascii="TimesNewRoman,Bold" w:hAnsi="TimesNewRoman,Bold" w:eastAsia="TimesNewRoman,Bold"/>
                <w:b/>
                <w:i w:val="0"/>
                <w:color w:val="0000FF"/>
                <w:sz w:val="18"/>
              </w:rPr>
              <w:t>OFF state (- 6 V</w:t>
            </w:r>
            <w:r>
              <w:rPr>
                <w:w w:val="98.20496241251627"/>
                <w:rFonts w:ascii="TimesNewRoman,Bold" w:hAnsi="TimesNewRoman,Bold" w:eastAsia="TimesNewRoman,Bold"/>
                <w:b/>
                <w:i w:val="0"/>
                <w:color w:val="0000FF"/>
                <w:sz w:val="18"/>
              </w:rPr>
              <w:t>100 ns )</w:t>
            </w:r>
          </w:p>
        </w:tc>
        <w:tc>
          <w:tcPr>
            <w:tcW w:type="dxa" w:w="2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526" w:firstLine="0"/>
              <w:jc w:val="right"/>
            </w:pPr>
            <w:r>
              <w:rPr>
                <w:w w:val="101.0103498186383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(a) </w:t>
            </w:r>
          </w:p>
        </w:tc>
      </w:tr>
      <w:tr>
        <w:trPr>
          <w:trHeight w:hRule="exact" w:val="400"/>
        </w:trPr>
        <w:tc>
          <w:tcPr>
            <w:tcW w:type="dxa" w:w="752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430" w:after="0"/>
              <w:ind w:left="0" w:right="0" w:firstLine="0"/>
              <w:jc w:val="center"/>
            </w:pPr>
            <w:r>
              <w:rPr>
                <w:w w:val="98.6944103240966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</w:t>
            </w:r>
            <w:r>
              <w:rPr>
                <w:w w:val="98.206909497578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w w:val="98.6944103240966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(V)</w:t>
            </w:r>
          </w:p>
        </w:tc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0.5</w:t>
            </w:r>
          </w:p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14" w:after="0"/>
              <w:ind w:left="62" w:right="0" w:firstLine="0"/>
              <w:jc w:val="left"/>
            </w:pPr>
            <w:r>
              <w:rPr>
                <w:w w:val="98.20496241251627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V</w:t>
            </w:r>
            <w:r>
              <w:rPr>
                <w:w w:val="96.41760912808505"/>
                <w:rFonts w:ascii="TimesNewRoman,Bold" w:hAnsi="TimesNewRoman,Bold" w:eastAsia="TimesNewRoman,Bold"/>
                <w:b/>
                <w:i w:val="0"/>
                <w:color w:val="000000"/>
                <w:sz w:val="11"/>
              </w:rPr>
              <w:t>SENSE</w:t>
            </w:r>
          </w:p>
        </w:tc>
        <w:tc>
          <w:tcPr>
            <w:tcW w:type="dxa" w:w="34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508" w:right="0" w:firstLine="0"/>
              <w:jc w:val="left"/>
            </w:pPr>
            <w:r>
              <w:rPr>
                <w:w w:val="98.20496241251627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residual MW: 0.9 V</w:t>
            </w:r>
          </w:p>
        </w:tc>
      </w:tr>
      <w:tr>
        <w:trPr>
          <w:trHeight w:hRule="exact" w:val="380"/>
        </w:trPr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0.0</w:t>
            </w:r>
          </w:p>
        </w:tc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6768"/>
            <w:gridSpan w:val="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46" w:firstLine="0"/>
              <w:jc w:val="right"/>
            </w:pPr>
            <w:r>
              <w:rPr>
                <w:w w:val="98.2049624125162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-0.5</w:t>
            </w:r>
          </w:p>
        </w:tc>
        <w:tc>
          <w:tcPr>
            <w:tcW w:type="dxa" w:w="41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80" w:right="0" w:firstLine="0"/>
              <w:jc w:val="left"/>
            </w:pPr>
            <w:r>
              <w:rPr>
                <w:w w:val="98.20496241251627"/>
                <w:rFonts w:ascii="TimesNewRoman,Bold" w:hAnsi="TimesNewRoman,Bold" w:eastAsia="TimesNewRoman,Bold"/>
                <w:b/>
                <w:i w:val="0"/>
                <w:color w:val="FF0000"/>
                <w:sz w:val="18"/>
              </w:rPr>
              <w:t>ON state ( + 4 V</w:t>
            </w:r>
            <w:r>
              <w:rPr>
                <w:w w:val="98.20496241251627"/>
                <w:rFonts w:ascii="TimesNewRoman,Bold" w:hAnsi="TimesNewRoman,Bold" w:eastAsia="TimesNewRoman,Bold"/>
                <w:b/>
                <w:i w:val="0"/>
                <w:color w:val="FF0000"/>
                <w:sz w:val="18"/>
              </w:rPr>
              <w:t>100 ns )</w:t>
            </w:r>
          </w:p>
        </w:tc>
      </w:tr>
      <w:tr>
        <w:trPr>
          <w:trHeight w:hRule="exact" w:val="340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456" w:after="0"/>
              <w:ind w:left="0" w:right="334" w:firstLine="0"/>
              <w:jc w:val="right"/>
            </w:pPr>
            <w:r>
              <w:rPr>
                <w:w w:val="102.3399051867033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MW (V)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0" w:firstLine="0"/>
              <w:jc w:val="right"/>
            </w:pPr>
            <w:r>
              <w:rPr>
                <w:w w:val="102.2476308486040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1.5</w:t>
            </w:r>
          </w:p>
        </w:tc>
        <w:tc>
          <w:tcPr>
            <w:tcW w:type="dxa" w:w="4120"/>
            <w:gridSpan w:val="11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773" w:type="dxa"/>
            </w:tblPr>
            <w:tblGrid>
              <w:gridCol w:w="589"/>
              <w:gridCol w:w="589"/>
              <w:gridCol w:w="589"/>
              <w:gridCol w:w="589"/>
              <w:gridCol w:w="589"/>
              <w:gridCol w:w="589"/>
              <w:gridCol w:w="589"/>
            </w:tblGrid>
            <w:tr>
              <w:trPr>
                <w:trHeight w:hRule="exact" w:val="376"/>
              </w:trPr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  <w:tc>
                <w:tcPr>
                  <w:tcW w:type="dxa" w:w="589"/>
                  <w:tcBorders>
                    <w:start w:sz="2.5999999046325684" w:val="single" w:color="#000000"/>
                    <w:top w:sz="2.5999999046325684" w:val="single" w:color="#000000"/>
                    <w:end w:sz="2.5999999046325684" w:val="single" w:color="#000000"/>
                    <w:bottom w:sz="2.5999999046325684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752"/>
            <w:vMerge/>
            <w:tcBorders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8272"/>
            <w:gridSpan w:val="11"/>
            <w:vMerge/>
            <w:tcBorders/>
          </w:tcPr>
          <w:p/>
        </w:tc>
      </w:tr>
      <w:tr>
        <w:tc>
          <w:tcPr>
            <w:tcW w:type="dxa" w:w="752"/>
            <w:vMerge/>
            <w:tcBorders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8272"/>
            <w:gridSpan w:val="11"/>
            <w:vMerge/>
            <w:tcBorders/>
          </w:tcPr>
          <w:p/>
        </w:tc>
      </w:tr>
      <w:tr>
        <w:tc>
          <w:tcPr>
            <w:tcW w:type="dxa" w:w="752"/>
            <w:vMerge/>
            <w:tcBorders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8272"/>
            <w:gridSpan w:val="11"/>
            <w:vMerge/>
            <w:tcBorders/>
          </w:tcPr>
          <w:p/>
        </w:tc>
      </w:tr>
      <w:tr>
        <w:tc>
          <w:tcPr>
            <w:tcW w:type="dxa" w:w="752"/>
            <w:vMerge/>
            <w:tcBorders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  <w:tc>
          <w:tcPr>
            <w:tcW w:type="dxa" w:w="752"/>
          </w:tcPr>
          <w:p/>
        </w:tc>
      </w:tr>
    </w:tbl>
    <w:p>
      <w:pPr>
        <w:sectPr>
          <w:type w:val="nextColumn"/>
          <w:pgSz w:w="12240" w:h="15840"/>
          <w:pgMar w:top="538" w:right="822" w:bottom="158" w:left="892" w:header="720" w:footer="720" w:gutter="0"/>
          <w:cols w:space="720" w:num="2" w:equalWidth="0"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>
        <w:trPr>
          <w:trHeight w:hRule="exact" w:val="243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10" w:after="0"/>
              <w:ind w:left="4" w:right="0" w:firstLine="0"/>
              <w:jc w:val="left"/>
            </w:pPr>
            <w:r>
              <w:rPr>
                <w:w w:val="102.0304679870605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101.8121242523193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2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84" w:firstLine="0"/>
              <w:jc w:val="right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Voltage</w:t>
            </w:r>
          </w:p>
        </w:tc>
        <w:tc>
          <w:tcPr>
            <w:tcW w:type="dxa" w:w="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8" w:after="0"/>
              <w:ind w:left="0" w:right="0" w:firstLine="0"/>
              <w:jc w:val="center"/>
            </w:pP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/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4" w:right="0" w:firstLine="0"/>
              <w:jc w:val="left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6" w:right="0" w:firstLine="0"/>
              <w:jc w:val="left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Stress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Sense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 V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4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0.8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8" w:after="0"/>
              <w:ind w:left="260" w:right="0" w:firstLine="0"/>
              <w:jc w:val="left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FF0000"/>
                <w:sz w:val="11"/>
              </w:rPr>
              <w:t xml:space="preserve">C 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(V)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06" w:after="0"/>
              <w:ind w:left="0" w:right="0" w:firstLine="0"/>
              <w:jc w:val="left"/>
            </w:pPr>
            <w:r>
              <w:rPr>
                <w:w w:val="97.7767944335937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</w:t>
            </w:r>
            <w:r>
              <w:rPr>
                <w:w w:val="97.7773030598958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w w:val="97.7767944335937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(V)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10" w:after="0"/>
              <w:ind w:left="0" w:right="0" w:firstLine="0"/>
              <w:jc w:val="center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48" w:firstLine="0"/>
              <w:jc w:val="right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Initialization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6" w:after="0"/>
              <w:ind w:left="0" w:right="28" w:firstLine="0"/>
              <w:jc w:val="right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//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308" w:right="0" w:firstLine="0"/>
              <w:jc w:val="left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Trapping test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</w:p>
        </w:tc>
      </w:tr>
      <w:tr>
        <w:trPr>
          <w:trHeight w:hRule="exact" w:val="155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8" w:firstLine="0"/>
              <w:jc w:val="right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200 ns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4" w:val="left"/>
                <w:tab w:pos="1220" w:val="left"/>
              </w:tabs>
              <w:autoSpaceDE w:val="0"/>
              <w:widowControl/>
              <w:spacing w:line="245" w:lineRule="auto" w:before="54" w:after="0"/>
              <w:ind w:left="22" w:right="0" w:firstLine="0"/>
              <w:jc w:val="left"/>
            </w:pPr>
            <w:r>
              <w:tab/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 xml:space="preserve">t </w:t>
            </w:r>
            <w:r>
              <w:rPr>
                <w:w w:val="101.15597724914551"/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 xml:space="preserve">PULSE </w:t>
            </w:r>
            <w:r>
              <w:br/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V</w:t>
            </w:r>
            <w:r>
              <w:rPr>
                <w:w w:val="101.15597724914551"/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TH</w:t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 xml:space="preserve">1 </w:t>
            </w:r>
            <w:r>
              <w:tab/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V</w:t>
            </w:r>
            <w:r>
              <w:rPr>
                <w:w w:val="101.15597724914551"/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TH</w:t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 xml:space="preserve">2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23900" cy="177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8" w:after="0"/>
              <w:ind w:left="80" w:right="0" w:firstLine="0"/>
              <w:jc w:val="left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 kHz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8" w:after="0"/>
              <w:ind w:left="0" w:right="0" w:firstLine="0"/>
              <w:jc w:val="center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 MHz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152" w:firstLine="0"/>
              <w:jc w:val="right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Time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288" w:lineRule="auto" w:before="4" w:after="0"/>
              <w:ind w:left="248" w:right="432" w:firstLine="0"/>
              <w:jc w:val="left"/>
            </w:pPr>
            <w:r>
              <w:tab/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 xml:space="preserve">+ 4 V </w:t>
            </w: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 xml:space="preserve">0 V </w:t>
            </w:r>
          </w:p>
          <w:p>
            <w:pPr>
              <w:autoSpaceDN w:val="0"/>
              <w:autoSpaceDE w:val="0"/>
              <w:widowControl/>
              <w:spacing w:line="230" w:lineRule="auto" w:before="164" w:after="0"/>
              <w:ind w:left="0" w:right="870" w:firstLine="0"/>
              <w:jc w:val="right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- 6 V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2.0000000000005" w:type="dxa"/>
            </w:tblPr>
            <w:tblGrid>
              <w:gridCol w:w="332"/>
              <w:gridCol w:w="332"/>
              <w:gridCol w:w="332"/>
              <w:gridCol w:w="332"/>
              <w:gridCol w:w="332"/>
            </w:tblGrid>
            <w:tr>
              <w:trPr>
                <w:trHeight w:hRule="exact" w:val="258"/>
              </w:trPr>
              <w:tc>
                <w:tcPr>
                  <w:tcW w:type="dxa" w:w="646"/>
                  <w:gridSpan w:val="3"/>
                  <w:tcBorders>
                    <w:end w:sz="6.9200000762939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vMerge w:val="restart"/>
                  <w:tcBorders>
                    <w:top w:sz="6.920000076293945" w:val="single" w:color="#000000"/>
                    <w:start w:sz="6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tcBorders>
                    <w:start w:sz="6.920000076293945" w:val="single" w:color="#000000"/>
                    <w:bottom w:sz="6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69"/>
              </w:trPr>
              <w:tc>
                <w:tcPr>
                  <w:tcW w:type="dxa" w:w="232"/>
                  <w:tcBorders>
                    <w:top w:sz="6.920000076293945" w:val="single" w:color="#000000"/>
                    <w:end w:sz="6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4"/>
                  <w:gridSpan w:val="3"/>
                  <w:tcBorders>
                    <w:start w:sz="6.9200000762939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0" w:after="0"/>
              <w:ind w:left="0" w:right="488" w:firstLine="0"/>
              <w:jc w:val="right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200 ns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994" w:after="0"/>
              <w:ind w:left="82" w:right="0" w:firstLine="0"/>
              <w:jc w:val="left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V</w:t>
            </w:r>
            <w:r>
              <w:rPr>
                <w:w w:val="96.2943423878062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TH </w:t>
            </w: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1 </w:t>
            </w:r>
          </w:p>
        </w:tc>
      </w:tr>
      <w:tr>
        <w:trPr>
          <w:trHeight w:hRule="exact" w:val="322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w w:val="98.4987497329711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 kHz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180"/>
            <w:gridSpan w:val="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1.461976369222"/>
                <w:rFonts w:ascii="TimesNewRoman,Bold" w:hAnsi="TimesNewRoman,Bold" w:eastAsia="TimesNewRoman,Bold"/>
                <w:b/>
                <w:i w:val="0"/>
                <w:color w:val="000000"/>
                <w:sz w:val="15"/>
              </w:rPr>
              <w:t>1 s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180"/>
            <w:gridSpan w:val="2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0" w:right="48" w:firstLine="0"/>
              <w:jc w:val="right"/>
            </w:pPr>
            <w:r>
              <w:rPr>
                <w:w w:val="96.619149616786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P</w:t>
            </w:r>
          </w:p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58" w:right="0" w:firstLine="0"/>
              <w:jc w:val="lef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Stress cycles 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590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180"/>
            <w:gridSpan w:val="2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0.4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180"/>
            <w:gridSpan w:val="2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78" w:firstLine="0"/>
              <w:jc w:val="righ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initial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94" w:firstLine="0"/>
              <w:jc w:val="righ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1E4 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2" w:after="0"/>
              <w:ind w:left="82" w:right="0" w:firstLine="0"/>
              <w:jc w:val="left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V</w:t>
            </w:r>
            <w:r>
              <w:rPr>
                <w:w w:val="96.2943423878062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TH</w:t>
            </w: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2 </w:t>
            </w:r>
          </w:p>
        </w:tc>
      </w:tr>
      <w:tr>
        <w:trPr>
          <w:trHeight w:hRule="exact" w:val="17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126" w:right="0" w:firstLine="0"/>
              <w:jc w:val="left"/>
            </w:pPr>
            <w:r>
              <w:rPr>
                <w:w w:val="101.8121242523193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</w:t>
            </w:r>
            <w:r>
              <w:rPr>
                <w:w w:val="102.0304679870605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R</w:t>
            </w:r>
            <w:r>
              <w:rPr>
                <w:w w:val="101.8121242523193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w w:val="102.25683848063152"/>
                <w:rFonts w:ascii="Symbol" w:hAnsi="Symbol" w:eastAsia="Symbol"/>
                <w:b w:val="0"/>
                <w:i w:val="0"/>
                <w:color w:val="000000"/>
                <w:sz w:val="18"/>
              </w:rPr>
              <w:t>μ</w:t>
            </w:r>
            <w:r>
              <w:rPr>
                <w:w w:val="101.8121242523193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C/cm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30" w:after="0"/>
              <w:ind w:left="0" w:right="84" w:firstLine="0"/>
              <w:jc w:val="right"/>
            </w:pP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 P</w:t>
            </w:r>
            <w:r>
              <w:rPr>
                <w:w w:val="97.5929896036783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R</w:t>
            </w: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+/P</w:t>
            </w:r>
            <w:r>
              <w:rPr>
                <w:w w:val="97.5929896036783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R</w:t>
            </w: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-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" w:after="0"/>
              <w:ind w:left="0" w:right="26" w:firstLine="0"/>
              <w:jc w:val="right"/>
            </w:pPr>
            <w:r>
              <w:rPr>
                <w:w w:val="96.619149616786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+P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R</w:t>
            </w:r>
          </w:p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w w:val="96.619149616786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V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04" w:firstLine="0"/>
              <w:jc w:val="righ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5E4 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63"/>
        </w:trPr>
        <w:tc>
          <w:tcPr>
            <w:tcW w:type="dxa" w:w="590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70" w:firstLine="0"/>
              <w:jc w:val="right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0.0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300" w:firstLine="0"/>
              <w:jc w:val="righ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100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04" w:firstLine="0"/>
              <w:jc w:val="righ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1E5 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135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/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20" w:after="0"/>
              <w:ind w:left="0" w:right="38" w:firstLine="0"/>
              <w:jc w:val="right"/>
            </w:pP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 V</w:t>
            </w:r>
            <w:r>
              <w:rPr>
                <w:w w:val="97.5929896036783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C</w:t>
            </w: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+/V</w:t>
            </w:r>
            <w:r>
              <w:rPr>
                <w:w w:val="97.5929896036783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C</w:t>
            </w:r>
            <w:r>
              <w:rPr>
                <w:w w:val="97.596302032470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-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0" w:after="0"/>
              <w:ind w:left="0" w:right="190" w:firstLine="0"/>
              <w:jc w:val="right"/>
            </w:pPr>
            <w:r>
              <w:rPr>
                <w:w w:val="96.619149616786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–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C</w:t>
            </w:r>
          </w:p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770"/>
            <w:gridSpan w:val="3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844" w:firstLine="0"/>
              <w:jc w:val="right"/>
            </w:pPr>
            <w:r>
              <w:rPr>
                <w:w w:val="97.7747976779937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1000 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590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-10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" w:after="0"/>
              <w:ind w:left="130" w:right="0" w:firstLine="0"/>
              <w:jc w:val="left"/>
            </w:pPr>
            <w:r>
              <w:rPr>
                <w:w w:val="96.619149616786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+V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C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0" w:right="0" w:firstLine="0"/>
              <w:jc w:val="center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-0.4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180"/>
            <w:gridSpan w:val="2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28" w:right="0" w:firstLine="0"/>
              <w:jc w:val="left"/>
            </w:pPr>
            <w:r>
              <w:rPr>
                <w:w w:val="96.619149616786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–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R</w:t>
            </w:r>
          </w:p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1180"/>
            <w:gridSpan w:val="2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  <w:tc>
          <w:tcPr>
            <w:tcW w:type="dxa" w:w="5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62"/>
        <w:ind w:left="0" w:right="0"/>
      </w:pPr>
    </w:p>
    <w:p>
      <w:pPr>
        <w:sectPr>
          <w:pgSz w:w="12240" w:h="15840"/>
          <w:pgMar w:top="540" w:right="720" w:bottom="158" w:left="892" w:header="720" w:footer="720" w:gutter="0"/>
          <w:cols w:space="720" w:num="1" w:equalWidth="0"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2657"/>
        <w:gridCol w:w="2657"/>
        <w:gridCol w:w="2657"/>
        <w:gridCol w:w="265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90" w:right="0" w:firstLine="0"/>
              <w:jc w:val="left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-20</w:t>
            </w:r>
          </w:p>
          <w:p>
            <w:pPr>
              <w:autoSpaceDN w:val="0"/>
              <w:autoSpaceDE w:val="0"/>
              <w:widowControl/>
              <w:spacing w:line="343" w:lineRule="auto" w:before="0" w:after="0"/>
              <w:ind w:left="0" w:right="0" w:firstLine="0"/>
              <w:jc w:val="right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-1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2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2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54" w:firstLine="0"/>
              <w:jc w:val="right"/>
            </w:pP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FF0000"/>
                <w:sz w:val="18"/>
              </w:rPr>
              <w:t>-0.8</w:t>
            </w:r>
          </w:p>
        </w:tc>
      </w:tr>
      <w:tr>
        <w:trPr>
          <w:trHeight w:hRule="exact" w:val="324"/>
        </w:trPr>
        <w:tc>
          <w:tcPr>
            <w:tcW w:type="dxa" w:w="2657"/>
            <w:vMerge/>
            <w:tcBorders/>
          </w:tcPr>
          <w:p/>
        </w:tc>
        <w:tc>
          <w:tcPr>
            <w:tcW w:type="dxa" w:w="2657"/>
            <w:vMerge/>
            <w:tcBorders/>
          </w:tcPr>
          <w:p/>
        </w:tc>
        <w:tc>
          <w:tcPr>
            <w:tcW w:type="dxa" w:w="2657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6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3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4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5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6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7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8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9</w:t>
            </w:r>
            <w:r>
              <w:rPr>
                <w:w w:val="101.2940724690755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230" w:lineRule="auto" w:before="20" w:after="0"/>
        <w:ind w:left="0" w:right="1832" w:firstLine="0"/>
        <w:jc w:val="right"/>
      </w:pPr>
      <w:r>
        <w:rPr>
          <w:w w:val="101.29407246907552"/>
          <w:rFonts w:ascii="TimesNewRoman" w:hAnsi="TimesNewRoman" w:eastAsia="TimesNewRoman"/>
          <w:b w:val="0"/>
          <w:i w:val="0"/>
          <w:color w:val="000000"/>
          <w:sz w:val="18"/>
        </w:rPr>
        <w:t xml:space="preserve"> Number of stress cycles</w:t>
      </w:r>
    </w:p>
    <w:p>
      <w:pPr>
        <w:autoSpaceDN w:val="0"/>
        <w:autoSpaceDE w:val="0"/>
        <w:widowControl/>
        <w:spacing w:line="245" w:lineRule="auto" w:before="5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3. Program/erase cycling characteristics of an MFM capacitor at 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stress frequency of 1 MHz. (a) Experimental gate pulse sequence;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(b) The remanent polarization (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) and coercive voltage (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) as functions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stress cycles.</w:t>
      </w:r>
    </w:p>
    <w:p>
      <w:pPr>
        <w:autoSpaceDN w:val="0"/>
        <w:tabs>
          <w:tab w:pos="1428" w:val="left"/>
          <w:tab w:pos="1884" w:val="left"/>
        </w:tabs>
        <w:autoSpaceDE w:val="0"/>
        <w:widowControl/>
        <w:spacing w:line="262" w:lineRule="auto" w:before="110" w:after="10"/>
        <w:ind w:left="1032" w:right="1584" w:firstLine="0"/>
        <w:jc w:val="left"/>
      </w:pPr>
      <w:r>
        <w:tab/>
      </w:r>
      <w:r>
        <w:rPr>
          <w:w w:val="102.70575284957886"/>
          <w:rFonts w:ascii="TimesNewRoman" w:hAnsi="TimesNewRoman" w:eastAsia="TimesNewRoman"/>
          <w:b w:val="0"/>
          <w:i w:val="0"/>
          <w:color w:val="000000"/>
          <w:sz w:val="16"/>
        </w:rPr>
        <w:t xml:space="preserve">Number of program/erase cycles: </w:t>
      </w:r>
      <w:r>
        <w:br/>
      </w:r>
      <w:r>
        <w:rPr>
          <w:w w:val="102.70575284957886"/>
          <w:rFonts w:ascii="TimesNewRoman" w:hAnsi="TimesNewRoman" w:eastAsia="TimesNewRoman"/>
          <w:b w:val="0"/>
          <w:i w:val="0"/>
          <w:color w:val="000000"/>
          <w:sz w:val="16"/>
        </w:rPr>
        <w:t>1E-3</w:t>
      </w:r>
      <w:r>
        <w:tab/>
      </w:r>
      <w:r>
        <w:rPr>
          <w:w w:val="102.70575284957886"/>
          <w:rFonts w:ascii="TimesNewRoman" w:hAnsi="TimesNewRoman" w:eastAsia="TimesNewRoman"/>
          <w:b w:val="0"/>
          <w:i w:val="0"/>
          <w:color w:val="000000"/>
          <w:sz w:val="16"/>
        </w:rPr>
        <w:t xml:space="preserve"> initial </w:t>
      </w:r>
      <w:r>
        <w:br/>
      </w:r>
      <w:r>
        <w:tab/>
      </w:r>
      <w:r>
        <w:rPr>
          <w:w w:val="102.70575284957886"/>
          <w:rFonts w:ascii="TimesNewRoman" w:hAnsi="TimesNewRoman" w:eastAsia="TimesNewRoman"/>
          <w:b w:val="0"/>
          <w:i w:val="0"/>
          <w:color w:val="000000"/>
          <w:sz w:val="16"/>
        </w:rPr>
        <w:t xml:space="preserve"> 100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8.0" w:type="dxa"/>
      </w:tblPr>
      <w:tblGrid>
        <w:gridCol w:w="3543"/>
        <w:gridCol w:w="3543"/>
        <w:gridCol w:w="3543"/>
      </w:tblGrid>
      <w:tr>
        <w:trPr>
          <w:trHeight w:hRule="exact" w:val="202"/>
        </w:trPr>
        <w:tc>
          <w:tcPr>
            <w:tcW w:type="dxa" w:w="1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66" w:lineRule="auto" w:before="414" w:after="0"/>
              <w:ind w:left="0" w:right="0" w:firstLine="0"/>
              <w:jc w:val="left"/>
            </w:pP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0" w:after="0"/>
              <w:ind w:left="276" w:right="720" w:firstLine="0"/>
              <w:jc w:val="left"/>
            </w:pPr>
            <w:r>
              <w:tab/>
            </w: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  <w:r>
              <w:br/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4" w:val="left"/>
              </w:tabs>
              <w:autoSpaceDE w:val="0"/>
              <w:widowControl/>
              <w:spacing w:line="245" w:lineRule="auto" w:before="592" w:after="0"/>
              <w:ind w:left="612" w:right="576" w:firstLine="0"/>
              <w:jc w:val="left"/>
            </w:pPr>
            <w:r>
              <w:tab/>
            </w: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  <w:r>
              <w:br/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5x10</w:t>
            </w:r>
          </w:p>
        </w:tc>
      </w:tr>
      <w:tr>
        <w:trPr>
          <w:trHeight w:hRule="exact" w:val="6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374" w:lineRule="auto" w:before="12" w:after="0"/>
              <w:ind w:left="444" w:right="144" w:firstLine="0"/>
              <w:jc w:val="left"/>
            </w:pPr>
            <w:r>
              <w:tab/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1E-5 </w:t>
            </w:r>
            <w:r>
              <w:br/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G</w:t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(A/cm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2" w:val="left"/>
              </w:tabs>
              <w:autoSpaceDE w:val="0"/>
              <w:widowControl/>
              <w:spacing w:line="245" w:lineRule="auto" w:before="44" w:after="0"/>
              <w:ind w:left="276" w:right="576" w:firstLine="0"/>
              <w:jc w:val="left"/>
            </w:pPr>
            <w:r>
              <w:tab/>
            </w: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  <w:r>
              <w:br/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2x10</w:t>
            </w:r>
          </w:p>
        </w:tc>
        <w:tc>
          <w:tcPr>
            <w:tcW w:type="dxa" w:w="354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6" w:after="0"/>
              <w:ind w:left="0" w:right="260" w:firstLine="0"/>
              <w:jc w:val="right"/>
            </w:pP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1E-7</w:t>
            </w:r>
          </w:p>
        </w:tc>
        <w:tc>
          <w:tcPr>
            <w:tcW w:type="dxa" w:w="354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45" w:lineRule="auto" w:before="24" w:after="0"/>
              <w:ind w:left="612" w:right="720" w:firstLine="0"/>
              <w:jc w:val="left"/>
            </w:pPr>
            <w:r>
              <w:tab/>
            </w: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4</w:t>
            </w:r>
            <w:r>
              <w:br/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45" w:lineRule="auto" w:before="6" w:after="0"/>
        <w:ind w:left="3500" w:right="1296" w:firstLine="0"/>
        <w:jc w:val="left"/>
      </w:pPr>
      <w:r>
        <w:tab/>
      </w:r>
      <w:r>
        <w:rPr>
          <w:w w:val="98.59911918640137"/>
          <w:rFonts w:ascii="TimesNewRoman" w:hAnsi="TimesNewRoman" w:eastAsia="TimesNewRoman"/>
          <w:b w:val="0"/>
          <w:i w:val="0"/>
          <w:color w:val="000000"/>
          <w:sz w:val="10"/>
        </w:rPr>
        <w:t>4</w:t>
      </w:r>
      <w:r>
        <w:br/>
      </w:r>
      <w:r>
        <w:rPr>
          <w:w w:val="102.70575284957886"/>
          <w:rFonts w:ascii="TimesNewRoman" w:hAnsi="TimesNewRoman" w:eastAsia="TimesNewRoman"/>
          <w:b w:val="0"/>
          <w:i w:val="0"/>
          <w:color w:val="000000"/>
          <w:sz w:val="16"/>
        </w:rPr>
        <w:t xml:space="preserve"> 2x10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2" w:after="28"/>
        <w:ind w:left="3500" w:right="1296" w:firstLine="0"/>
        <w:jc w:val="left"/>
      </w:pPr>
      <w:r>
        <w:tab/>
      </w:r>
      <w:r>
        <w:rPr>
          <w:w w:val="98.59911918640137"/>
          <w:rFonts w:ascii="TimesNewRoman" w:hAnsi="TimesNewRoman" w:eastAsia="TimesNewRoman"/>
          <w:b w:val="0"/>
          <w:i w:val="0"/>
          <w:color w:val="000000"/>
          <w:sz w:val="10"/>
        </w:rPr>
        <w:t>4</w:t>
      </w:r>
      <w:r>
        <w:br/>
      </w:r>
      <w:r>
        <w:rPr>
          <w:w w:val="102.70575284957886"/>
          <w:rFonts w:ascii="TimesNewRoman" w:hAnsi="TimesNewRoman" w:eastAsia="TimesNewRoman"/>
          <w:b w:val="0"/>
          <w:i w:val="0"/>
          <w:color w:val="000000"/>
          <w:sz w:val="16"/>
        </w:rPr>
        <w:t xml:space="preserve"> 5x10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8.0" w:type="dxa"/>
      </w:tblPr>
      <w:tblGrid>
        <w:gridCol w:w="2657"/>
        <w:gridCol w:w="2657"/>
        <w:gridCol w:w="2657"/>
        <w:gridCol w:w="2657"/>
      </w:tblGrid>
      <w:tr>
        <w:trPr>
          <w:trHeight w:hRule="exact" w:val="41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516" w:firstLine="0"/>
              <w:jc w:val="right"/>
            </w:pP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right"/>
            </w:pP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64" w:after="0"/>
              <w:ind w:left="20" w:right="0" w:firstLine="0"/>
              <w:jc w:val="left"/>
            </w:pP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V</w:t>
            </w:r>
            <w:r>
              <w:rPr>
                <w:w w:val="98.5991191864013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G</w:t>
            </w: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(V)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760" w:firstLine="0"/>
              <w:jc w:val="right"/>
            </w:pPr>
            <w:r>
              <w:rPr>
                <w:w w:val="102.7057528495788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5" w:lineRule="auto" w:before="2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Figure 4. Evolution of gate leakage current characteristics (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-V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)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MFIS-FETs with continuous program/erase cycling. </w:t>
      </w:r>
    </w:p>
    <w:p>
      <w:pPr>
        <w:autoSpaceDN w:val="0"/>
        <w:tabs>
          <w:tab w:pos="288" w:val="left"/>
          <w:tab w:pos="462" w:val="left"/>
          <w:tab w:pos="1216" w:val="left"/>
          <w:tab w:pos="1848" w:val="left"/>
          <w:tab w:pos="2826" w:val="left"/>
          <w:tab w:pos="3460" w:val="left"/>
        </w:tabs>
        <w:autoSpaceDE w:val="0"/>
        <w:widowControl/>
        <w:spacing w:line="245" w:lineRule="auto" w:before="196" w:after="0"/>
        <w:ind w:left="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endurance properties of the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material were studied while decoupled from the 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stack by using MFM capacitor structures.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development of the remanent polarization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and the coercive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voltage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with cycling, inducing continuous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switching, was examined (Figure 3). The test frequency was set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1 MHz, which provides a stress pulse length comparable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program/erase pulses used for transistor operation.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values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extracted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polarization-voltage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recorded at different stages of cycling (inset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Figure 3(b)). Fatigue-free behavior was detected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program/erase cycles. Thus, the endurance of the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devices is not limited by the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material itself. </w:t>
      </w:r>
    </w:p>
    <w:p>
      <w:pPr>
        <w:autoSpaceDN w:val="0"/>
        <w:autoSpaceDE w:val="0"/>
        <w:widowControl/>
        <w:spacing w:line="245" w:lineRule="auto" w:before="102" w:after="0"/>
        <w:ind w:left="0" w:right="12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examined the possibility of the gate stack degradation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monitoring the gate leakage current of MFIS-FET devices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during program/erase cycling (Figure 4). An increase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gate current was detected after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cycles, which correlated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well with the onset of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degradation (Figure 1).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leakage current induced during endurance stress was verified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devices with varying gate areas and lengths. The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leakage was found to scale together with the gate area,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indicates a homogeneous degradation of the gate stack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cycling stress. In order to identify the degradation path within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gate stack, trap density was additionally characterized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stages of the endurance testing. </w:t>
      </w:r>
    </w:p>
    <w:p>
      <w:pPr>
        <w:sectPr>
          <w:type w:val="continuous"/>
          <w:pgSz w:w="12240" w:h="15840"/>
          <w:pgMar w:top="540" w:right="720" w:bottom="158" w:left="892" w:header="720" w:footer="720" w:gutter="0"/>
          <w:cols w:space="720" w:num="2" w:equalWidth="0"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8"/>
        <w:ind w:left="714" w:right="0" w:firstLine="0"/>
        <w:jc w:val="left"/>
      </w:pPr>
      <w:r>
        <w:rPr>
          <w:w w:val="97.77868058946397"/>
          <w:rFonts w:ascii="TimesNewRoman" w:hAnsi="TimesNewRoman" w:eastAsia="TimesNewRoman"/>
          <w:b w:val="0"/>
          <w:i w:val="0"/>
          <w:color w:val="000000"/>
          <w:sz w:val="18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0000000000023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768"/>
        </w:trPr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44" w:firstLine="0"/>
              <w:jc w:val="right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245" w:lineRule="auto" w:before="368" w:after="0"/>
              <w:ind w:left="10" w:right="432" w:firstLine="0"/>
              <w:jc w:val="left"/>
            </w:pPr>
            <w:r>
              <w:tab/>
            </w:r>
            <w:r>
              <w:rPr>
                <w:w w:val="104.29179191589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-7 </w:t>
            </w:r>
            <w:r>
              <w:br/>
            </w: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6" w:val="left"/>
              </w:tabs>
              <w:autoSpaceDE w:val="0"/>
              <w:widowControl/>
              <w:spacing w:line="233" w:lineRule="auto" w:before="368" w:after="0"/>
              <w:ind w:left="544" w:right="0" w:firstLine="0"/>
              <w:jc w:val="left"/>
            </w:pPr>
            <w:r>
              <w:rPr>
                <w:w w:val="104.29179191589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-6</w:t>
            </w:r>
            <w:r>
              <w:tab/>
            </w:r>
            <w:r>
              <w:rPr>
                <w:w w:val="104.29179191589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-5</w:t>
            </w:r>
          </w:p>
          <w:p>
            <w:pPr>
              <w:autoSpaceDN w:val="0"/>
              <w:tabs>
                <w:tab w:pos="1532" w:val="left"/>
              </w:tabs>
              <w:autoSpaceDE w:val="0"/>
              <w:widowControl/>
              <w:spacing w:line="230" w:lineRule="auto" w:before="0" w:after="0"/>
              <w:ind w:left="372" w:right="0" w:firstLine="0"/>
              <w:jc w:val="left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10 </w:t>
            </w:r>
            <w:r>
              <w:tab/>
            </w: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374" w:right="0" w:firstLine="0"/>
              <w:jc w:val="left"/>
            </w:pP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trapping pulse width (s)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4" w:val="left"/>
              </w:tabs>
              <w:autoSpaceDE w:val="0"/>
              <w:widowControl/>
              <w:spacing w:line="245" w:lineRule="auto" w:before="368" w:after="0"/>
              <w:ind w:left="552" w:right="0" w:firstLine="0"/>
              <w:jc w:val="left"/>
            </w:pPr>
            <w:r>
              <w:tab/>
            </w:r>
            <w:r>
              <w:rPr>
                <w:w w:val="104.29179191589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-4 </w:t>
            </w:r>
            <w:r>
              <w:br/>
            </w:r>
            <w:r>
              <w:rPr>
                <w:w w:val="97.7786805894639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4" w:right="0" w:firstLine="0"/>
              <w:jc w:val="left"/>
            </w:pPr>
            <w:r>
              <w:rPr>
                <w:w w:val="97.7764583769298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(b)</w:t>
            </w:r>
          </w:p>
        </w:tc>
      </w:tr>
      <w:tr>
        <w:trPr>
          <w:trHeight w:hRule="exact" w:val="1460"/>
        </w:trPr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93" w:lineRule="auto" w:before="154" w:after="0"/>
              <w:ind w:left="0" w:right="0" w:firstLine="0"/>
              <w:jc w:val="center"/>
            </w:pP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V</w:t>
            </w:r>
            <w:r>
              <w:rPr>
                <w:w w:val="95.5688043074174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TH</w:t>
            </w: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2 - V</w:t>
            </w:r>
            <w:r>
              <w:rPr>
                <w:w w:val="95.5688043074174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TH</w:t>
            </w: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 (V)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28" w:after="0"/>
              <w:ind w:left="90" w:right="32" w:firstLine="0"/>
              <w:jc w:val="both"/>
            </w:pP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2.5 </w:t>
            </w: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2.0 </w:t>
            </w: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1.5 </w:t>
            </w:r>
            <w:r>
              <w:rPr>
                <w:w w:val="102.74968988755171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1.0</w:t>
            </w:r>
          </w:p>
        </w:tc>
        <w:tc>
          <w:tcPr>
            <w:tcW w:type="dxa" w:w="4320"/>
            <w:gridSpan w:val="6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617"/>
              <w:gridCol w:w="617"/>
              <w:gridCol w:w="617"/>
              <w:gridCol w:w="617"/>
              <w:gridCol w:w="617"/>
              <w:gridCol w:w="617"/>
              <w:gridCol w:w="617"/>
            </w:tblGrid>
            <w:tr>
              <w:trPr>
                <w:trHeight w:hRule="exact" w:val="82"/>
              </w:trPr>
              <w:tc>
                <w:tcPr>
                  <w:tcW w:type="dxa" w:w="617"/>
                  <w:tcBorders>
                    <w:start w:sz="3.568000078201294" w:val="single" w:color="#000000"/>
                    <w:top w:sz="3.568000078201294" w:val="single" w:color="#000000"/>
                    <w:bottom w:sz="3.568000078201294" w:val="single" w:color="#000000"/>
                  </w:tcBorders>
                </w:tcPr>
                <w:p/>
              </w:tc>
              <w:tc>
                <w:tcPr>
                  <w:tcW w:type="dxa" w:w="617"/>
                </w:tcPr>
                <w:p/>
              </w:tc>
              <w:tc>
                <w:tcPr>
                  <w:tcW w:type="dxa" w:w="617"/>
                </w:tcPr>
                <w:p/>
              </w:tc>
              <w:tc>
                <w:tcPr>
                  <w:tcW w:type="dxa" w:w="617"/>
                </w:tcPr>
                <w:p/>
              </w:tc>
              <w:tc>
                <w:tcPr>
                  <w:tcW w:type="dxa" w:w="617"/>
                </w:tcPr>
                <w:p/>
              </w:tc>
              <w:tc>
                <w:tcPr>
                  <w:tcW w:type="dxa" w:w="617"/>
                </w:tcPr>
                <w:p/>
              </w:tc>
              <w:tc>
                <w:tcPr>
                  <w:tcW w:type="dxa" w:w="617"/>
                </w:tcPr>
                <w:p/>
              </w:tc>
            </w:tr>
          </w:tbl>
          <w:p/>
        </w:tc>
      </w:tr>
      <w:tr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7086"/>
            <w:gridSpan w:val="6"/>
            <w:vMerge/>
            <w:tcBorders/>
          </w:tcPr>
          <w:p/>
        </w:tc>
      </w:tr>
      <w:tr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7086"/>
            <w:gridSpan w:val="6"/>
            <w:vMerge/>
            <w:tcBorders/>
          </w:tcPr>
          <w:p/>
        </w:tc>
      </w:tr>
      <w:tr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  <w:tc>
          <w:tcPr>
            <w:tcW w:type="dxa" w:w="1181"/>
          </w:tcPr>
          <w:p/>
        </w:tc>
      </w:tr>
    </w:tbl>
    <w:p>
      <w:pPr>
        <w:sectPr>
          <w:type w:val="nextColumn"/>
          <w:pgSz w:w="12240" w:h="15840"/>
          <w:pgMar w:top="540" w:right="720" w:bottom="158" w:left="892" w:header="720" w:footer="720" w:gutter="0"/>
          <w:cols w:space="720" w:num="2" w:equalWidth="0"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2641600</wp:posOffset>
            </wp:positionV>
            <wp:extent cx="2197100" cy="1638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3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38" w:right="820" w:bottom="158" w:left="892" w:header="720" w:footer="720" w:gutter="0"/>
          <w:cols w:space="720" w:num="2" w:equalWidth="0"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tabs>
          <w:tab w:pos="644" w:val="left"/>
          <w:tab w:pos="1434" w:val="left"/>
          <w:tab w:pos="2014" w:val="left"/>
          <w:tab w:pos="2872" w:val="left"/>
          <w:tab w:pos="3428" w:val="left"/>
          <w:tab w:pos="4204" w:val="left"/>
        </w:tabs>
        <w:autoSpaceDE w:val="0"/>
        <w:widowControl/>
        <w:spacing w:line="218" w:lineRule="exact" w:before="18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traps was examined after different number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stress cycles (Figure 5). The trapping characteristics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recorded using the pulse sequence schematically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5 (a).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shift between the rising and the falling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edges of the trapping pulse was measured as a function of pulse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width for trapping voltage of 3.5 V. Before each trapping pulse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identical initial state was re-established with a combination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 negative (– 6 V/ 200 ns) and a positive (+ 4 V/ 200 ns)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pulses followed by a delay of 1 s. The resulting trapping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are depicted in Figure 5 (b). With increasing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program/erase pulses no significant change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trapping window (</w:t>
      </w:r>
      <w:r>
        <w:rPr>
          <w:rFonts w:ascii="Symbol" w:hAnsi="Symbol" w:eastAsia="Symbol"/>
          <w:b w:val="0"/>
          <w:i w:val="0"/>
          <w:color w:val="000000"/>
          <w:sz w:val="20"/>
        </w:rPr>
        <w:t>Δ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was visible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(Figure 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(c)). For higher cycling numbers the trapping window even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started to decrease. This was predominantly determined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shift of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TH1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higher positive voltages, reflecting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degradation of the “ON” memory state, whereas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TH2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remained almost unaffected by cycling. The slope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trapping characteristic remained independent on the number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program/erase operations (Figure 5 (d)). Therefore, it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deduced that only negligible generation of new bulk traps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within the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occurred during endurance stress.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decrease of the trapping window with cycling indicates a build-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up of permanent negative charge within the dielectric stack.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possible origins are fixed charges generated during cycling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accumulation of electrons stuck on the deep traps.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permanent negative charge modifies the field distribution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the gate stack and reduces the injection current during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trapping. Permanent negative charge should simultaneously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deteriorate the ferroelectric switching during negative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pulses. The contrary trend is, however, observed (Figure 1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2). The degradation of the memory window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cycling is predominantly determined by the shift of the “ON” –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written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positive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pulses.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Additional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investigations are required to clarify this observation.</w:t>
      </w:r>
    </w:p>
    <w:p>
      <w:pPr>
        <w:autoSpaceDN w:val="0"/>
        <w:autoSpaceDE w:val="0"/>
        <w:widowControl/>
        <w:spacing w:line="245" w:lineRule="auto" w:before="118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Furthermore, the interfacial trap density evolution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progressive cycling was monitored using variable base level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 pumping (CP) technique (Figure 6). An increase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 pumping current indicated a change in the trap density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interfacial SiON layer by almost one order of magnitude.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strong increase in the interfacial trap density after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3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cycles goes along with an increase in the gate leakage current.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Therefore, we conclude that the degradation of the gate leakage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current is mainly related to the degradation of the interfacial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SiON layer. The high density of generated traps impairs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insulating properties. A prevailing degradation of the interface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layer in standard 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gate stacks exposed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positive or negative bias stress was ascertained by various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research groups [20], [21], [22]. Moreover, alternating stress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reported to accelerate the degradation [23], [24],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assigned to the wear-out of the interfacial layer due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continuous back and forth tunneling of charges [25].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comparison to the standard high-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gate stacks the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injection into the ferroelectric transistor is further enhanced.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ferroelectric polarization charge of the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induces internal fields, which facilitate charge injection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channel. Positive polarization established by positive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voltages simultaneously assists the electron injection, while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negative polarization induced by negative gate voltages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facilitates hole injection. Therefore, steady transfer of charges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through the interfacial layer is inevitable under alternating </w:t>
      </w:r>
    </w:p>
    <w:p>
      <w:pPr>
        <w:sectPr>
          <w:type w:val="continuous"/>
          <w:pgSz w:w="12240" w:h="15840"/>
          <w:pgMar w:top="538" w:right="820" w:bottom="158" w:left="892" w:header="720" w:footer="720" w:gutter="0"/>
          <w:cols w:space="720" w:num="2" w:equalWidth="0">
            <w:col w:w="5254" w:space="0"/>
            <w:col w:w="5274" w:space="0"/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14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program/erase pulses. The degradation of the insulating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of the interfacial layer can have a strong impact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memory operation of the FeFET. Free charges can be easily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injected from the channel into the ferroelectric layer,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compensating its polarization, which eventually degrades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memory window. Charge injection was one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issues identified in the first peroskite-based FeFET devices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[26], [27], for which the ferroelectric layer was fabricated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directly on the semiconductor substrate. In order to improve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properties, operation conditions or/and dielectric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 should be optimized in a way that enables to moderate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 across the interface layer and reduce the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trapping.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77" w:type="dxa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>
        <w:trPr>
          <w:trHeight w:hRule="exact" w:val="2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98" w:after="0"/>
              <w:ind w:left="0" w:right="0" w:firstLine="0"/>
              <w:jc w:val="left"/>
            </w:pPr>
            <w:r>
              <w:rPr>
                <w:w w:val="102.37482388814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32" w:right="0" w:firstLine="0"/>
              <w:jc w:val="lef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250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36" w:after="0"/>
              <w:ind w:left="0" w:right="392" w:firstLine="0"/>
              <w:jc w:val="right"/>
            </w:pPr>
            <w:r>
              <w:rPr>
                <w:w w:val="97.4004184498506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N</w:t>
            </w:r>
            <w:r>
              <w:rPr>
                <w:w w:val="98.812818527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CP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69" w:lineRule="auto" w:before="20" w:after="0"/>
              <w:ind w:left="6" w:right="0" w:firstLine="0"/>
              <w:jc w:val="left"/>
            </w:pPr>
            <w:r>
              <w:rPr>
                <w:w w:val="98.812818527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97.40041844985065"/>
                <w:rFonts w:ascii="TimesNewRoman,Bold" w:hAnsi="TimesNewRoman,Bold" w:eastAsia="TimesNewRoman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45" w:lineRule="auto" w:before="60" w:after="0"/>
              <w:ind w:left="96" w:right="0" w:firstLine="0"/>
              <w:jc w:val="left"/>
            </w:pPr>
            <w:r>
              <w:tab/>
            </w:r>
            <w:r>
              <w:rPr>
                <w:w w:val="96.4376131693522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11 </w:t>
            </w:r>
            <w:r>
              <w:rPr>
                <w:w w:val="103.0076776232038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x 10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245" w:lineRule="auto" w:before="812" w:after="0"/>
              <w:ind w:left="32" w:right="0" w:firstLine="0"/>
              <w:jc w:val="left"/>
            </w:pPr>
            <w:r>
              <w:tab/>
            </w:r>
            <w:r>
              <w:rPr>
                <w:w w:val="98.4785795211792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 xml:space="preserve">1 </w:t>
            </w:r>
            <w:r>
              <w:br/>
            </w: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812" w:after="0"/>
              <w:ind w:left="170" w:right="0" w:firstLine="0"/>
              <w:jc w:val="left"/>
            </w:pPr>
            <w:r>
              <w:tab/>
            </w:r>
            <w:r>
              <w:rPr>
                <w:w w:val="98.4785795211792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 xml:space="preserve">2 </w:t>
            </w:r>
            <w:r>
              <w:br/>
            </w: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</w:tabs>
              <w:autoSpaceDE w:val="0"/>
              <w:widowControl/>
              <w:spacing w:line="245" w:lineRule="auto" w:before="812" w:after="0"/>
              <w:ind w:left="166" w:right="144" w:firstLine="0"/>
              <w:jc w:val="left"/>
            </w:pPr>
            <w:r>
              <w:tab/>
            </w:r>
            <w:r>
              <w:rPr>
                <w:w w:val="98.4785795211792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 xml:space="preserve">3 </w:t>
            </w:r>
            <w:r>
              <w:br/>
            </w: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2" w:val="left"/>
              </w:tabs>
              <w:autoSpaceDE w:val="0"/>
              <w:widowControl/>
              <w:spacing w:line="245" w:lineRule="auto" w:before="812" w:after="0"/>
              <w:ind w:left="164" w:right="432" w:firstLine="0"/>
              <w:jc w:val="left"/>
            </w:pPr>
            <w:r>
              <w:tab/>
            </w:r>
            <w:r>
              <w:rPr>
                <w:w w:val="98.4785795211792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 xml:space="preserve">4 </w:t>
            </w:r>
            <w:r>
              <w:br/>
            </w: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right"/>
            </w:pPr>
            <w:r>
              <w:rPr>
                <w:w w:val="97.40041844985065"/>
                <w:rFonts w:ascii="TimesNewRoman,Bold" w:hAnsi="TimesNewRoman,Bold" w:eastAsia="TimesNewRoman,Bold"/>
                <w:b/>
                <w:i w:val="0"/>
                <w:color w:val="000000"/>
                <w:sz w:val="17"/>
              </w:rPr>
              <w:t>(</w:t>
            </w:r>
            <w:r>
              <w:rPr>
                <w:w w:val="97.4004184498506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Traps/cm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10" w:firstLine="0"/>
              <w:jc w:val="right"/>
            </w:pP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5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32" w:right="0" w:firstLine="0"/>
              <w:jc w:val="lef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200</w:t>
            </w:r>
          </w:p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10" w:firstLine="0"/>
              <w:jc w:val="right"/>
            </w:pP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45" w:lineRule="auto" w:before="302" w:after="0"/>
              <w:ind w:left="16" w:right="144" w:firstLine="0"/>
              <w:jc w:val="left"/>
            </w:pPr>
            <w:r>
              <w:tab/>
            </w:r>
            <w:r>
              <w:rPr>
                <w:w w:val="98.4785795211792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 xml:space="preserve">0 </w:t>
            </w:r>
            <w:r>
              <w:br/>
            </w:r>
            <w:r>
              <w:rPr>
                <w:w w:val="101.6898228571965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38" w:after="0"/>
              <w:ind w:left="148" w:right="0" w:firstLine="0"/>
              <w:jc w:val="lef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</w:t>
            </w:r>
            <w:r>
              <w:rPr>
                <w:w w:val="102.37482388814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CP</w:t>
            </w: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(mA/cm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32" w:right="0" w:firstLine="0"/>
              <w:jc w:val="lef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150</w:t>
            </w:r>
          </w:p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2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72" w:right="0" w:firstLine="0"/>
              <w:jc w:val="left"/>
            </w:pPr>
            <w:r>
              <w:rPr>
                <w:w w:val="98.2398305620465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Number of cycles</w:t>
            </w:r>
          </w:p>
        </w:tc>
      </w:tr>
      <w:tr>
        <w:trPr>
          <w:trHeight w:hRule="exact" w:val="280"/>
        </w:trPr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2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6" w:after="0"/>
              <w:ind w:left="362" w:right="0" w:firstLine="0"/>
              <w:jc w:val="left"/>
            </w:pP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after 5x10 </w:t>
            </w:r>
            <w:r>
              <w:rPr>
                <w:w w:val="102.8198242187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 cycles </w:t>
            </w:r>
          </w:p>
        </w:tc>
      </w:tr>
      <w:tr>
        <w:trPr>
          <w:trHeight w:hRule="exact" w:val="260"/>
        </w:trPr>
        <w:tc>
          <w:tcPr>
            <w:tcW w:type="dxa" w:w="1053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32" w:right="0" w:firstLine="0"/>
              <w:jc w:val="lef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100</w:t>
            </w:r>
          </w:p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2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402" w:right="0" w:firstLine="0"/>
              <w:jc w:val="left"/>
            </w:pP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after 2x10 </w:t>
            </w:r>
            <w:r>
              <w:rPr>
                <w:w w:val="102.8198242187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 cycles </w:t>
            </w:r>
          </w:p>
        </w:tc>
      </w:tr>
      <w:tr>
        <w:trPr>
          <w:trHeight w:hRule="exact" w:val="314"/>
        </w:trPr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1053"/>
            <w:vMerge/>
            <w:tcBorders/>
          </w:tcPr>
          <w:p/>
        </w:tc>
        <w:tc>
          <w:tcPr>
            <w:tcW w:type="dxa" w:w="2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after 10 </w:t>
            </w:r>
            <w:r>
              <w:rPr>
                <w:w w:val="102.8198242187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 cycles </w:t>
            </w:r>
          </w:p>
        </w:tc>
      </w:tr>
    </w:tbl>
    <w:p>
      <w:pPr>
        <w:autoSpaceDN w:val="0"/>
        <w:autoSpaceDE w:val="0"/>
        <w:widowControl/>
        <w:spacing w:line="230" w:lineRule="auto" w:before="0" w:after="50"/>
        <w:ind w:left="646" w:right="0" w:firstLine="0"/>
        <w:jc w:val="left"/>
      </w:pPr>
      <w:r>
        <w:rPr>
          <w:w w:val="97.92411440894718"/>
          <w:rFonts w:ascii="TimesNewRoman" w:hAnsi="TimesNewRoman" w:eastAsia="TimesNewRoman"/>
          <w:b w:val="0"/>
          <w:i w:val="0"/>
          <w:color w:val="000000"/>
          <w:sz w:val="21"/>
        </w:rPr>
        <w:t>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3.9999999999998" w:type="dxa"/>
      </w:tblPr>
      <w:tblGrid>
        <w:gridCol w:w="2106"/>
        <w:gridCol w:w="2106"/>
        <w:gridCol w:w="2106"/>
        <w:gridCol w:w="2106"/>
        <w:gridCol w:w="2106"/>
      </w:tblGrid>
      <w:tr>
        <w:trPr>
          <w:trHeight w:hRule="exact" w:val="28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244" w:firstLine="0"/>
              <w:jc w:val="righ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6" w:after="0"/>
              <w:ind w:left="0" w:right="0" w:firstLine="0"/>
              <w:jc w:val="center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-2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68" w:firstLine="0"/>
              <w:jc w:val="right"/>
            </w:pPr>
            <w:r>
              <w:rPr>
                <w:w w:val="101.326886345358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initial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6" w:after="0"/>
              <w:ind w:left="0" w:right="752" w:firstLine="0"/>
              <w:jc w:val="right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2106"/>
            <w:vMerge/>
            <w:tcBorders/>
          </w:tcPr>
          <w:p/>
        </w:tc>
        <w:tc>
          <w:tcPr>
            <w:tcW w:type="dxa" w:w="2106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-1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2106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106"/>
            <w:vMerge/>
            <w:tcBorders/>
          </w:tcPr>
          <w:p/>
        </w:tc>
        <w:tc>
          <w:tcPr>
            <w:tcW w:type="dxa" w:w="2106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0" w:after="0"/>
              <w:ind w:left="0" w:right="0" w:firstLine="0"/>
              <w:jc w:val="center"/>
            </w:pP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V</w:t>
            </w:r>
            <w:r>
              <w:rPr>
                <w:w w:val="102.37482388814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 BASE</w:t>
            </w:r>
            <w:r>
              <w:rPr>
                <w:w w:val="97.9241144089471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(V)</w:t>
            </w:r>
          </w:p>
        </w:tc>
        <w:tc>
          <w:tcPr>
            <w:tcW w:type="dxa" w:w="21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0"/>
        <w:ind w:left="154" w:right="3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6. Variable base level CP characteristics with increasing number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program/erase cycles. Insert shows the interface trap density, extracted from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CP characteristics, as a function of cycle number. </w:t>
      </w:r>
    </w:p>
    <w:p>
      <w:pPr>
        <w:autoSpaceDN w:val="0"/>
        <w:tabs>
          <w:tab w:pos="2390" w:val="left"/>
        </w:tabs>
        <w:autoSpaceDE w:val="0"/>
        <w:widowControl/>
        <w:spacing w:line="230" w:lineRule="auto" w:before="366" w:after="0"/>
        <w:ind w:left="19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ONCLUSIONS</w:t>
      </w:r>
    </w:p>
    <w:p>
      <w:pPr>
        <w:autoSpaceDN w:val="0"/>
        <w:autoSpaceDE w:val="0"/>
        <w:widowControl/>
        <w:spacing w:line="245" w:lineRule="auto" w:before="80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summary, the endurance behavior of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devices was studied in order to identify the root cause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its limited endurance capability of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program/erase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cycles. The reliability of the transistor gate stack rather than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ferroelectric layer itself was found to be responsible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degradation of the ferroelectric memory window with cycling.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Increase in the gate leakage current was detected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progressive endurance stress, correlating to a simultaneously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appearing degradation of the ferroelectric memory window.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the charge trapping analyses the interfacial 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layer was identified as the main reliability concern within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stack. The deteriorated insulating properties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layer are held responsible for the decrease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memory window with cycling. Optimization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conditions or/and gate stack structure is required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 the endurance properties. </w:t>
      </w:r>
    </w:p>
    <w:p>
      <w:pPr>
        <w:autoSpaceDN w:val="0"/>
        <w:autoSpaceDE w:val="0"/>
        <w:widowControl/>
        <w:spacing w:line="230" w:lineRule="auto" w:before="286" w:after="0"/>
        <w:ind w:left="0" w:right="17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5" w:lineRule="auto" w:before="84" w:after="0"/>
        <w:ind w:left="154" w:right="2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work was financially supported within the EFRE fund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European Community and by the Free State of Saxony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(Cool Memory/HEIKO). </w:t>
      </w:r>
    </w:p>
    <w:p>
      <w:pPr>
        <w:autoSpaceDN w:val="0"/>
        <w:autoSpaceDE w:val="0"/>
        <w:widowControl/>
        <w:spacing w:line="202" w:lineRule="exact" w:before="1926" w:after="0"/>
        <w:ind w:left="0" w:right="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2E.5.4</w:t>
      </w:r>
    </w:p>
    <w:p>
      <w:pPr>
        <w:sectPr>
          <w:type w:val="nextColumn"/>
          <w:pgSz w:w="12240" w:h="15840"/>
          <w:pgMar w:top="538" w:right="820" w:bottom="158" w:left="892" w:header="720" w:footer="720" w:gutter="0"/>
          <w:cols w:space="720" w:num="2" w:equalWidth="0">
            <w:col w:w="5254" w:space="0"/>
            <w:col w:w="5274" w:space="0"/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12240" w:h="15840"/>
          <w:pgMar w:top="538" w:right="832" w:bottom="158" w:left="892" w:header="720" w:footer="720" w:gutter="0"/>
          <w:cols w:space="720" w:num="2" w:equalWidth="0">
            <w:col w:w="5254" w:space="0"/>
            <w:col w:w="5274" w:space="0"/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221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tabs>
          <w:tab w:pos="384" w:val="left"/>
        </w:tabs>
        <w:autoSpaceDE w:val="0"/>
        <w:widowControl/>
        <w:spacing w:line="230" w:lineRule="auto" w:before="8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Sakai, M. Takahashia, K. Takeuchib, Q.-H. Lia, T. Horiuchia, S. </w:t>
      </w:r>
    </w:p>
    <w:p>
      <w:pPr>
        <w:autoSpaceDN w:val="0"/>
        <w:autoSpaceDE w:val="0"/>
        <w:widowControl/>
        <w:spacing w:line="245" w:lineRule="auto" w:before="8" w:after="0"/>
        <w:ind w:left="384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Wanga, K.-Y. Yuna, M. Takamiyac, and T. Sakuraic, “Highly scalable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 (Ferroelectric)-NAND cell with MFIS (Metal-Ferroelectric-Insulator-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Semiconductor) structure for sub-10nm tera-bit capacity NAND flash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memories,” 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Non-Volatile Semiconductor Memory Workshop/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International Conference on Memory Technology and Design.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NVSMW/ICMTD 2008. Joint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2008, pp. 103–105.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I. M. Ross, “Semiconductor Translating Device,” US Patent No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2,791,7601957. </w:t>
      </w:r>
    </w:p>
    <w:p>
      <w:pPr>
        <w:autoSpaceDN w:val="0"/>
        <w:tabs>
          <w:tab w:pos="384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[3]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N. Setter, D. Damjanovic, L. Eng, G. Fox, S. Gevorgian, S. Hong, A. </w:t>
      </w:r>
    </w:p>
    <w:p>
      <w:pPr>
        <w:autoSpaceDN w:val="0"/>
        <w:autoSpaceDE w:val="0"/>
        <w:widowControl/>
        <w:spacing w:line="230" w:lineRule="auto" w:before="6" w:after="0"/>
        <w:ind w:left="3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Kingon, H. Kohlstedt, N. Y. Park, G. B. Stephenson, I. Stolitchnov, A. </w:t>
      </w:r>
    </w:p>
    <w:p>
      <w:pPr>
        <w:autoSpaceDN w:val="0"/>
        <w:autoSpaceDE w:val="0"/>
        <w:widowControl/>
        <w:spacing w:line="245" w:lineRule="auto" w:before="6" w:after="0"/>
        <w:ind w:left="384" w:right="1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K. Taganstev, D. V. Taylor, T. Yamada, and S. Streiffer, “Ferroelectric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thin films: Review of materials, properties, and applications,”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J. Appl.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Phys.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100, no. 5, p. 051606, 2006. </w:t>
      </w:r>
    </w:p>
    <w:p>
      <w:pPr>
        <w:autoSpaceDN w:val="0"/>
        <w:tabs>
          <w:tab w:pos="384" w:val="left"/>
          <w:tab w:pos="386" w:val="left"/>
        </w:tabs>
        <w:autoSpaceDE w:val="0"/>
        <w:widowControl/>
        <w:spacing w:line="245" w:lineRule="auto" w:before="4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[4]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Hutchby and M. Garner, “Assessment of the Potential &amp; Maturity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Selected Emerging Research Memory Technologies,” presented at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Workshop &amp; ERD/ERM Working Group Meeting, 2010.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4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[5]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T. S. Böscke, J. Müller, D. Bräuhaus, U. Schröder, and U. Böttger,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“Ferroelectricity in hafnium oxide thin films,”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Appl. Phys.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99,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no. 10, pp. 102903–102903, 2011. </w:t>
      </w:r>
    </w:p>
    <w:p>
      <w:pPr>
        <w:autoSpaceDN w:val="0"/>
        <w:tabs>
          <w:tab w:pos="384" w:val="left"/>
        </w:tabs>
        <w:autoSpaceDE w:val="0"/>
        <w:widowControl/>
        <w:spacing w:line="230" w:lineRule="auto" w:before="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[6]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Müller, E. Yurchuk, T. Schlösser, J. Paul, R. Hoffmann, S. Müller, D. </w:t>
      </w:r>
    </w:p>
    <w:p>
      <w:pPr>
        <w:autoSpaceDN w:val="0"/>
        <w:autoSpaceDE w:val="0"/>
        <w:widowControl/>
        <w:spacing w:line="245" w:lineRule="auto" w:before="8" w:after="0"/>
        <w:ind w:left="384" w:right="1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Martin, S. Slesazeck, P. Polakowski, and J. Sundqvist, “Ferroelectricity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 HfO2 enables nonvolatile data storage in 28 nm HKMG,” 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VLSI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Technology (VLSIT), 2012 Symposium on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2012, pp. 25–26. </w:t>
      </w:r>
    </w:p>
    <w:p>
      <w:pPr>
        <w:autoSpaceDN w:val="0"/>
        <w:tabs>
          <w:tab w:pos="384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[7]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Mueller, J. Müller, R. Hoffmann, E. Yurchuk, T. Schlösser, R. </w:t>
      </w:r>
    </w:p>
    <w:p>
      <w:pPr>
        <w:autoSpaceDN w:val="0"/>
        <w:autoSpaceDE w:val="0"/>
        <w:widowControl/>
        <w:spacing w:line="245" w:lineRule="auto" w:before="6" w:after="2"/>
        <w:ind w:left="384" w:right="1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Böschke, J. Paul, M. Goldbach, T. Herrmann, A. Zaka, U. Schröder,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T. Mikolajick, “From MFM Capacitors Toward 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Transistors: Endurance and Disturb Characteristics of HfO2-Based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FeFET Devices,”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Trans. Electron Devices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60, no. 12,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4199–4205, Dec. 2013.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02"/>
        <w:gridCol w:w="1502"/>
        <w:gridCol w:w="1502"/>
        <w:gridCol w:w="1502"/>
        <w:gridCol w:w="1502"/>
        <w:gridCol w:w="1502"/>
        <w:gridCol w:w="1502"/>
      </w:tblGrid>
      <w:tr>
        <w:trPr>
          <w:trHeight w:hRule="exact" w:val="186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[8]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Sakai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Ilangovan,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“Metal-Ferroelectric-Insulator-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4" w:right="1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Semiconductor Memory FET With Long Retention and High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Endurance,”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Electron Device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25, no. 6, pp. 369–371,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Jun. 2004.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8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[9]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E. Yurchuk, J. Müller, S. Knebel, J. Sundqvist, A. P. Graham, T. Melde,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U. Schröder, and T. Mikolajick, “Impact of layer thickness on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 behaviour of silicon doped hafnium oxide thin films,”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Thin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Solid Films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533, pp. 88–92, Apr. 2013. </w:t>
      </w:r>
    </w:p>
    <w:p>
      <w:pPr>
        <w:autoSpaceDN w:val="0"/>
        <w:autoSpaceDE w:val="0"/>
        <w:widowControl/>
        <w:spacing w:line="245" w:lineRule="auto" w:before="4" w:after="0"/>
        <w:ind w:left="384" w:right="162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[10] C. D. Young, D. Heh, R. Choi, B. H. Lee, and G. Bersuker, “The Pulsed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Id-Vg methodology and Its Application to the Electron Trapping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Characterization of High-κ gate Dielectrics,”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J. Semicond. Technol. Sci.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vol. 10, no. 2, p. 79, 2010.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[11] A. Kerber, E. Cartier, L. Pantisano, M. Rosmeulen, R. Degraeve, T. </w:t>
      </w:r>
    </w:p>
    <w:p>
      <w:pPr>
        <w:autoSpaceDN w:val="0"/>
        <w:autoSpaceDE w:val="0"/>
        <w:widowControl/>
        <w:spacing w:line="245" w:lineRule="auto" w:before="8" w:after="0"/>
        <w:ind w:left="384" w:right="16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Kauerauf, G. Groeseneken, H. E. Maes, and U. Schwalke,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“Characterization of the Vt-instabilityin SiO2/HfO2 gate dielectrics,”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presented at the Reliability Physics Symposium, 41rd Annual. 2003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IEEE International, Dallas, Texas, 2003, pp. 41–45. </w:t>
      </w:r>
    </w:p>
    <w:p>
      <w:pPr>
        <w:autoSpaceDN w:val="0"/>
        <w:autoSpaceDE w:val="0"/>
        <w:widowControl/>
        <w:spacing w:line="245" w:lineRule="auto" w:before="4" w:after="0"/>
        <w:ind w:left="384" w:right="162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[12] A. Elliot, “The use of charge pumping currents to measure surface state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densities in MOS transistors,”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Solid-State Electron.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19, no. 3,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241–247, 1976. </w:t>
      </w:r>
    </w:p>
    <w:p>
      <w:pPr>
        <w:autoSpaceDN w:val="0"/>
        <w:autoSpaceDE w:val="0"/>
        <w:widowControl/>
        <w:spacing w:line="245" w:lineRule="auto" w:before="4" w:after="0"/>
        <w:ind w:left="384" w:right="162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[13] J. L. Autran, B. Balland, and G. Barbottin, “Charge pumping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techniques: Their use for diagnosis and interface states studies in MOS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transistors,”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Instab. Silicon Devices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3, pp. 405–493, 1999.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8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[14] K. Carl and K. H. Hardtl, “Electrical after-effects in Pb(Ti, Zr)O3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ceramics,”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Ferroelectrics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17, no. 1, pp. 473–486, Jan. 1977. </w:t>
      </w:r>
    </w:p>
    <w:p>
      <w:pPr>
        <w:sectPr>
          <w:type w:val="continuous"/>
          <w:pgSz w:w="12240" w:h="15840"/>
          <w:pgMar w:top="538" w:right="832" w:bottom="158" w:left="892" w:header="720" w:footer="720" w:gutter="0"/>
          <w:cols w:space="720" w:num="2" w:equalWidth="0">
            <w:col w:w="5250" w:space="0"/>
            <w:col w:w="5265" w:space="0"/>
            <w:col w:w="5254" w:space="0"/>
            <w:col w:w="5274" w:space="0"/>
            <w:col w:w="5221" w:space="0"/>
            <w:col w:w="5406" w:space="0"/>
            <w:col w:w="10628" w:space="0"/>
            <w:col w:w="5254" w:space="0"/>
            <w:col w:w="5271" w:space="0"/>
            <w:col w:w="10584" w:space="0"/>
            <w:col w:w="5311" w:space="0"/>
            <w:col w:w="5272" w:space="0"/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42" w:right="20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[15] T. Mihara, H. Watanabe, and C. A. Paz De Araujo, “Polarisation fatigue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characteristics of sol-gel ferroelectric Pb(Zr0.4Ti0.6)O3 thin-film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capacitors,”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Jpn. J. Appl. Phys.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33, no. 7A, pp. 3996–4002, 1994. </w:t>
      </w:r>
    </w:p>
    <w:p>
      <w:pPr>
        <w:autoSpaceDN w:val="0"/>
        <w:autoSpaceDE w:val="0"/>
        <w:widowControl/>
        <w:spacing w:line="230" w:lineRule="auto" w:before="6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[16] H. M. Duiker, P. D. Beale, J. F. Scott, C. A. Paz de Araujo, B. M. </w:t>
      </w:r>
    </w:p>
    <w:p>
      <w:pPr>
        <w:autoSpaceDN w:val="0"/>
        <w:autoSpaceDE w:val="0"/>
        <w:widowControl/>
        <w:spacing w:line="245" w:lineRule="auto" w:before="6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Melnick, J. D. Cuchiaro, and L. D. McMillan, “Fatigue and switching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 memories: Theory and experiment,”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J. Appl. Phys.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68,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no. 11, p. 5783, 1990. </w:t>
      </w:r>
    </w:p>
    <w:p>
      <w:pPr>
        <w:autoSpaceDN w:val="0"/>
        <w:autoSpaceDE w:val="0"/>
        <w:widowControl/>
        <w:spacing w:line="230" w:lineRule="auto" w:before="6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[17] G. Bersuker, J. Sim, C. S. Park, C. Young, S. Nadkarni, R. Choi, and B. </w:t>
      </w:r>
    </w:p>
    <w:p>
      <w:pPr>
        <w:autoSpaceDN w:val="0"/>
        <w:autoSpaceDE w:val="0"/>
        <w:widowControl/>
        <w:spacing w:line="245" w:lineRule="auto" w:before="6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H. Lee, “Mechanism of Electron Trapping and Characteristics of Traps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 HfO2 Gate Stacks,”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Device Mater. Reliab. IEEE Trans. On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7,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no. 1, pp. 138–145, 2007. </w:t>
      </w:r>
    </w:p>
    <w:p>
      <w:pPr>
        <w:autoSpaceDN w:val="0"/>
        <w:autoSpaceDE w:val="0"/>
        <w:widowControl/>
        <w:spacing w:line="230" w:lineRule="auto" w:before="6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[18] C. D. Young, G. Bersuker, G. A. Brown, P. Lysaght, P. Zeitzoff, R. W. </w:t>
      </w:r>
    </w:p>
    <w:p>
      <w:pPr>
        <w:autoSpaceDN w:val="0"/>
        <w:autoSpaceDE w:val="0"/>
        <w:widowControl/>
        <w:spacing w:line="245" w:lineRule="auto" w:before="6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Murto, and H. R. Huff, “Charge trapping and device performance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degradation in MOCVD hafnium-based gate dielectric stack structures,”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Reliability Physics Symposium Proceedings, 42nd Annual. 2004 IEEE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International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2004, pp. 597–598. </w:t>
      </w:r>
    </w:p>
    <w:p>
      <w:pPr>
        <w:autoSpaceDN w:val="0"/>
        <w:autoSpaceDE w:val="0"/>
        <w:widowControl/>
        <w:spacing w:line="230" w:lineRule="auto" w:before="6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[19] K. Torii, H. Kitajima, T. Arikado, K. Shiraishi, S. Miyazaki, K. </w:t>
      </w:r>
    </w:p>
    <w:p>
      <w:pPr>
        <w:autoSpaceDN w:val="0"/>
        <w:autoSpaceDE w:val="0"/>
        <w:widowControl/>
        <w:spacing w:line="245" w:lineRule="auto" w:before="4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Yamabe, M. Boero, T. Chikyow, and K. Yamada, “Physical model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BTI, TDDB and SILC in HfO2-based high-k gate dielectrics,” 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Electron Devices Meeting, 2004. IEDM Technical Digest. IEEE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International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2004, pp. 129–132. </w:t>
      </w:r>
    </w:p>
    <w:p>
      <w:pPr>
        <w:autoSpaceDN w:val="0"/>
        <w:autoSpaceDE w:val="0"/>
        <w:widowControl/>
        <w:spacing w:line="230" w:lineRule="auto" w:before="10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[20] G. Ribes, J. Mitard, M. Denais, S. Bruyere, F. Monsieur, C. </w:t>
      </w:r>
    </w:p>
    <w:p>
      <w:pPr>
        <w:autoSpaceDN w:val="0"/>
        <w:autoSpaceDE w:val="0"/>
        <w:widowControl/>
        <w:spacing w:line="245" w:lineRule="auto" w:before="8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Parthasarathy, E. Vincent, and G. Ghibaudo, “Review on high-k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dielectrics reliability issues,”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Trans. Device Mater. Reliab.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5,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no. 1, pp. 5–19, Mar. 2005. </w:t>
      </w:r>
    </w:p>
    <w:p>
      <w:pPr>
        <w:autoSpaceDN w:val="0"/>
        <w:autoSpaceDE w:val="0"/>
        <w:widowControl/>
        <w:spacing w:line="245" w:lineRule="auto" w:before="8" w:after="0"/>
        <w:ind w:left="542" w:right="20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[21] C. D. Young, D. Heh, S. V. Nadkarni, R. Choi, J. J. Peterson, J. Barnett,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B. H. Lee, and G. Bersuker, “Electron trap generation in high-k 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stacks by constant voltage stress,”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Device Mater. Reliab. IEEE Trans.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On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6, no. 2, pp. 123–131, 2006. </w:t>
      </w:r>
    </w:p>
    <w:p>
      <w:pPr>
        <w:autoSpaceDN w:val="0"/>
        <w:autoSpaceDE w:val="0"/>
        <w:widowControl/>
        <w:spacing w:line="230" w:lineRule="auto" w:before="8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[22] T. Kauerauf, R. Degraeve, E. Cartier, B. Govoreanu, P. Blomme, B. </w:t>
      </w:r>
    </w:p>
    <w:p>
      <w:pPr>
        <w:autoSpaceDN w:val="0"/>
        <w:autoSpaceDE w:val="0"/>
        <w:widowControl/>
        <w:spacing w:line="245" w:lineRule="auto" w:before="6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Kaczer, L. Pantisano, A. Kerber, and G. Groeseneken, “Towards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understanding degradation and breakdown of SiO2/high-k stacks,”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presented at the Electron Devices Meeting, 2002. IEDM ’02.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International, San Francisco, CA, USA, 2002, pp. 521 – 524. </w:t>
      </w:r>
    </w:p>
    <w:p>
      <w:pPr>
        <w:autoSpaceDN w:val="0"/>
        <w:autoSpaceDE w:val="0"/>
        <w:widowControl/>
        <w:spacing w:line="245" w:lineRule="auto" w:before="4" w:after="0"/>
        <w:ind w:left="542" w:right="20" w:hanging="3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[23] E. Y. Wu, D. P. Ioannou, and C. B. LaRow, “Influence of Charge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Trapping on Failure Detection and Its Distributions for nFET High-κ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Stacks,” presented at the Electron Devices Meeting (IEDM), 2011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International, Washington, DC, 2011, pp. 18.2.1 – 18.2.4. </w:t>
      </w:r>
    </w:p>
    <w:p>
      <w:pPr>
        <w:autoSpaceDN w:val="0"/>
        <w:autoSpaceDE w:val="0"/>
        <w:widowControl/>
        <w:spacing w:line="245" w:lineRule="auto" w:before="8" w:after="0"/>
        <w:ind w:left="542" w:right="0" w:hanging="3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[24] A. Kerber, A. Vayshenker, D. Lipp, T. Nigan, and E. Cartier, “Impact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charge trapping on the voltage acceleration of TDDB in metal gate/high-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 n-channel MOSFETs,” presented at the Reliability Physics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Symposium (IRPS), 2010 IEEE International, Anaheim, CA, 2010,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369 – 372. </w:t>
      </w:r>
    </w:p>
    <w:p>
      <w:pPr>
        <w:autoSpaceDN w:val="0"/>
        <w:autoSpaceDE w:val="0"/>
        <w:widowControl/>
        <w:spacing w:line="230" w:lineRule="auto" w:before="4" w:after="0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[25] S. Knebel, S. Kupke, U. Schroeder, S. Slesazeck, T. Mikolajick, R. </w:t>
      </w:r>
    </w:p>
    <w:p>
      <w:pPr>
        <w:autoSpaceDN w:val="0"/>
        <w:autoSpaceDE w:val="0"/>
        <w:widowControl/>
        <w:spacing w:line="245" w:lineRule="auto" w:before="6" w:after="0"/>
        <w:ind w:left="54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Agaiby, and M. Trentzsch, “Influence of Frequency Dependent Time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Breakdown on High-K/Metal Gate Reliability,”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Trans. Electron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Devices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60, no. 7, pp. 2368–2371, Jul. 2013. </w:t>
      </w:r>
    </w:p>
    <w:p>
      <w:pPr>
        <w:autoSpaceDN w:val="0"/>
        <w:autoSpaceDE w:val="0"/>
        <w:widowControl/>
        <w:spacing w:line="245" w:lineRule="auto" w:before="6" w:after="0"/>
        <w:ind w:left="542" w:right="0" w:hanging="3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[26] C. Y. Wu, “A new Ferroelectric Memory Device, Metal-Ferroelectric-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Semiconductor Transistor,”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Trans. Electron Devices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ED-21,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p. 490, 1974. </w:t>
      </w:r>
    </w:p>
    <w:p>
      <w:pPr>
        <w:autoSpaceDN w:val="0"/>
        <w:autoSpaceDE w:val="0"/>
        <w:widowControl/>
        <w:spacing w:line="245" w:lineRule="auto" w:before="6" w:after="0"/>
        <w:ind w:left="542" w:right="0" w:hanging="3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[27] S. Y. Wu, “Memory retention and switching behavior of metal-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ferroelectric-semiconductor transistors,”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Ferroelectrics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11, no. 1,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pp. 379–383, Jan. 1976. </w:t>
      </w:r>
    </w:p>
    <w:p>
      <w:pPr>
        <w:autoSpaceDN w:val="0"/>
        <w:autoSpaceDE w:val="0"/>
        <w:widowControl/>
        <w:spacing w:line="202" w:lineRule="exact" w:before="4498" w:after="0"/>
        <w:ind w:left="0" w:right="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2E.5.5</w:t>
      </w:r>
    </w:p>
    <w:sectPr w:rsidR="00FC693F" w:rsidRPr="0006063C" w:rsidSect="00034616">
      <w:type w:val="nextColumn"/>
      <w:pgSz w:w="12240" w:h="15840"/>
      <w:pgMar w:top="538" w:right="832" w:bottom="158" w:left="892" w:header="720" w:footer="720" w:gutter="0"/>
      <w:cols w:space="720" w:num="2" w:equalWidth="0">
        <w:col w:w="5250" w:space="0"/>
        <w:col w:w="5265" w:space="0"/>
        <w:col w:w="5254" w:space="0"/>
        <w:col w:w="5274" w:space="0"/>
        <w:col w:w="5221" w:space="0"/>
        <w:col w:w="5406" w:space="0"/>
        <w:col w:w="10628" w:space="0"/>
        <w:col w:w="5254" w:space="0"/>
        <w:col w:w="5271" w:space="0"/>
        <w:col w:w="10584" w:space="0"/>
        <w:col w:w="5311" w:space="0"/>
        <w:col w:w="5272" w:space="0"/>
        <w:col w:w="10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