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6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6172200</wp:posOffset>
            </wp:positionH>
            <wp:positionV relativeFrom="page">
              <wp:posOffset>307340</wp:posOffset>
            </wp:positionV>
            <wp:extent cx="745490" cy="380352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3803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921500" cy="53213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5321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01"/>
        <w:gridCol w:w="3601"/>
        <w:gridCol w:w="3601"/>
      </w:tblGrid>
      <w:tr>
        <w:trPr>
          <w:trHeight w:hRule="exact" w:val="422"/>
        </w:trPr>
        <w:tc>
          <w:tcPr>
            <w:tcW w:type="dxa" w:w="55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60" w:right="0" w:firstLine="0"/>
              <w:jc w:val="left"/>
            </w:pPr>
            <w:r>
              <w:rPr>
                <w:rFonts w:ascii="Futura" w:hAnsi="Futura" w:eastAsia="Futura"/>
                <w:b/>
                <w:i w:val="0"/>
                <w:color w:val="FFFFFF"/>
                <w:sz w:val="24"/>
              </w:rPr>
              <w:t>FULL PAPER</w:t>
            </w:r>
          </w:p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264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www.afm-journal.de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2" w:after="0"/>
              <w:ind w:left="0" w:right="14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www.MaterialsViews.com</w:t>
            </w:r>
          </w:p>
        </w:tc>
      </w:tr>
      <w:tr>
        <w:trPr>
          <w:trHeight w:hRule="exact" w:val="1784"/>
        </w:trPr>
        <w:tc>
          <w:tcPr>
            <w:tcW w:type="dxa" w:w="3601"/>
            <w:vMerge/>
            <w:tcBorders/>
          </w:tcPr>
          <w:p/>
        </w:tc>
        <w:tc>
          <w:tcPr>
            <w:tcW w:type="dxa" w:w="10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2" w:lineRule="exact" w:before="186" w:after="0"/>
              <w:ind w:left="264" w:right="864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40"/>
              </w:rPr>
              <w:t xml:space="preserve">Incipient Ferroelectricity in Al-Doped HfO 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28"/>
              </w:rPr>
              <w:t>2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40"/>
              </w:rPr>
              <w:t xml:space="preserve"> Thin Films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28"/>
              </w:rPr>
              <w:t xml:space="preserve"> Stefan  Mueller , *  Johannes  Mueller ,  Aarti  Singh ,  Stefan  Riedel ,  Jonas  Sundqvist 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28"/>
              </w:rPr>
              <w:t xml:space="preserve"> Uwe  Schroeder ,  and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28"/>
              </w:rPr>
              <w:t xml:space="preserve"> Thomas  Mikolajick </w:t>
            </w:r>
          </w:p>
        </w:tc>
      </w:tr>
    </w:tbl>
    <w:p>
      <w:pPr>
        <w:autoSpaceDN w:val="0"/>
        <w:autoSpaceDE w:val="0"/>
        <w:widowControl/>
        <w:spacing w:line="202" w:lineRule="exact" w:before="462" w:after="8"/>
        <w:ind w:left="0" w:right="20" w:firstLine="0"/>
        <w:jc w:val="righ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caused by lattice mismatches between thin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5402"/>
        <w:gridCol w:w="5402"/>
      </w:tblGrid>
      <w:tr>
        <w:trPr>
          <w:trHeight w:hRule="exact" w:val="4402"/>
        </w:trPr>
        <w:tc>
          <w:tcPr>
            <w:tcW w:type="dxa" w:w="6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420" w:right="288" w:firstLine="0"/>
              <w:jc w:val="left"/>
            </w:pP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 Incipient ferroelectricity is known to occur in perovskites such as SrTiO </w:t>
            </w:r>
            <w:r>
              <w:rPr>
                <w:w w:val="97.49999727521624"/>
                <w:rFonts w:ascii="ScalaSansLF" w:hAnsi="ScalaSansLF" w:eastAsia="ScalaSansLF"/>
                <w:b/>
                <w:i w:val="0"/>
                <w:color w:val="221F1F"/>
                <w:sz w:val="14"/>
              </w:rPr>
              <w:t>3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 , 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KTaO </w:t>
            </w:r>
            <w:r>
              <w:rPr>
                <w:w w:val="97.49999727521624"/>
                <w:rFonts w:ascii="ScalaSansLF" w:hAnsi="ScalaSansLF" w:eastAsia="ScalaSansLF"/>
                <w:b/>
                <w:i w:val="0"/>
                <w:color w:val="221F1F"/>
                <w:sz w:val="14"/>
              </w:rPr>
              <w:t>3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 , and CaTiO </w:t>
            </w:r>
            <w:r>
              <w:rPr>
                <w:w w:val="97.49999727521624"/>
                <w:rFonts w:ascii="ScalaSansLF" w:hAnsi="ScalaSansLF" w:eastAsia="ScalaSansLF"/>
                <w:b/>
                <w:i w:val="0"/>
                <w:color w:val="221F1F"/>
                <w:sz w:val="14"/>
              </w:rPr>
              <w:t>3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 . For the fi rst time it is shown that the intensively 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researched HfO </w:t>
            </w:r>
            <w:r>
              <w:rPr>
                <w:w w:val="97.49999727521624"/>
                <w:rFonts w:ascii="ScalaSansLF" w:hAnsi="ScalaSansLF" w:eastAsia="ScalaSansLF"/>
                <w:b/>
                <w:i w:val="0"/>
                <w:color w:val="221F1F"/>
                <w:sz w:val="14"/>
              </w:rPr>
              <w:t>2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 thin fi lms (16 nm) also possess ferroelectric properties 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>when aluminium is incorporated into the host lattice. Polarization measure-</w:t>
            </w:r>
          </w:p>
          <w:p>
            <w:pPr>
              <w:autoSpaceDN w:val="0"/>
              <w:autoSpaceDE w:val="0"/>
              <w:widowControl/>
              <w:spacing w:line="236" w:lineRule="exact" w:before="48" w:after="0"/>
              <w:ind w:left="420" w:right="144" w:firstLine="0"/>
              <w:jc w:val="left"/>
            </w:pP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ments on Al:HfO </w:t>
            </w:r>
            <w:r>
              <w:rPr>
                <w:w w:val="97.49999727521624"/>
                <w:rFonts w:ascii="ScalaSansLF" w:hAnsi="ScalaSansLF" w:eastAsia="ScalaSansLF"/>
                <w:b/>
                <w:i w:val="0"/>
                <w:color w:val="221F1F"/>
                <w:sz w:val="14"/>
              </w:rPr>
              <w:t>2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 based metal–insulator–metal capacitors show an antifer-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roelectric-to-ferroelectric phase transition depending on annealing conditions </w:t>
            </w:r>
          </w:p>
          <w:p>
            <w:pPr>
              <w:autoSpaceDN w:val="0"/>
              <w:autoSpaceDE w:val="0"/>
              <w:widowControl/>
              <w:spacing w:line="220" w:lineRule="exact" w:before="40" w:after="0"/>
              <w:ind w:left="0" w:right="0" w:firstLine="0"/>
              <w:jc w:val="center"/>
            </w:pP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>and aluminium content. Structural investigation of the electrically character-</w:t>
            </w:r>
          </w:p>
          <w:p>
            <w:pPr>
              <w:autoSpaceDN w:val="0"/>
              <w:autoSpaceDE w:val="0"/>
              <w:widowControl/>
              <w:spacing w:line="220" w:lineRule="exact" w:before="40" w:after="0"/>
              <w:ind w:left="420" w:right="0" w:firstLine="0"/>
              <w:jc w:val="left"/>
            </w:pP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ized capacitors by grazing incidence X-ray diffraction is presented in order </w:t>
            </w:r>
          </w:p>
          <w:p>
            <w:pPr>
              <w:autoSpaceDN w:val="0"/>
              <w:autoSpaceDE w:val="0"/>
              <w:widowControl/>
              <w:spacing w:line="220" w:lineRule="exact" w:before="40" w:after="0"/>
              <w:ind w:left="420" w:right="0" w:firstLine="0"/>
              <w:jc w:val="left"/>
            </w:pP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>to gain further insight on the potential origin of ferroelectricity. The non-</w:t>
            </w:r>
          </w:p>
          <w:p>
            <w:pPr>
              <w:autoSpaceDN w:val="0"/>
              <w:autoSpaceDE w:val="0"/>
              <w:widowControl/>
              <w:spacing w:line="220" w:lineRule="exact" w:before="40" w:after="0"/>
              <w:ind w:left="0" w:right="0" w:firstLine="0"/>
              <w:jc w:val="center"/>
            </w:pP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centrosymmetry of the elementary cell, which is essential for ferroelectricity, </w:t>
            </w:r>
          </w:p>
          <w:p>
            <w:pPr>
              <w:autoSpaceDN w:val="0"/>
              <w:autoSpaceDE w:val="0"/>
              <w:widowControl/>
              <w:spacing w:line="252" w:lineRule="exact" w:before="32" w:after="0"/>
              <w:ind w:left="420" w:right="144" w:firstLine="0"/>
              <w:jc w:val="left"/>
            </w:pP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is assumed to originate from an orthorhombic phase of space group Pbc2 </w:t>
            </w:r>
            <w:r>
              <w:rPr>
                <w:w w:val="97.49999727521624"/>
                <w:rFonts w:ascii="ScalaSansLF" w:hAnsi="ScalaSansLF" w:eastAsia="ScalaSansLF"/>
                <w:b/>
                <w:i w:val="0"/>
                <w:color w:val="221F1F"/>
                <w:sz w:val="14"/>
              </w:rPr>
              <w:t xml:space="preserve">1 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stabilized for low Al doping in HfO </w:t>
            </w:r>
            <w:r>
              <w:rPr>
                <w:w w:val="97.49999727521624"/>
                <w:rFonts w:ascii="ScalaSansLF" w:hAnsi="ScalaSansLF" w:eastAsia="ScalaSansLF"/>
                <w:b/>
                <w:i w:val="0"/>
                <w:color w:val="221F1F"/>
                <w:sz w:val="14"/>
              </w:rPr>
              <w:t>2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 . The ferroelectric properties of the modi-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fi ed HfO </w:t>
            </w:r>
            <w:r>
              <w:rPr>
                <w:w w:val="97.49999727521624"/>
                <w:rFonts w:ascii="ScalaSansLF" w:hAnsi="ScalaSansLF" w:eastAsia="ScalaSansLF"/>
                <w:b/>
                <w:i w:val="0"/>
                <w:color w:val="221F1F"/>
                <w:sz w:val="14"/>
              </w:rPr>
              <w:t>2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 thin fi lms yield high potential for various ferroelectric, piezoelectric, 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and pyroelectric applications. Furthermore, due to the extensive knowledge </w:t>
            </w:r>
          </w:p>
          <w:p>
            <w:pPr>
              <w:autoSpaceDN w:val="0"/>
              <w:autoSpaceDE w:val="0"/>
              <w:widowControl/>
              <w:spacing w:line="236" w:lineRule="exact" w:before="48" w:after="0"/>
              <w:ind w:left="420" w:right="144" w:firstLine="0"/>
              <w:jc w:val="left"/>
            </w:pP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accumulated by various research groups regarding the HfO </w:t>
            </w:r>
            <w:r>
              <w:rPr>
                <w:w w:val="97.49999727521624"/>
                <w:rFonts w:ascii="ScalaSansLF" w:hAnsi="ScalaSansLF" w:eastAsia="ScalaSansLF"/>
                <w:b/>
                <w:i w:val="0"/>
                <w:color w:val="221F1F"/>
                <w:sz w:val="14"/>
              </w:rPr>
              <w:t>2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 dielectric, an </w:t>
            </w: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immediate relevance of ferroelectric hafnium oxide thin fi lms is anticipated by </w:t>
            </w:r>
          </w:p>
          <w:p>
            <w:pPr>
              <w:autoSpaceDN w:val="0"/>
              <w:autoSpaceDE w:val="0"/>
              <w:widowControl/>
              <w:spacing w:line="220" w:lineRule="exact" w:before="40" w:after="0"/>
              <w:ind w:left="420" w:right="0" w:firstLine="0"/>
              <w:jc w:val="left"/>
            </w:pP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the authors. 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94" w:val="left"/>
              </w:tabs>
              <w:autoSpaceDE w:val="0"/>
              <w:widowControl/>
              <w:spacing w:line="220" w:lineRule="exact" w:before="0" w:after="0"/>
              <w:ind w:left="194" w:right="0" w:firstLine="0"/>
              <w:jc w:val="left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fi lm and substrate. The above-mentioned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stabilization conditions affect the thermo-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dynamic free energy and can therefore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contribute to a ferroelectric phase forma-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tion. A theoretical description of this free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energy modifi cation is given by Landau–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Ginzburg–Devonshire theory. 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[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11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]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 It is plau-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sible that mechanical stress can infl uence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ferroelectric phases in thin fi lms, since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it already affects bulk ferroelectrictiy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signifi cantly. 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[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12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,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13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]</w:t>
            </w:r>
            <w:r>
              <w:br/>
            </w:r>
            <w:r>
              <w:tab/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 As previous studies have shown, incip-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ient ferroelectricity not only exists for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ABO 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3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 -type perovskite materials but is also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anticipated for oxides such as TiO 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2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 . 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[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14–16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 xml:space="preserve">]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Only recently, ferroelectricity for HfO 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 xml:space="preserve">2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was discovered for the fi rst time. 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[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17–19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]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 The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authors showed that doping HfO 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2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 thin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fi lms with silicon, zirconium, or yttrium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combined with an additional annealing </w:t>
            </w:r>
          </w:p>
        </w:tc>
      </w:tr>
    </w:tbl>
    <w:p>
      <w:pPr>
        <w:autoSpaceDN w:val="0"/>
        <w:autoSpaceDE w:val="0"/>
        <w:widowControl/>
        <w:spacing w:line="216" w:lineRule="exact" w:before="0" w:after="72"/>
        <w:ind w:left="7488" w:right="20" w:firstLine="0"/>
        <w:jc w:val="righ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step induces a crystalline phase that has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(anti-)ferroelectric characteristics. Hence, </w:t>
      </w:r>
    </w:p>
    <w:p>
      <w:pPr>
        <w:sectPr>
          <w:pgSz w:w="11906" w:h="15874"/>
          <w:pgMar w:top="490" w:right="956" w:bottom="380" w:left="146" w:header="720" w:footer="720" w:gutter="0"/>
          <w:cols w:space="720" w:num="1" w:equalWidth="0"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818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 xml:space="preserve"> 1. Introduction </w:t>
      </w:r>
    </w:p>
    <w:p>
      <w:pPr>
        <w:autoSpaceDN w:val="0"/>
        <w:autoSpaceDE w:val="0"/>
        <w:widowControl/>
        <w:spacing w:line="220" w:lineRule="exact" w:before="104" w:after="506"/>
        <w:ind w:left="720" w:right="144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The most prominent examples for incipient ferroelectrics are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strontium and calcium titanate as well as potassium tantalate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which, as bulk materials, maintain their paraelectric properties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down to temperatures close to absolute zero.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1–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3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Hence, incip-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ient ferroelectric materials are actually paraelectric in the fi rst </w:t>
      </w:r>
      <w:r>
        <w:rPr>
          <w:rFonts w:ascii="ScalaLF" w:hAnsi="ScalaLF" w:eastAsia="ScalaLF"/>
          <w:b w:val="0"/>
          <w:i w:val="0"/>
          <w:color w:val="221F1F"/>
          <w:sz w:val="18"/>
        </w:rPr>
        <w:t>place; however, a ferroelectric phase can be stabilized under cer-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tain conditions. Mechanical confi nement,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4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doping,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5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defects,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6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]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stoichiometry variations,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7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or exchange of (oxygen) isotopes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8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] </w:t>
      </w:r>
      <w:r>
        <w:rPr>
          <w:rFonts w:ascii="ScalaLF" w:hAnsi="ScalaLF" w:eastAsia="ScalaLF"/>
          <w:b w:val="0"/>
          <w:i w:val="0"/>
          <w:color w:val="221F1F"/>
          <w:sz w:val="18"/>
        </w:rPr>
        <w:t>have been shown to induce ferroelectricity for previously para-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electric materials.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9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Hence, the originally paraelectric phase,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which is assumed to be stabilized by quantum fl uctuations,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10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]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transforms to a ferroelectric phase. For SrTiO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3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 thin fi lms in par-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ticular, ferroelectricity can be provoked by mechanical stress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4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14.0" w:type="dxa"/>
      </w:tblPr>
      <w:tblGrid>
        <w:gridCol w:w="5402"/>
        <w:gridCol w:w="5402"/>
      </w:tblGrid>
      <w:tr>
        <w:trPr>
          <w:trHeight w:hRule="exact" w:val="324"/>
        </w:trPr>
        <w:tc>
          <w:tcPr>
            <w:tcW w:type="dxa" w:w="4828"/>
            <w:gridSpan w:val="2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0" w:after="0"/>
              <w:ind w:left="4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S.  Mueller ,  Dr. A.  Singh ,  Dr. U.  Schroeder ,  Prof. T.  Mikolajick </w:t>
            </w:r>
          </w:p>
        </w:tc>
      </w:tr>
      <w:tr>
        <w:trPr>
          <w:trHeight w:hRule="exact" w:val="1360"/>
        </w:trPr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4" w:right="288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NaMLab gGmbH </w:t>
            </w:r>
            <w:r>
              <w:br/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Dresden University of Technology </w:t>
            </w:r>
            <w:r>
              <w:br/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Noethnitzerstraße 64, 01187 Dresden, Germany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E-mail:  stefan.mueller@namlab.com </w:t>
            </w:r>
          </w:p>
          <w:p>
            <w:pPr>
              <w:autoSpaceDN w:val="0"/>
              <w:autoSpaceDE w:val="0"/>
              <w:widowControl/>
              <w:spacing w:line="180" w:lineRule="exact" w:before="40" w:after="0"/>
              <w:ind w:left="4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J.  Mueller ,  S.  Riedel ,  Dr. J.  Sundqvist </w:t>
            </w:r>
            <w:r>
              <w:br/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Fraunhofer Center Nanoelectronic Technologies </w:t>
            </w:r>
            <w:r>
              <w:br/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Koenigsbrueckerstraße 180, 01099 Dresden, Germany </w:t>
            </w:r>
          </w:p>
        </w:tc>
        <w:tc>
          <w:tcPr>
            <w:tcW w:type="dxa" w:w="1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20089" cy="72136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89" cy="721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4" w:lineRule="exact" w:before="78" w:after="0"/>
        <w:ind w:left="820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8"/>
        </w:rPr>
        <w:t xml:space="preserve"> DOI: 10.1002/adfm.201103119 </w:t>
      </w:r>
    </w:p>
    <w:p>
      <w:pPr>
        <w:sectPr>
          <w:type w:val="continuous"/>
          <w:pgSz w:w="11906" w:h="15874"/>
          <w:pgMar w:top="490" w:right="956" w:bottom="380" w:left="146" w:header="720" w:footer="720" w:gutter="0"/>
          <w:cols w:space="720" w:num="2" w:equalWidth="0"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9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hafnium oxide represents an additional compound belonging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the class of incipient ferroelectrics. </w:t>
      </w:r>
    </w:p>
    <w:p>
      <w:pPr>
        <w:autoSpaceDN w:val="0"/>
        <w:autoSpaceDE w:val="0"/>
        <w:widowControl/>
        <w:spacing w:line="220" w:lineRule="exact" w:before="0" w:after="0"/>
        <w:ind w:left="90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In this study we show for the fi rst time that, by using tri-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valent aluminium, which is smaller than hafnium in terms of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atomic radius, as a cation-substituting species within the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2 </w:t>
      </w:r>
      <w:r>
        <w:rPr>
          <w:rFonts w:ascii="ScalaLF" w:hAnsi="ScalaLF" w:eastAsia="ScalaLF"/>
          <w:b w:val="0"/>
          <w:i w:val="0"/>
          <w:color w:val="221F1F"/>
          <w:sz w:val="18"/>
        </w:rPr>
        <w:t>lattice, it is possible to induce ferroelectricity without the sup-</w:t>
      </w:r>
      <w:r>
        <w:rPr>
          <w:rFonts w:ascii="ScalaLF" w:hAnsi="ScalaLF" w:eastAsia="ScalaLF"/>
          <w:b w:val="0"/>
          <w:i w:val="0"/>
          <w:color w:val="221F1F"/>
          <w:sz w:val="18"/>
        </w:rPr>
        <w:t>port of a mechanically confi ning top electrode. From an applica-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tion point of view, these fi ndings are of signifi cant importance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since they eliminate the perception that it is only possible to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induce ferroelectricity in uncapped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by using rare-earth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dopants like yttrium. </w:t>
      </w:r>
    </w:p>
    <w:p>
      <w:pPr>
        <w:autoSpaceDN w:val="0"/>
        <w:autoSpaceDE w:val="0"/>
        <w:widowControl/>
        <w:spacing w:line="220" w:lineRule="exact" w:before="0" w:after="0"/>
        <w:ind w:left="90" w:right="20" w:firstLine="20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We support our fi ndings with polarization measurements as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well as by the identifi cation of a possibly orthorhombic phase of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space group Pbc2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, whose non-centrosymmetry would explain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origin of ferroelectricity. </w:t>
      </w:r>
    </w:p>
    <w:p>
      <w:pPr>
        <w:autoSpaceDN w:val="0"/>
        <w:autoSpaceDE w:val="0"/>
        <w:widowControl/>
        <w:spacing w:line="258" w:lineRule="exact" w:before="576" w:after="0"/>
        <w:ind w:left="90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 xml:space="preserve"> 2. Results and Discussion </w:t>
      </w:r>
    </w:p>
    <w:p>
      <w:pPr>
        <w:autoSpaceDN w:val="0"/>
        <w:autoSpaceDE w:val="0"/>
        <w:widowControl/>
        <w:spacing w:line="224" w:lineRule="exact" w:before="102" w:after="420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Metal–insulator–metal (MIM) capacitors were manufactured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order to investigate the electrical properties of the Al:HfO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2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thin fi lms. The thin fi lm layers were formed on a highly doped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silicon substrate in order to allow for a low resistive backside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contact during electrical measurements. First, an approximately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12 nm TiN bottom electrode was deposited by pulsed chemical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vapor deposition (CVD) at 450 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C. The 16 nm Al:HfO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 </w:t>
      </w:r>
    </w:p>
    <w:p>
      <w:pPr>
        <w:sectPr>
          <w:type w:val="nextColumn"/>
          <w:pgSz w:w="11906" w:h="15874"/>
          <w:pgMar w:top="490" w:right="956" w:bottom="380" w:left="146" w:header="720" w:footer="720" w:gutter="0"/>
          <w:cols w:space="720" w:num="2" w:equalWidth="0">
            <w:col w:w="5830" w:space="0"/>
            <w:col w:w="4974" w:space="0"/>
            <w:col w:w="108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2701"/>
        <w:gridCol w:w="2701"/>
        <w:gridCol w:w="2701"/>
        <w:gridCol w:w="2701"/>
      </w:tblGrid>
      <w:tr>
        <w:trPr>
          <w:trHeight w:hRule="exact" w:val="184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2412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104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wileyonlinelibrary.com</w:t>
            </w:r>
          </w:p>
        </w:tc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026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2012 WILEY-VCH Verlag GmbH &amp; Co. KGaA, Weinheim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482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2412–2417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90" w:right="956" w:bottom="380" w:left="146" w:header="720" w:footer="720" w:gutter="0"/>
          <w:cols w:space="720" w:num="1" w:equalWidth="0"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555"/>
        <w:gridCol w:w="1555"/>
        <w:gridCol w:w="1555"/>
        <w:gridCol w:w="1555"/>
        <w:gridCol w:w="1555"/>
        <w:gridCol w:w="1555"/>
        <w:gridCol w:w="1555"/>
      </w:tblGrid>
      <w:tr>
        <w:trPr>
          <w:trHeight w:hRule="exact" w:val="1580"/>
        </w:trPr>
        <w:tc>
          <w:tcPr>
            <w:tcW w:type="dxa" w:w="42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20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www.MaterialsViews.com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3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58" w:after="0"/>
              <w:ind w:left="0" w:right="372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www.afm-journal.de</w:t>
            </w:r>
          </w:p>
        </w:tc>
      </w:tr>
      <w:tr>
        <w:trPr>
          <w:trHeight w:hRule="exact" w:val="620"/>
        </w:trPr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90" w:after="0"/>
              <w:ind w:left="0" w:right="0" w:firstLine="0"/>
              <w:jc w:val="center"/>
            </w:pPr>
            <w:r>
              <w:rPr>
                <w:w w:val="101.63666407267253"/>
                <w:rFonts w:ascii="Calibri" w:hAnsi="Calibri" w:eastAsia="Calibri"/>
                <w:b w:val="0"/>
                <w:i w:val="0"/>
                <w:color w:val="221F1F"/>
                <w:sz w:val="30"/>
              </w:rPr>
              <w:t xml:space="preserve">(a) </w:t>
            </w:r>
          </w:p>
        </w:tc>
        <w:tc>
          <w:tcPr>
            <w:tcW w:type="dxa" w:w="37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48" w:after="0"/>
              <w:ind w:left="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>20</w:t>
            </w:r>
          </w:p>
        </w:tc>
        <w:tc>
          <w:tcPr>
            <w:tcW w:type="dxa" w:w="1555"/>
            <w:vMerge/>
            <w:tcBorders/>
          </w:tcPr>
          <w:p/>
        </w:tc>
        <w:tc>
          <w:tcPr>
            <w:tcW w:type="dxa" w:w="53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48000" cy="187325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873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318"/>
        </w:trPr>
        <w:tc>
          <w:tcPr>
            <w:tcW w:type="dxa" w:w="4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324" w:lineRule="exact" w:before="86" w:after="0"/>
              <w:ind w:left="27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>AlO</w:t>
            </w:r>
            <w:r>
              <w:rPr>
                <w:rFonts w:ascii="Calibri" w:hAnsi="Calibri" w:eastAsia="Calibri"/>
                <w:b w:val="0"/>
                <w:i w:val="0"/>
                <w:color w:val="221F1F"/>
                <w:sz w:val="15"/>
              </w:rPr>
              <w:t>1.5</w:t>
            </w: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 xml:space="preserve"> content</w:t>
            </w: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>[mol%]</w:t>
            </w:r>
          </w:p>
        </w:tc>
        <w:tc>
          <w:tcPr>
            <w:tcW w:type="dxa" w:w="37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8" w:lineRule="exact" w:before="12" w:after="0"/>
              <w:ind w:left="0" w:right="346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 xml:space="preserve">15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 xml:space="preserve">10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 xml:space="preserve">5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>0</w:t>
            </w:r>
          </w:p>
        </w:tc>
        <w:tc>
          <w:tcPr>
            <w:tcW w:type="dxa" w:w="1555"/>
            <w:vMerge/>
            <w:tcBorders/>
          </w:tcPr>
          <w:p/>
        </w:tc>
        <w:tc>
          <w:tcPr>
            <w:tcW w:type="dxa" w:w="1555"/>
            <w:vMerge/>
            <w:tcBorders/>
          </w:tcPr>
          <w:p/>
        </w:tc>
      </w:tr>
      <w:tr>
        <w:trPr>
          <w:trHeight w:hRule="exact" w:val="282"/>
        </w:trPr>
        <w:tc>
          <w:tcPr>
            <w:tcW w:type="dxa" w:w="1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0" w:right="54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>0.00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2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>0.05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0" w:right="6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>0.10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>0.15</w:t>
            </w:r>
          </w:p>
        </w:tc>
        <w:tc>
          <w:tcPr>
            <w:tcW w:type="dxa" w:w="5354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00"/>
        </w:trPr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218" w:after="0"/>
              <w:ind w:left="92" w:right="0" w:firstLine="0"/>
              <w:jc w:val="left"/>
            </w:pPr>
            <w:r>
              <w:rPr>
                <w:w w:val="101.63666407267253"/>
                <w:rFonts w:ascii="Calibri" w:hAnsi="Calibri" w:eastAsia="Calibri"/>
                <w:b w:val="0"/>
                <w:i w:val="0"/>
                <w:color w:val="221F1F"/>
                <w:sz w:val="30"/>
              </w:rPr>
              <w:t xml:space="preserve">(b) </w:t>
            </w:r>
          </w:p>
        </w:tc>
        <w:tc>
          <w:tcPr>
            <w:tcW w:type="dxa" w:w="32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2" w:after="0"/>
              <w:ind w:left="49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 xml:space="preserve">ALD cycle ratio </w:t>
            </w:r>
            <w:r>
              <w:rPr>
                <w:rFonts w:ascii="Calibri" w:hAnsi="Calibri" w:eastAsia="Calibri"/>
                <w:b w:val="0"/>
                <w:i w:val="0"/>
                <w:color w:val="221F1F"/>
                <w:sz w:val="24"/>
              </w:rPr>
              <w:t>[Al/(Al+Hf)]</w:t>
            </w:r>
          </w:p>
        </w:tc>
        <w:tc>
          <w:tcPr>
            <w:tcW w:type="dxa" w:w="1555"/>
            <w:vMerge/>
            <w:tcBorders/>
          </w:tcPr>
          <w:p/>
        </w:tc>
        <w:tc>
          <w:tcPr>
            <w:tcW w:type="dxa" w:w="53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8" w:after="0"/>
              <w:ind w:left="162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 xml:space="preserve"> Figure  2 .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PMA versus PDA process fl ow. For the PMA samples, a CVD-TiN </w:t>
            </w:r>
          </w:p>
        </w:tc>
      </w:tr>
      <w:tr>
        <w:trPr>
          <w:trHeight w:hRule="exact" w:val="180"/>
        </w:trPr>
        <w:tc>
          <w:tcPr>
            <w:tcW w:type="dxa" w:w="3110"/>
            <w:gridSpan w:val="2"/>
            <w:vMerge/>
            <w:tcBorders/>
          </w:tcPr>
          <w:p/>
        </w:tc>
        <w:tc>
          <w:tcPr>
            <w:tcW w:type="dxa" w:w="4665"/>
            <w:gridSpan w:val="3"/>
            <w:vMerge/>
            <w:tcBorders/>
          </w:tcPr>
          <w:p/>
        </w:tc>
        <w:tc>
          <w:tcPr>
            <w:tcW w:type="dxa" w:w="1555"/>
            <w:vMerge/>
            <w:tcBorders/>
          </w:tcPr>
          <w:p/>
        </w:tc>
        <w:tc>
          <w:tcPr>
            <w:tcW w:type="dxa" w:w="53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62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>top electrode is deposited which creates an additional mechanical con-</w:t>
            </w:r>
          </w:p>
        </w:tc>
      </w:tr>
      <w:tr>
        <w:trPr>
          <w:trHeight w:hRule="exact" w:val="200"/>
        </w:trPr>
        <w:tc>
          <w:tcPr>
            <w:tcW w:type="dxa" w:w="3110"/>
            <w:gridSpan w:val="2"/>
            <w:vMerge/>
            <w:tcBorders/>
          </w:tcPr>
          <w:p/>
        </w:tc>
        <w:tc>
          <w:tcPr>
            <w:tcW w:type="dxa" w:w="4665"/>
            <w:gridSpan w:val="3"/>
            <w:vMerge/>
            <w:tcBorders/>
          </w:tcPr>
          <w:p/>
        </w:tc>
        <w:tc>
          <w:tcPr>
            <w:tcW w:type="dxa" w:w="1555"/>
            <w:vMerge/>
            <w:tcBorders/>
          </w:tcPr>
          <w:p/>
        </w:tc>
        <w:tc>
          <w:tcPr>
            <w:tcW w:type="dxa" w:w="53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62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fi nement of the aluminium-doped HfO </w:t>
            </w:r>
            <w:r>
              <w:rPr>
                <w:w w:val="101.81818008422852"/>
                <w:rFonts w:ascii="ScalaSansLF" w:hAnsi="ScalaSansLF" w:eastAsia="ScalaSansLF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. The PMA process fl ow uses the </w:t>
            </w:r>
          </w:p>
        </w:tc>
      </w:tr>
      <w:tr>
        <w:trPr>
          <w:trHeight w:hRule="exact" w:val="250"/>
        </w:trPr>
        <w:tc>
          <w:tcPr>
            <w:tcW w:type="dxa" w:w="3110"/>
            <w:gridSpan w:val="2"/>
            <w:vMerge/>
            <w:tcBorders/>
          </w:tcPr>
          <w:p/>
        </w:tc>
        <w:tc>
          <w:tcPr>
            <w:tcW w:type="dxa" w:w="4665"/>
            <w:gridSpan w:val="3"/>
            <w:vMerge/>
            <w:tcBorders/>
          </w:tcPr>
          <w:p/>
        </w:tc>
        <w:tc>
          <w:tcPr>
            <w:tcW w:type="dxa" w:w="1555"/>
            <w:vMerge/>
            <w:tcBorders/>
          </w:tcPr>
          <w:p/>
        </w:tc>
        <w:tc>
          <w:tcPr>
            <w:tcW w:type="dxa" w:w="53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0" w:after="0"/>
              <w:ind w:left="162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platinum contact as a hard mask for etching the TiN top electrode. </w:t>
            </w:r>
          </w:p>
        </w:tc>
      </w:tr>
    </w:tbl>
    <w:p>
      <w:pPr>
        <w:autoSpaceDN w:val="0"/>
        <w:autoSpaceDE w:val="0"/>
        <w:widowControl/>
        <w:spacing w:line="220" w:lineRule="exact" w:before="220" w:after="14"/>
        <w:ind w:left="5040" w:right="864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>step was performed after the TiN top electrode had been depos-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ited. Finally, platinum contacts were formed by physical vapor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deposition (evaporation) using a shadow mask. The layout of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shadow mask was such as to deposit platinum dot sizes of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110, 200, 280, and 450  </w:t>
      </w:r>
      <w:r>
        <w:rPr>
          <w:rFonts w:ascii="Symbol" w:hAnsi="Symbol" w:eastAsia="Symbol"/>
          <w:b w:val="0"/>
          <w:i w:val="0"/>
          <w:color w:val="221F1F"/>
          <w:sz w:val="18"/>
        </w:rPr>
        <w:t>μ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m in diameter. The platinum dots were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also used as a hard mask for wet chemical etching of the TiN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top electrode down to the Al:HfO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layer. The quality of depo-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sition and annealing processes was investigated by transmis-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sion electron microscopy (TEM, Figure  1 b). The polycrystalline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nature of both electrodes and the Al:HfO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thin fi lm is shown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for a 1000 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 PMA sample. Furthermore, for another batch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samples, the formation of a TiN top electrode was omitted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and the platinum contacts were deposited directly on top of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Al:HfO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thin fi lm. Since the annealing step was performed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after the dielectric/ferroelectric layer formation, these samples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7785100</wp:posOffset>
            </wp:positionV>
            <wp:extent cx="3111500" cy="5588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279400</wp:posOffset>
            </wp:positionV>
            <wp:extent cx="6311900" cy="4191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</wp:posOffset>
            </wp:positionH>
            <wp:positionV relativeFrom="page">
              <wp:posOffset>307340</wp:posOffset>
            </wp:positionV>
            <wp:extent cx="745490" cy="380352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3803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1306830</wp:posOffset>
            </wp:positionH>
            <wp:positionV relativeFrom="page">
              <wp:posOffset>1306830</wp:posOffset>
            </wp:positionV>
            <wp:extent cx="1675130" cy="697463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6974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1206500</wp:posOffset>
            </wp:positionV>
            <wp:extent cx="2349500" cy="14605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46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5143500</wp:posOffset>
            </wp:positionV>
            <wp:extent cx="38100" cy="38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2946400</wp:posOffset>
            </wp:positionH>
            <wp:positionV relativeFrom="page">
              <wp:posOffset>4165600</wp:posOffset>
            </wp:positionV>
            <wp:extent cx="38100" cy="38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2908300</wp:posOffset>
            </wp:positionH>
            <wp:positionV relativeFrom="page">
              <wp:posOffset>4165600</wp:posOffset>
            </wp:positionV>
            <wp:extent cx="38100" cy="38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4165600</wp:posOffset>
            </wp:positionV>
            <wp:extent cx="381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1192530</wp:posOffset>
            </wp:positionH>
            <wp:positionV relativeFrom="page">
              <wp:posOffset>3204210</wp:posOffset>
            </wp:positionV>
            <wp:extent cx="2410460" cy="239827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3982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2895600</wp:posOffset>
            </wp:positionH>
            <wp:positionV relativeFrom="page">
              <wp:posOffset>5143500</wp:posOffset>
            </wp:positionV>
            <wp:extent cx="381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2857500</wp:posOffset>
            </wp:positionH>
            <wp:positionV relativeFrom="page">
              <wp:posOffset>5143500</wp:posOffset>
            </wp:positionV>
            <wp:extent cx="38100" cy="38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2819400</wp:posOffset>
            </wp:positionH>
            <wp:positionV relativeFrom="page">
              <wp:posOffset>5143500</wp:posOffset>
            </wp:positionV>
            <wp:extent cx="508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5874"/>
          <w:pgMar w:top="0" w:right="0" w:bottom="380" w:left="1020" w:header="720" w:footer="720" w:gutter="0"/>
          <w:cols w:space="720" w:num="1" w:equalWidth="0"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10" w:after="0"/>
        <w:ind w:left="0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 xml:space="preserve"> Figure  1 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a) Incorporated AlO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1.5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content within the HfO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host lattice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according to XPS characterization. Using tetrakis(ethylmethylamino)haf-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nium and trimethylaluminium (chemical formulae shown as inset) for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ALD deposition, an almost ideal linear behavior could be achieved for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 chosen cycle ratios. b) EM image of an MIM capacitor used within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these studies. The structure consists of a platinum contact situated on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top of the aluminium-doped HfO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sandwiched between TiN electrodes.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Even though a hydrogen fl uoride dip was used before bottom electrode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formation, a very thin amorphous interface is still visible (bright interface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between TiN and Si). </w:t>
      </w:r>
    </w:p>
    <w:p>
      <w:pPr>
        <w:autoSpaceDN w:val="0"/>
        <w:autoSpaceDE w:val="0"/>
        <w:widowControl/>
        <w:spacing w:line="220" w:lineRule="exact" w:before="506" w:after="0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was deposited afterwards by atomic layer deposition (ALD,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300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 substrate temperature). Different ALD supercycles of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precursor gases (see the Experimental Section) were used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order to realize various molar concentrations of aluminium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within the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lattice. An almost ideal linear relationship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between molar percentage of aluminium in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cycle </w:t>
      </w:r>
      <w:r>
        <w:rPr>
          <w:rFonts w:ascii="ScalaLF" w:hAnsi="ScalaLF" w:eastAsia="ScalaLF"/>
          <w:b w:val="0"/>
          <w:i w:val="0"/>
          <w:color w:val="221F1F"/>
          <w:sz w:val="18"/>
        </w:rPr>
        <w:t>ratio could be achieved, which indicates a very controlled depo-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sition process ( </w:t>
      </w: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a). A TiN top electrode of approximately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20 nm thickness was deposited on top of the hafnium oxide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again using pulsed CVD (450 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C). After top electrode formation,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samples were exposed to rapid thermal annealing (RTA) for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either 20 s at 800 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 or for 1 s at 1000 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 in a nitrogen environ-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ment. In the following, these samples will be abbreviated PMA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samples (post-metallization annealing) since the annealing </w:t>
      </w:r>
    </w:p>
    <w:p>
      <w:pPr>
        <w:sectPr>
          <w:type w:val="continuous"/>
          <w:pgSz w:w="11906" w:h="15874"/>
          <w:pgMar w:top="0" w:right="0" w:bottom="380" w:left="1020" w:header="720" w:footer="720" w:gutter="0"/>
          <w:cols w:space="720" w:num="2" w:equalWidth="0"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120" w:right="920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will be abbreviated PDA samples (post-deposition annealing).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process fl ow for PMA and PDA samples is summarized in </w:t>
      </w: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.</w:t>
      </w:r>
    </w:p>
    <w:p>
      <w:pPr>
        <w:autoSpaceDN w:val="0"/>
        <w:tabs>
          <w:tab w:pos="320" w:val="left"/>
        </w:tabs>
        <w:autoSpaceDE w:val="0"/>
        <w:widowControl/>
        <w:spacing w:line="218" w:lineRule="exact" w:before="24" w:after="0"/>
        <w:ind w:left="120" w:right="864" w:firstLine="0"/>
        <w:jc w:val="left"/>
      </w:pPr>
      <w:r>
        <w:tab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The surface morphology and the quality of the Al:HfO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2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thin fi lm was characterized by atomic force microscopy (AFM; </w:t>
      </w: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3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). The root mean square (RMS) surface roughness of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PMA samples is signifi cantly smaller than for the PDA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samples. Hence, the vertical grain growth during annealing is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homogenized by depositing a TiN cap between platinum contact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and the doped hafnium oxide. Moreover, an increased surface </w:t>
      </w:r>
      <w:r>
        <w:rPr>
          <w:rFonts w:ascii="ScalaLF" w:hAnsi="ScalaLF" w:eastAsia="ScalaLF"/>
          <w:b w:val="0"/>
          <w:i w:val="0"/>
          <w:color w:val="221F1F"/>
          <w:sz w:val="18"/>
        </w:rPr>
        <w:t>roughness was also refl ected by the leakage current and break-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down characteristics of the capacitors, i.e., the PDA process led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increased leakage currents and smaller breakdown voltages.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effects of TiN capping have been extensively investigated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for pure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, with similar conclusions being reached.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20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tab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Polarization measurements were performed in order to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investigate a potential hysteretic behavior of  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–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characteris-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tics ( </w:t>
      </w: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4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). By applying a triangular AC voltage signal to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samples, a ferroelectric capacitor would switch into the respec-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tive polarization state. The written state can only be reversed if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 certain voltage (larger than the coercive voltage) of opposite </w:t>
      </w:r>
      <w:r>
        <w:rPr>
          <w:rFonts w:ascii="ScalaLF" w:hAnsi="ScalaLF" w:eastAsia="ScalaLF"/>
          <w:b w:val="0"/>
          <w:i w:val="0"/>
          <w:color w:val="221F1F"/>
          <w:sz w:val="18"/>
        </w:rPr>
        <w:t>polarity is again applied to the capacitor.</w:t>
      </w:r>
    </w:p>
    <w:p>
      <w:pPr>
        <w:autoSpaceDN w:val="0"/>
        <w:autoSpaceDE w:val="0"/>
        <w:widowControl/>
        <w:spacing w:line="220" w:lineRule="exact" w:before="0" w:after="442"/>
        <w:ind w:left="120" w:right="920" w:firstLine="20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Large amounts of aluminium inside the host lattice lead to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antiferroelectric polarization loops. The antiferroelectric phase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might be considered a relaxor phase, in which ferroelectric </w:t>
      </w:r>
    </w:p>
    <w:p>
      <w:pPr>
        <w:sectPr>
          <w:type w:val="nextColumn"/>
          <w:pgSz w:w="11906" w:h="15874"/>
          <w:pgMar w:top="0" w:right="0" w:bottom="380" w:left="1020" w:header="720" w:footer="720" w:gutter="0"/>
          <w:cols w:space="720" w:num="2" w:equalWidth="0"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21"/>
        <w:gridCol w:w="2721"/>
        <w:gridCol w:w="2721"/>
        <w:gridCol w:w="2721"/>
      </w:tblGrid>
      <w:tr>
        <w:trPr>
          <w:trHeight w:hRule="exact" w:val="184"/>
        </w:trPr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 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2412–2417</w:t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53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2012 WILEY-VCH Verlag GmbH &amp; Co. KGaA, Weinheim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78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wileyonlinelibrary.com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104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2413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0" w:right="0" w:bottom="380" w:left="1020" w:header="720" w:footer="720" w:gutter="0"/>
          <w:cols w:space="720" w:num="1" w:equalWidth="0"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650"/>
        <w:gridCol w:w="3650"/>
        <w:gridCol w:w="3650"/>
      </w:tblGrid>
      <w:tr>
        <w:trPr>
          <w:trHeight w:hRule="exact" w:val="1580"/>
        </w:trPr>
        <w:tc>
          <w:tcPr>
            <w:tcW w:type="dxa" w:w="532"/>
            <w:vMerge w:val="restart"/>
            <w:tcBorders/>
            <w:shd w:fill="808284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86" w:after="0"/>
              <w:ind w:left="140" w:right="0" w:firstLine="0"/>
              <w:jc w:val="left"/>
            </w:pPr>
            <w:r>
              <w:rPr>
                <w:rFonts w:ascii="Futura" w:hAnsi="Futura" w:eastAsia="Futura"/>
                <w:b/>
                <w:i w:val="0"/>
                <w:color w:val="FFFFFF"/>
                <w:sz w:val="24"/>
              </w:rPr>
              <w:t>FULL PAPER</w:t>
            </w:r>
          </w:p>
        </w:tc>
        <w:tc>
          <w:tcPr>
            <w:tcW w:type="dxa" w:w="35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58" w:after="0"/>
              <w:ind w:left="372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www.afm-journal.de</w:t>
            </w:r>
          </w:p>
        </w:tc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20" w:after="0"/>
              <w:ind w:left="0" w:right="34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www.MaterialsViews.com</w:t>
            </w:r>
          </w:p>
        </w:tc>
      </w:tr>
      <w:tr>
        <w:trPr>
          <w:trHeight w:hRule="exact" w:val="320"/>
        </w:trPr>
        <w:tc>
          <w:tcPr>
            <w:tcW w:type="dxa" w:w="3650"/>
            <w:vMerge/>
            <w:tcBorders/>
          </w:tcPr>
          <w:p/>
        </w:tc>
        <w:tc>
          <w:tcPr>
            <w:tcW w:type="dxa" w:w="3650"/>
            <w:vMerge/>
            <w:tcBorders/>
          </w:tcPr>
          <w:p/>
        </w:tc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86" w:after="0"/>
              <w:ind w:left="0" w:right="10" w:firstLine="0"/>
              <w:jc w:val="right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antiferroelectric tendency. At 1000  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8"/>
              </w:rPr>
              <w:t>°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 C PMA the ferroelectric </w:t>
            </w:r>
          </w:p>
        </w:tc>
      </w:tr>
      <w:tr>
        <w:trPr>
          <w:trHeight w:hRule="exact" w:val="220"/>
        </w:trPr>
        <w:tc>
          <w:tcPr>
            <w:tcW w:type="dxa" w:w="3650"/>
            <w:vMerge/>
            <w:tcBorders/>
          </w:tcPr>
          <w:p/>
        </w:tc>
        <w:tc>
          <w:tcPr>
            <w:tcW w:type="dxa" w:w="3650"/>
            <w:vMerge/>
            <w:tcBorders/>
          </w:tcPr>
          <w:p/>
        </w:tc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" w:after="0"/>
              <w:ind w:left="0" w:right="2564" w:firstLine="0"/>
              <w:jc w:val="right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behavior is most pronounced. </w:t>
            </w:r>
          </w:p>
        </w:tc>
      </w:tr>
      <w:tr>
        <w:trPr>
          <w:trHeight w:hRule="exact" w:val="220"/>
        </w:trPr>
        <w:tc>
          <w:tcPr>
            <w:tcW w:type="dxa" w:w="3650"/>
            <w:vMerge/>
            <w:tcBorders/>
          </w:tcPr>
          <w:p/>
        </w:tc>
        <w:tc>
          <w:tcPr>
            <w:tcW w:type="dxa" w:w="3650"/>
            <w:vMerge/>
            <w:tcBorders/>
          </w:tcPr>
          <w:p/>
        </w:tc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" w:after="0"/>
              <w:ind w:left="0" w:right="54" w:firstLine="0"/>
              <w:jc w:val="right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 Generally, dielectric permittivity increases for higher alu-</w:t>
            </w:r>
          </w:p>
        </w:tc>
      </w:tr>
      <w:tr>
        <w:trPr>
          <w:trHeight w:hRule="exact" w:val="220"/>
        </w:trPr>
        <w:tc>
          <w:tcPr>
            <w:tcW w:type="dxa" w:w="3650"/>
            <w:vMerge/>
            <w:tcBorders/>
          </w:tcPr>
          <w:p/>
        </w:tc>
        <w:tc>
          <w:tcPr>
            <w:tcW w:type="dxa" w:w="3650"/>
            <w:vMerge/>
            <w:tcBorders/>
          </w:tcPr>
          <w:p/>
        </w:tc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" w:after="0"/>
              <w:ind w:left="0" w:right="10" w:firstLine="0"/>
              <w:jc w:val="right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minium contents and shows a maximum for antiferroelectric </w:t>
            </w:r>
          </w:p>
        </w:tc>
      </w:tr>
      <w:tr>
        <w:trPr>
          <w:trHeight w:hRule="exact" w:val="220"/>
        </w:trPr>
        <w:tc>
          <w:tcPr>
            <w:tcW w:type="dxa" w:w="3650"/>
            <w:vMerge/>
            <w:tcBorders/>
          </w:tcPr>
          <w:p/>
        </w:tc>
        <w:tc>
          <w:tcPr>
            <w:tcW w:type="dxa" w:w="3650"/>
            <w:vMerge/>
            <w:tcBorders/>
          </w:tcPr>
          <w:p/>
        </w:tc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" w:after="0"/>
              <w:ind w:left="0" w:right="54" w:firstLine="0"/>
              <w:jc w:val="right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capacitors (Figure  4 d). However, compared to traditional ferroe-</w:t>
            </w:r>
          </w:p>
        </w:tc>
      </w:tr>
      <w:tr>
        <w:trPr>
          <w:trHeight w:hRule="exact" w:val="220"/>
        </w:trPr>
        <w:tc>
          <w:tcPr>
            <w:tcW w:type="dxa" w:w="3650"/>
            <w:vMerge/>
            <w:tcBorders/>
          </w:tcPr>
          <w:p/>
        </w:tc>
        <w:tc>
          <w:tcPr>
            <w:tcW w:type="dxa" w:w="3650"/>
            <w:vMerge/>
            <w:tcBorders/>
          </w:tcPr>
          <w:p/>
        </w:tc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10" w:firstLine="0"/>
              <w:jc w:val="right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lectrics like lead zirconate titanate (Pb[Zr </w:t>
            </w:r>
            <w:r>
              <w:rPr>
                <w:w w:val="96.92307985745944"/>
                <w:rFonts w:ascii="ScalaLF" w:hAnsi="ScalaLF" w:eastAsia="ScalaLF"/>
                <w:b w:val="0"/>
                <w:i/>
                <w:color w:val="221F1F"/>
                <w:sz w:val="13"/>
              </w:rPr>
              <w:t>x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 Ti 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 xml:space="preserve">1- </w:t>
            </w:r>
            <w:r>
              <w:rPr>
                <w:w w:val="96.92307985745944"/>
                <w:rFonts w:ascii="ScalaLF" w:hAnsi="ScalaLF" w:eastAsia="ScalaLF"/>
                <w:b w:val="0"/>
                <w:i/>
                <w:color w:val="221F1F"/>
                <w:sz w:val="13"/>
              </w:rPr>
              <w:t>x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 ]O 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3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 ; PZT), which </w:t>
            </w:r>
          </w:p>
        </w:tc>
      </w:tr>
      <w:tr>
        <w:trPr>
          <w:trHeight w:hRule="exact" w:val="220"/>
        </w:trPr>
        <w:tc>
          <w:tcPr>
            <w:tcW w:type="dxa" w:w="3650"/>
            <w:vMerge/>
            <w:tcBorders/>
          </w:tcPr>
          <w:p/>
        </w:tc>
        <w:tc>
          <w:tcPr>
            <w:tcW w:type="dxa" w:w="3650"/>
            <w:vMerge/>
            <w:tcBorders/>
          </w:tcPr>
          <w:p/>
        </w:tc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" w:after="0"/>
              <w:ind w:left="0" w:right="10" w:firstLine="0"/>
              <w:jc w:val="right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can possess relative permittivities even above 200, the tendency </w:t>
            </w:r>
          </w:p>
        </w:tc>
      </w:tr>
      <w:tr>
        <w:trPr>
          <w:trHeight w:hRule="exact" w:val="224"/>
        </w:trPr>
        <w:tc>
          <w:tcPr>
            <w:tcW w:type="dxa" w:w="3650"/>
            <w:vMerge/>
            <w:tcBorders/>
          </w:tcPr>
          <w:p/>
        </w:tc>
        <w:tc>
          <w:tcPr>
            <w:tcW w:type="dxa" w:w="3650"/>
            <w:vMerge/>
            <w:tcBorders/>
          </w:tcPr>
          <w:p/>
        </w:tc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" w:after="0"/>
              <w:ind w:left="0" w:right="54" w:firstLine="0"/>
              <w:jc w:val="right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for dielectric polarization is signifi cantly smaller for doped haf-</w:t>
            </w:r>
          </w:p>
        </w:tc>
      </w:tr>
    </w:tbl>
    <w:p>
      <w:pPr>
        <w:autoSpaceDN w:val="0"/>
        <w:autoSpaceDE w:val="0"/>
        <w:widowControl/>
        <w:spacing w:line="218" w:lineRule="exact" w:before="0" w:after="0"/>
        <w:ind w:left="6066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nium oxide. Furthermore, it is interesting to see that the highest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remanent polarization is actually achieved for samples with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7.1 mol% aluminium content even though the polarization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loops are not as ideal as for samples having 4.8 mol% incor-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poration of aluminium (compare Figure  4 a,c). This again indi-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cates that, for this composition, the capacitors possess antifer-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roelectric as well as ferroelectric domains.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279400</wp:posOffset>
            </wp:positionV>
            <wp:extent cx="6311900" cy="4064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0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6172200</wp:posOffset>
            </wp:positionH>
            <wp:positionV relativeFrom="page">
              <wp:posOffset>307340</wp:posOffset>
            </wp:positionV>
            <wp:extent cx="745490" cy="380352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3803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617220</wp:posOffset>
            </wp:positionH>
            <wp:positionV relativeFrom="page">
              <wp:posOffset>971550</wp:posOffset>
            </wp:positionV>
            <wp:extent cx="3048000" cy="5007864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0078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1092200</wp:posOffset>
            </wp:positionV>
            <wp:extent cx="406400" cy="165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1727200</wp:posOffset>
            </wp:positionH>
            <wp:positionV relativeFrom="page">
              <wp:posOffset>5410200</wp:posOffset>
            </wp:positionV>
            <wp:extent cx="508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5359400</wp:posOffset>
            </wp:positionV>
            <wp:extent cx="38100" cy="508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3670300</wp:posOffset>
            </wp:positionV>
            <wp:extent cx="342900" cy="1651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5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6066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In order to prove that the ferroelectric behavior might not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only be fi eld induced, the crystal structures of the samples were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physically characterized using grazing incidence X-ray diffrac-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tion analysis (GI-XRD). The acquired diffractrograms were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used to identify the respective crystalline phases, as well as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non-centrosymmetric phase which would be responsible for the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ferroelectric phenomena ( </w:t>
      </w: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5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a).</w:t>
      </w:r>
    </w:p>
    <w:p>
      <w:pPr>
        <w:autoSpaceDN w:val="0"/>
        <w:autoSpaceDE w:val="0"/>
        <w:widowControl/>
        <w:spacing w:line="220" w:lineRule="exact" w:before="0" w:after="162"/>
        <w:ind w:left="6066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Under atmospheric pressure and increasing temperature,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hafnium oxide transforms from a monoclinic to a tetragonal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and fi nally to a cubic lattice structure.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22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However, it has been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shown that the tetragonal and cubic phases in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ZrO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2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can be stabilized by incorporation of nano-crystallites and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nitrogen respectively.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23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24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For the material system at hand, the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acquired X-ray diffraction patterns show that, for increasing alu-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minium concentration, a transition from the monoclinic phase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towards a cubic lattice structure occurs. That is, the cubic phase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is stabilized if aluminium is used as a substituting element.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This stabilization can best be observed in the interval between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80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90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where the monoclinic peaks observed for pure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2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convert into two sharp refl ections, which are characteristic of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cubic phase. For 4.8 mol% aluminium the diffractogram is </w:t>
      </w:r>
    </w:p>
    <w:p>
      <w:pPr>
        <w:sectPr>
          <w:pgSz w:w="11906" w:h="15874"/>
          <w:pgMar w:top="0" w:right="956" w:bottom="380" w:left="0" w:header="720" w:footer="720" w:gutter="0"/>
          <w:cols w:space="720" w:num="1" w:equalWidth="0"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962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 xml:space="preserve"> Figure  3 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AFM RMS surface roughness measurements for PMA and PDA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samples. Both graphs were measured directly on the surface of the fer-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roelectric, i.e., in between the structured MIM capacitors. The mechanical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confi nement of the TiN top electrode signifi cantly reduces the surface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roughness. </w:t>
      </w:r>
    </w:p>
    <w:p>
      <w:pPr>
        <w:autoSpaceDN w:val="0"/>
        <w:autoSpaceDE w:val="0"/>
        <w:widowControl/>
        <w:spacing w:line="220" w:lineRule="exact" w:before="658" w:after="0"/>
        <w:ind w:left="964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clusters of different polarization directions exist within a para-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electric matrix.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21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However, by reducing the aluminium con-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tent, the antiferroelectric behavior transforms to ferroelectric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characteristics (Figure  4 a). Molar concentrations of 4.8% show </w:t>
      </w:r>
      <w:r>
        <w:rPr>
          <w:rFonts w:ascii="ScalaLF" w:hAnsi="ScalaLF" w:eastAsia="ScalaLF"/>
          <w:b w:val="0"/>
          <w:i w:val="0"/>
          <w:color w:val="221F1F"/>
          <w:sz w:val="18"/>
        </w:rPr>
        <w:t>saturated ferroelectric responses having remanent polariza-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tions of around 5  </w:t>
      </w:r>
      <w:r>
        <w:rPr>
          <w:rFonts w:ascii="Symbol" w:hAnsi="Symbol" w:eastAsia="Symbol"/>
          <w:b w:val="0"/>
          <w:i w:val="0"/>
          <w:color w:val="221F1F"/>
          <w:sz w:val="18"/>
        </w:rPr>
        <w:t>μ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 cm 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 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coercive fi elds of approximately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 MV cm 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 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. </w:t>
      </w:r>
    </w:p>
    <w:p>
      <w:pPr>
        <w:autoSpaceDN w:val="0"/>
        <w:autoSpaceDE w:val="0"/>
        <w:widowControl/>
        <w:spacing w:line="220" w:lineRule="exact" w:before="0" w:after="0"/>
        <w:ind w:left="964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Remarkably, omitting the TiN top electrode does not inhibit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ferroelectricity (Figure  4 b) as it is the case in silicon-doped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hafnium oxide.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17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Even though the remanent polarization is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reduced, a ferroelectric hysteresis loop is clearly observable for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PDA-samples. Furthermore, ferroelectricity seems to be more </w:t>
      </w:r>
      <w:r>
        <w:rPr>
          <w:rFonts w:ascii="ScalaLF" w:hAnsi="ScalaLF" w:eastAsia="ScalaLF"/>
          <w:b w:val="0"/>
          <w:i w:val="0"/>
          <w:color w:val="221F1F"/>
          <w:sz w:val="18"/>
        </w:rPr>
        <w:t>pronounced for samples which are annealed at higher tempera-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tures (Figure  4 c). It is noteworthy that already the as-deposited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sample having 7.1 mol% aluminium concentration shows </w:t>
      </w:r>
    </w:p>
    <w:p>
      <w:pPr>
        <w:sectPr>
          <w:type w:val="continuous"/>
          <w:pgSz w:w="11906" w:h="15874"/>
          <w:pgMar w:top="0" w:right="956" w:bottom="380" w:left="0" w:header="720" w:footer="720" w:gutter="0"/>
          <w:cols w:space="720" w:num="2" w:equalWidth="0"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2"/>
        <w:ind w:left="118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compared to the diffraction pattern of a previously derived non-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centrosymmetric orthorhombic phase of space group Pbc2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.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17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]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This phase was originally derived from manganese-stabilized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zirconium oxide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25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26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since all known orthorhombic phases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for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are centrosymmetric (space groups Pbca and Pbcm).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non-centrosymmetric orthorhombic phase of space group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Pbc2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is assumed to be applicable also to the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host lattice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when isotropic rescaling is applied.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17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It is however diffi cult to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unambiguously identify the existence of this phase, since there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is no peak which is unique to the orthorhombic phase. Peaks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which appear to be unique for the orthorhombic phase overlap </w:t>
      </w:r>
      <w:r>
        <w:rPr>
          <w:rFonts w:ascii="ScalaLF" w:hAnsi="ScalaLF" w:eastAsia="ScalaLF"/>
          <w:b w:val="0"/>
          <w:i w:val="0"/>
          <w:color w:val="221F1F"/>
          <w:sz w:val="18"/>
        </w:rPr>
        <w:t>with refl ections originating from the TiN top and bottom elec-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trodes at 36.7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, 42.6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, and 61.8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. However, the existence of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orthorhombic phase seems justifi ed if the refl ections in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interval between 80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90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(Figure  5 b) are analyzed. Simply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superimposing monoclinic and cubic diffraction patterns will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not yield refl ections observed for 4.8 mol% of aluminium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concentration. Hence, there has to be a non-centrosymmetric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transition phase since this is a prerequisite for the ferroelectric </w:t>
      </w:r>
      <w:r>
        <w:rPr>
          <w:rFonts w:ascii="ScalaLF" w:hAnsi="ScalaLF" w:eastAsia="ScalaLF"/>
          <w:b w:val="0"/>
          <w:i w:val="0"/>
          <w:color w:val="221F1F"/>
          <w:sz w:val="18"/>
        </w:rPr>
        <w:t>characteristics observed in electrical measurements. In sum-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mary, the authors suggest the existence of an orthorhombic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phase of space group Pbc2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causing the ferroelectric nature of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Al:HfO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. </w:t>
      </w:r>
    </w:p>
    <w:p>
      <w:pPr>
        <w:sectPr>
          <w:type w:val="nextColumn"/>
          <w:pgSz w:w="11906" w:h="15874"/>
          <w:pgMar w:top="0" w:right="956" w:bottom="380" w:left="0" w:header="720" w:footer="720" w:gutter="0"/>
          <w:cols w:space="720" w:num="2" w:equalWidth="0"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2737"/>
        <w:gridCol w:w="2737"/>
        <w:gridCol w:w="2737"/>
        <w:gridCol w:w="2737"/>
      </w:tblGrid>
      <w:tr>
        <w:trPr>
          <w:trHeight w:hRule="exact" w:val="184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74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2414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104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wileyonlinelibrary.com</w:t>
            </w:r>
          </w:p>
        </w:tc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026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2012 WILEY-VCH Verlag GmbH &amp; Co. KGaA, Weinheim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482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2412–2417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0" w:right="956" w:bottom="380" w:left="0" w:header="720" w:footer="720" w:gutter="0"/>
          <w:cols w:space="720" w:num="1" w:equalWidth="0"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>
        <w:trPr>
          <w:trHeight w:hRule="exact" w:val="1580"/>
        </w:trPr>
        <w:tc>
          <w:tcPr>
            <w:tcW w:type="dxa" w:w="19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20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www.MaterialsViews.com</w:t>
            </w:r>
          </w:p>
        </w:tc>
        <w:tc>
          <w:tcPr>
            <w:tcW w:type="dxa" w:w="26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196" w:after="0"/>
              <w:ind w:left="410" w:right="0" w:firstLine="0"/>
              <w:jc w:val="left"/>
            </w:pP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FFFFFF"/>
                <w:sz w:val="17"/>
              </w:rPr>
              <w:t>h</w:t>
            </w: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PMA</w:t>
            </w:r>
          </w:p>
        </w:tc>
        <w:tc>
          <w:tcPr>
            <w:tcW w:type="dxa" w:w="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94" w:after="0"/>
              <w:ind w:left="0" w:right="7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23"/>
              </w:rPr>
              <w:t xml:space="preserve"> )c(</w:t>
            </w:r>
          </w:p>
        </w:tc>
        <w:tc>
          <w:tcPr>
            <w:tcW w:type="dxa" w:w="3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2" w:lineRule="exact" w:before="1636" w:after="0"/>
              <w:ind w:left="0" w:right="28" w:firstLine="0"/>
              <w:jc w:val="righ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 xml:space="preserve">40 </w:t>
            </w:r>
            <w:r>
              <w:br/>
            </w: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 xml:space="preserve">20 </w:t>
            </w:r>
            <w:r>
              <w:br/>
            </w: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0</w:t>
            </w:r>
            <w:r>
              <w:br/>
            </w: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-20</w:t>
            </w: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-40</w:t>
            </w:r>
          </w:p>
        </w:tc>
        <w:tc>
          <w:tcPr>
            <w:tcW w:type="dxa" w:w="25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.0" w:type="dxa"/>
            </w:tblPr>
            <w:tblGrid>
              <w:gridCol w:w="2580"/>
            </w:tblGrid>
            <w:tr>
              <w:trPr>
                <w:trHeight w:hRule="exact" w:val="382"/>
              </w:trPr>
              <w:tc>
                <w:tcPr>
                  <w:tcW w:type="dxa" w:w="1970"/>
                  <w:tcBorders/>
                  <w:shd w:fill="221f1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exact" w:before="208" w:after="0"/>
                    <w:ind w:left="278" w:right="0" w:firstLine="0"/>
                    <w:jc w:val="left"/>
                  </w:pPr>
                  <w:r>
                    <w:rPr>
                      <w:w w:val="98.72705796185662"/>
                      <w:rFonts w:ascii="Helvetica" w:hAnsi="Helvetica" w:eastAsia="Helvetica"/>
                      <w:b w:val="0"/>
                      <w:i w:val="0"/>
                      <w:color w:val="FFFFFF"/>
                      <w:sz w:val="17"/>
                    </w:rPr>
                    <w:t>h</w:t>
                  </w:r>
                  <w:r>
                    <w:rPr>
                      <w:w w:val="98.72705796185662"/>
                      <w:rFonts w:ascii="Helvetica" w:hAnsi="Helvetica" w:eastAsia="Helvetica"/>
                      <w:b w:val="0"/>
                      <w:i w:val="0"/>
                      <w:color w:val="221F1F"/>
                      <w:sz w:val="17"/>
                    </w:rPr>
                    <w:t>PMA 7.1 mol%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58" w:after="0"/>
              <w:ind w:left="34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www.afm-journal.de</w:t>
            </w:r>
          </w:p>
        </w:tc>
      </w:tr>
      <w:tr>
        <w:trPr>
          <w:trHeight w:hRule="exact" w:val="382"/>
        </w:trPr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14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23"/>
              </w:rPr>
              <w:t xml:space="preserve">( 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23"/>
              </w:rPr>
              <w:t>a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23"/>
              </w:rPr>
              <w:t xml:space="preserve"> )</w:t>
            </w:r>
          </w:p>
        </w:tc>
        <w:tc>
          <w:tcPr>
            <w:tcW w:type="dxa" w:w="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84" w:after="0"/>
              <w:ind w:left="0" w:right="0" w:firstLine="0"/>
              <w:jc w:val="center"/>
            </w:pP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40</w:t>
            </w:r>
          </w:p>
        </w:tc>
        <w:tc>
          <w:tcPr>
            <w:tcW w:type="dxa" w:w="2724"/>
            <w:gridSpan w:val="6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724"/>
            <w:gridSpan w:val="6"/>
            <w:vMerge/>
            <w:tcBorders/>
          </w:tcPr>
          <w:p/>
        </w:tc>
        <w:tc>
          <w:tcPr>
            <w:tcW w:type="dxa" w:w="60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84" w:after="0"/>
              <w:ind w:left="156" w:right="0" w:firstLine="0"/>
              <w:jc w:val="lef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Polarization [µC/cm</w:t>
            </w:r>
            <w:r>
              <w:rPr>
                <w:w w:val="96.3690931146795"/>
                <w:rFonts w:ascii="Helvetica" w:hAnsi="Helvetica" w:eastAsia="Helvetica"/>
                <w:b w:val="0"/>
                <w:i w:val="0"/>
                <w:color w:val="221F1F"/>
                <w:sz w:val="11"/>
              </w:rPr>
              <w:t xml:space="preserve"> 2</w:t>
            </w: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]</w:t>
            </w:r>
          </w:p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462" w:after="0"/>
              <w:ind w:left="360" w:right="0" w:firstLine="0"/>
              <w:jc w:val="left"/>
            </w:pP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Polarization[µC/cm</w:t>
            </w:r>
            <w:r>
              <w:rPr>
                <w:w w:val="96.30726900967684"/>
                <w:rFonts w:ascii="Helvetica" w:hAnsi="Helvetica" w:eastAsia="Helvetica"/>
                <w:b w:val="0"/>
                <w:i w:val="0"/>
                <w:color w:val="221F1F"/>
                <w:sz w:val="11"/>
              </w:rPr>
              <w:t>2</w:t>
            </w: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]</w:t>
            </w:r>
          </w:p>
        </w:tc>
        <w:tc>
          <w:tcPr>
            <w:tcW w:type="dxa" w:w="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0" w:lineRule="exact" w:before="0" w:after="0"/>
              <w:ind w:left="0" w:right="12" w:firstLine="0"/>
              <w:jc w:val="right"/>
            </w:pP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 xml:space="preserve">20 </w:t>
            </w:r>
            <w:r>
              <w:br/>
            </w: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0</w:t>
            </w:r>
            <w:r>
              <w:br/>
            </w: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-20</w:t>
            </w: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-40</w:t>
            </w:r>
          </w:p>
        </w:tc>
        <w:tc>
          <w:tcPr>
            <w:tcW w:type="dxa" w:w="2724"/>
            <w:gridSpan w:val="6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338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724"/>
            <w:gridSpan w:val="6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580"/>
            <w:gridSpan w:val="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26" w:after="0"/>
              <w:ind w:left="0" w:right="15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5"/>
              </w:rPr>
              <w:t>450 °C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462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6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0" w:after="0"/>
              <w:ind w:left="0" w:right="15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4"/>
              </w:rPr>
              <w:t>8.5 mol%</w:t>
            </w:r>
          </w:p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6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6" w:after="0"/>
              <w:ind w:left="0" w:right="15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4"/>
              </w:rPr>
              <w:t>4.8 mol%</w:t>
            </w:r>
          </w:p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580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" w:after="0"/>
              <w:ind w:left="0" w:right="15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5"/>
              </w:rPr>
              <w:t>800 °C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322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6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38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4"/>
              </w:rPr>
              <w:t>HfO 2</w:t>
            </w:r>
          </w:p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580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" w:after="0"/>
              <w:ind w:left="0" w:right="7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5"/>
              </w:rPr>
              <w:t>1000 °C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96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center"/>
            </w:pP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-5 -4 -3 -2 -1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center"/>
            </w:pP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0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center"/>
            </w:pP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1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right"/>
            </w:pP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2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86" w:firstLine="0"/>
              <w:jc w:val="right"/>
            </w:pP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3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center"/>
            </w:pP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4</w:t>
            </w:r>
          </w:p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30" w:right="0" w:firstLine="0"/>
              <w:jc w:val="lef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-5 -4 -3 -2 -1</w:t>
            </w:r>
          </w:p>
        </w:tc>
        <w:tc>
          <w:tcPr>
            <w:tcW w:type="dxa" w:w="1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lef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0</w:t>
            </w:r>
          </w:p>
        </w:tc>
        <w:tc>
          <w:tcPr>
            <w:tcW w:type="dxa" w:w="3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1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20" w:right="0" w:firstLine="0"/>
              <w:jc w:val="lef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2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3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4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6" w:after="0"/>
              <w:ind w:left="0" w:right="0" w:firstLine="0"/>
              <w:jc w:val="righ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5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84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9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94" w:right="0" w:firstLine="0"/>
              <w:jc w:val="left"/>
            </w:pP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5</w:t>
            </w:r>
          </w:p>
        </w:tc>
        <w:tc>
          <w:tcPr>
            <w:tcW w:type="dxa" w:w="1362"/>
            <w:gridSpan w:val="3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578"/>
        </w:trPr>
        <w:tc>
          <w:tcPr>
            <w:tcW w:type="dxa" w:w="172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460" w:after="0"/>
              <w:ind w:left="0" w:right="2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23"/>
              </w:rPr>
              <w:t xml:space="preserve">(b) </w:t>
            </w:r>
          </w:p>
        </w:tc>
        <w:tc>
          <w:tcPr>
            <w:tcW w:type="dxa" w:w="2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86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20</w:t>
            </w:r>
          </w:p>
        </w:tc>
        <w:tc>
          <w:tcPr>
            <w:tcW w:type="dxa" w:w="26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2" w:after="0"/>
              <w:ind w:left="0" w:right="0" w:firstLine="0"/>
              <w:jc w:val="center"/>
            </w:pPr>
            <w:r>
              <w:rPr>
                <w:w w:val="98.67058922262753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Electric Field [MV/cm]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6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4" w:after="0"/>
              <w:ind w:left="446" w:right="0" w:firstLine="0"/>
              <w:jc w:val="lef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848688"/>
                <w:sz w:val="17"/>
              </w:rPr>
              <w:t>Rem. Polarization[µC/cm</w:t>
            </w:r>
            <w:r>
              <w:rPr>
                <w:w w:val="96.3690931146795"/>
                <w:rFonts w:ascii="Helvetica" w:hAnsi="Helvetica" w:eastAsia="Helvetica"/>
                <w:b w:val="0"/>
                <w:i w:val="0"/>
                <w:color w:val="848688"/>
                <w:sz w:val="11"/>
              </w:rPr>
              <w:t>2</w:t>
            </w: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848688"/>
                <w:sz w:val="17"/>
              </w:rPr>
              <w:t>]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5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2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Electric Field [MV/cm]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302"/>
        </w:trPr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26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52" w:after="0"/>
              <w:ind w:left="400" w:right="0" w:firstLine="0"/>
              <w:jc w:val="lef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FFFFFF"/>
                <w:sz w:val="17"/>
              </w:rPr>
              <w:t>h</w:t>
            </w: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PDA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1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23"/>
              </w:rPr>
              <w:t>(d)</w:t>
            </w:r>
          </w:p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8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848688"/>
                <w:sz w:val="17"/>
              </w:rPr>
              <w:t>8</w:t>
            </w:r>
          </w:p>
        </w:tc>
        <w:tc>
          <w:tcPr>
            <w:tcW w:type="dxa" w:w="25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11300" cy="10922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300" cy="1092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8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6D6F71"/>
                <w:sz w:val="17"/>
              </w:rPr>
              <w:t>40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4" w:after="0"/>
              <w:ind w:left="540" w:right="0" w:firstLine="0"/>
              <w:jc w:val="lef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6D6F71"/>
                <w:sz w:val="17"/>
              </w:rPr>
              <w:t>Relative Permittivity [1]</w:t>
            </w:r>
          </w:p>
        </w:tc>
        <w:tc>
          <w:tcPr>
            <w:tcW w:type="dxa" w:w="1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18"/>
        </w:trPr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462" w:after="0"/>
              <w:ind w:left="0" w:right="26" w:firstLine="0"/>
              <w:jc w:val="righ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Polarization [µC/cm</w:t>
            </w:r>
            <w:r>
              <w:rPr>
                <w:w w:val="96.3690931146795"/>
                <w:rFonts w:ascii="Helvetica" w:hAnsi="Helvetica" w:eastAsia="Helvetica"/>
                <w:b w:val="0"/>
                <w:i w:val="0"/>
                <w:color w:val="221F1F"/>
                <w:sz w:val="11"/>
              </w:rPr>
              <w:t>2</w:t>
            </w: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]</w:t>
            </w:r>
          </w:p>
        </w:tc>
        <w:tc>
          <w:tcPr>
            <w:tcW w:type="dxa" w:w="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2" w:lineRule="exact" w:before="10" w:after="0"/>
              <w:ind w:left="0" w:right="12" w:firstLine="0"/>
              <w:jc w:val="righ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 xml:space="preserve">10 </w:t>
            </w:r>
            <w:r>
              <w:br/>
            </w: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0</w:t>
            </w:r>
            <w:r>
              <w:br/>
            </w: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-10</w:t>
            </w: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-20</w:t>
            </w:r>
          </w:p>
        </w:tc>
        <w:tc>
          <w:tcPr>
            <w:tcW w:type="dxa" w:w="2724"/>
            <w:gridSpan w:val="6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716" w:after="0"/>
              <w:ind w:left="92" w:right="0" w:firstLine="0"/>
              <w:jc w:val="lef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5</w:t>
            </w:r>
          </w:p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38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848688"/>
                <w:sz w:val="17"/>
              </w:rPr>
              <w:t>6</w:t>
            </w:r>
          </w:p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52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6D6F71"/>
                <w:sz w:val="17"/>
              </w:rPr>
              <w:t>35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126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724"/>
            <w:gridSpan w:val="6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72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6D6F71"/>
                <w:sz w:val="17"/>
              </w:rPr>
              <w:t>30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724"/>
            <w:gridSpan w:val="6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14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848688"/>
                <w:sz w:val="17"/>
              </w:rPr>
              <w:t>4</w:t>
            </w:r>
          </w:p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130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6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82" w:after="0"/>
              <w:ind w:left="0" w:right="10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8.5 mol%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724"/>
            <w:gridSpan w:val="6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72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6D6F71"/>
                <w:sz w:val="17"/>
              </w:rPr>
              <w:t>25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128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724"/>
            <w:gridSpan w:val="6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14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848688"/>
                <w:sz w:val="17"/>
              </w:rPr>
              <w:t>2</w:t>
            </w:r>
          </w:p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6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10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4.8 mol%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72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6D6F71"/>
                <w:sz w:val="17"/>
              </w:rPr>
              <w:t>20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116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6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43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HfO</w:t>
            </w:r>
            <w:r>
              <w:rPr>
                <w:w w:val="96.30726900967684"/>
                <w:rFonts w:ascii="Helvetica" w:hAnsi="Helvetica" w:eastAsia="Helvetica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724"/>
            <w:gridSpan w:val="6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14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848688"/>
                <w:sz w:val="17"/>
              </w:rPr>
              <w:t>0</w:t>
            </w:r>
          </w:p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724"/>
            <w:gridSpan w:val="6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70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6D6F71"/>
                <w:sz w:val="17"/>
              </w:rPr>
              <w:t>15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72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0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-5 -4 -3 -2 -1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0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0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0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1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0" w:after="0"/>
              <w:ind w:left="0" w:right="0" w:firstLine="0"/>
              <w:jc w:val="righ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2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0" w:after="0"/>
              <w:ind w:left="0" w:right="86" w:firstLine="0"/>
              <w:jc w:val="righ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3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0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4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3632"/>
            <w:gridSpan w:val="8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252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8" w:after="0"/>
              <w:ind w:left="0" w:right="116" w:firstLine="0"/>
              <w:jc w:val="righ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3.1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8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4.8</w:t>
            </w:r>
          </w:p>
        </w:tc>
        <w:tc>
          <w:tcPr>
            <w:tcW w:type="dxa" w:w="4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8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7.1</w:t>
            </w:r>
          </w:p>
        </w:tc>
        <w:tc>
          <w:tcPr>
            <w:tcW w:type="dxa" w:w="3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8" w:after="0"/>
              <w:ind w:left="0" w:right="0" w:firstLine="0"/>
              <w:jc w:val="righ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8.5</w:t>
            </w:r>
          </w:p>
        </w:tc>
        <w:tc>
          <w:tcPr>
            <w:tcW w:type="dxa" w:w="6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8" w:after="0"/>
              <w:ind w:left="0" w:right="104" w:firstLine="0"/>
              <w:jc w:val="righ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11.4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  <w:tr>
        <w:trPr>
          <w:trHeight w:hRule="exact" w:val="286"/>
        </w:trPr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26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2" w:after="0"/>
              <w:ind w:left="0" w:right="0" w:firstLine="0"/>
              <w:jc w:val="center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Electric Field [MV/cm]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908"/>
            <w:gridSpan w:val="2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25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2" w:after="0"/>
              <w:ind w:left="50" w:right="0" w:firstLine="0"/>
              <w:jc w:val="left"/>
            </w:pPr>
            <w:r>
              <w:rPr>
                <w:w w:val="98.72705796185662"/>
                <w:rFonts w:ascii="Helvetica" w:hAnsi="Helvetica" w:eastAsia="Helvetica"/>
                <w:b w:val="0"/>
                <w:i w:val="0"/>
                <w:color w:val="221F1F"/>
                <w:sz w:val="17"/>
              </w:rPr>
              <w:t>Aluminum Concentration [mol%]</w:t>
            </w:r>
          </w:p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  <w:tc>
          <w:tcPr>
            <w:tcW w:type="dxa" w:w="45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0" w:lineRule="exact" w:before="96" w:after="508"/>
        <w:ind w:left="0" w:right="864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 xml:space="preserve"> Figure  4 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a) Polarization hysteresis for PMA samples annealed at 1000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 for 20 s. Decreasing aluminium concentration yields an antiferroelectric-to-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ferroelectric transition whereas the pure hafnium oxide is paraelectric, as expected. b) Polarization hysteresis for PDA samples annealed at 1000 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for 20 s. The same antiferroelectric-to-ferroelectric transition as for the PMA samples can be observed but the remanent polarization is signifi cantly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lower. c) Polarization hysteresis of a HfO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MIM capacitor with 7.1 mol% of incorporated aluminium for different annealing temperatures. A transition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towards ferroelectric behavior can be observed if higher temperatures are used for the PMA. d) Remanent polarization and relative permittivity versus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amount of incorporated aluminium for PMA capacitors annealed at 1000 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 for 20 s.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1130300</wp:posOffset>
            </wp:positionV>
            <wp:extent cx="1651000" cy="10922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092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4559300</wp:posOffset>
            </wp:positionH>
            <wp:positionV relativeFrom="page">
              <wp:posOffset>1854200</wp:posOffset>
            </wp:positionV>
            <wp:extent cx="38100" cy="50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4622800</wp:posOffset>
            </wp:positionH>
            <wp:positionV relativeFrom="page">
              <wp:posOffset>1816100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5156200</wp:posOffset>
            </wp:positionH>
            <wp:positionV relativeFrom="page">
              <wp:posOffset>1765300</wp:posOffset>
            </wp:positionV>
            <wp:extent cx="596900" cy="3556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5448300</wp:posOffset>
            </wp:positionH>
            <wp:positionV relativeFrom="page">
              <wp:posOffset>1460500</wp:posOffset>
            </wp:positionV>
            <wp:extent cx="381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1422400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1244600</wp:posOffset>
            </wp:positionV>
            <wp:extent cx="787400" cy="165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4368800</wp:posOffset>
            </wp:positionH>
            <wp:positionV relativeFrom="page">
              <wp:posOffset>1231900</wp:posOffset>
            </wp:positionV>
            <wp:extent cx="1333500" cy="8763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7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2882900</wp:posOffset>
            </wp:positionV>
            <wp:extent cx="1651000" cy="10922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092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</wp:posOffset>
            </wp:positionH>
            <wp:positionV relativeFrom="page">
              <wp:posOffset>307340</wp:posOffset>
            </wp:positionV>
            <wp:extent cx="745490" cy="380352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3803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279400</wp:posOffset>
            </wp:positionV>
            <wp:extent cx="6311900" cy="419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19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5874"/>
          <w:pgMar w:top="0" w:right="0" w:bottom="380" w:left="1020" w:header="720" w:footer="720" w:gutter="0"/>
          <w:cols w:space="720" w:num="1" w:equalWidth="0"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 xml:space="preserve"> 3. Conclusions </w:t>
      </w:r>
    </w:p>
    <w:p>
      <w:pPr>
        <w:autoSpaceDN w:val="0"/>
        <w:autoSpaceDE w:val="0"/>
        <w:widowControl/>
        <w:spacing w:line="220" w:lineRule="exact" w:before="128" w:after="0"/>
        <w:ind w:left="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Thin fi lms of aluminium-doped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of 16 nm thickness were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investigated. Electrical characterization showed the incipient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antiferroelectric and ferroelectric nature of the material system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due to the incorporation of aluminium into the host lattice.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Electrical permittivities reached maximum values of around 35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for samples in which antiferroelectricity had been provoked. </w:t>
      </w:r>
      <w:r>
        <w:rPr>
          <w:rFonts w:ascii="ScalaLF" w:hAnsi="ScalaLF" w:eastAsia="ScalaLF"/>
          <w:b w:val="0"/>
          <w:i w:val="0"/>
          <w:color w:val="221F1F"/>
          <w:sz w:val="18"/>
        </w:rPr>
        <w:t>GI-XRD analysis indicated that the necessary non-centrosym-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metry of the elementary cell can most likely be assigned to an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orthorhombic Pbc2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phase located in the vicinity of the transi-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tion from purely monoclinic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to the cubic lattice of highly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doped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. </w:t>
      </w:r>
    </w:p>
    <w:p>
      <w:pPr>
        <w:autoSpaceDN w:val="0"/>
        <w:autoSpaceDE w:val="0"/>
        <w:widowControl/>
        <w:spacing w:line="218" w:lineRule="exact" w:before="0" w:after="0"/>
        <w:ind w:left="0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The recently discovered ferroelectric properties of this mate-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rial system are advantageous not only because of the extensive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industrial expertise regarding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-based dielectrics but also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because of the CMOS-integratability of both hafnium oxide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and aluminium. The authors anticipate that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ferroelec-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tric thin fi lms of only 16 nm thickness might be of interest to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various research and industry communities, especially because </w:t>
      </w:r>
      <w:r>
        <w:rPr>
          <w:rFonts w:ascii="ScalaLF" w:hAnsi="ScalaLF" w:eastAsia="ScalaLF"/>
          <w:b w:val="0"/>
          <w:i w:val="0"/>
          <w:color w:val="221F1F"/>
          <w:sz w:val="18"/>
        </w:rPr>
        <w:t>its properties are highly tunable (through the doping concen-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tration, annealing conditions, and mechanical confi nement). </w:t>
      </w:r>
      <w:r>
        <w:rPr>
          <w:rFonts w:ascii="ScalaLF" w:hAnsi="ScalaLF" w:eastAsia="ScalaLF"/>
          <w:b w:val="0"/>
          <w:i w:val="0"/>
          <w:color w:val="221F1F"/>
          <w:sz w:val="18"/>
        </w:rPr>
        <w:t>Applications like ferroelectric random access memories, piezo-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electric applications or ferroelectric fi eld effect transistors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27–30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]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might be envisioned. Furthermore, the fact that all ferroelectric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materials show pyroelectric as well as piezoelectric properties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31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]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extends the area of potential applications. The ferroelectricity </w:t>
      </w:r>
    </w:p>
    <w:p>
      <w:pPr>
        <w:sectPr>
          <w:type w:val="continuous"/>
          <w:pgSz w:w="11906" w:h="15874"/>
          <w:pgMar w:top="0" w:right="0" w:bottom="380" w:left="1020" w:header="720" w:footer="720" w:gutter="0"/>
          <w:cols w:space="720" w:num="2" w:equalWidth="0"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10" w:after="0"/>
        <w:ind w:left="120" w:right="864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HfO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might also help in advancing novel electronic devices,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like negative capacitance fi eld-effect transistors.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32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33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Moreover, </w:t>
      </w:r>
      <w:r>
        <w:rPr>
          <w:rFonts w:ascii="ScalaLF" w:hAnsi="ScalaLF" w:eastAsia="ScalaLF"/>
          <w:b w:val="0"/>
          <w:i w:val="0"/>
          <w:color w:val="221F1F"/>
          <w:sz w:val="18"/>
        </w:rPr>
        <w:t>the fact that ferroelectricity can be provoked at annealing tem-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peratures of up to 1000 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 demonstrates the viability for a wide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range of applications. </w:t>
      </w:r>
    </w:p>
    <w:p>
      <w:pPr>
        <w:autoSpaceDN w:val="0"/>
        <w:autoSpaceDE w:val="0"/>
        <w:widowControl/>
        <w:spacing w:line="260" w:lineRule="exact" w:before="436" w:after="0"/>
        <w:ind w:left="120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 xml:space="preserve"> 4. Experimental Section </w:t>
      </w:r>
    </w:p>
    <w:p>
      <w:pPr>
        <w:autoSpaceDN w:val="0"/>
        <w:autoSpaceDE w:val="0"/>
        <w:widowControl/>
        <w:spacing w:line="188" w:lineRule="exact" w:before="120" w:after="0"/>
        <w:ind w:left="120" w:right="924" w:firstLine="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The fabrication and characterization of the Pt/TiN/Al:HfO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/TiN capacitor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stack investigated within this study will be described in the following.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 JEL Eureka single wafer ALD reactor was used for manufacturing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 ferroelectric layers, whereas TiN top and bottom electrodes were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deposited in an ASM A412 batch furnace. The annealing steps were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performed using a single wafer Mattson RTP tool. Platinum dots were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deposited in a Bestec/Ferrotec EVM6 evaporation chamber. Physical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characterization was performed using a Bruker D8 Discover X-ray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diffractometer and a Veeco Dimension 3100 AFM. The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– </w:t>
      </w:r>
      <w:r>
        <w:rPr>
          <w:rFonts w:ascii="ScalaSansLF" w:hAnsi="ScalaSansLF" w:eastAsia="ScalaSansLF"/>
          <w:b w:val="0"/>
          <w:i/>
          <w:color w:val="221F1F"/>
          <w:sz w:val="16"/>
        </w:rPr>
        <w:t>E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hysteresis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measurements were obtained on an Aixacct TF Analyzer 1000. </w:t>
      </w:r>
    </w:p>
    <w:p>
      <w:pPr>
        <w:autoSpaceDN w:val="0"/>
        <w:autoSpaceDE w:val="0"/>
        <w:widowControl/>
        <w:spacing w:line="188" w:lineRule="exact" w:before="22" w:after="448"/>
        <w:ind w:left="120" w:right="924" w:firstLine="200"/>
        <w:jc w:val="both"/>
      </w:pPr>
      <w:r>
        <w:rPr>
          <w:rFonts w:ascii="ScalaSansLF" w:hAnsi="ScalaSansLF" w:eastAsia="ScalaSansLF"/>
          <w:b w:val="0"/>
          <w:i/>
          <w:color w:val="221F1F"/>
          <w:sz w:val="16"/>
        </w:rPr>
        <w:t>Atomic Layer Deposition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: Aluminium-doped HfO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thin fi lms were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deposited by atomic layer deposition on 300 mm Si substrates.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silicon substrate received a HF clean in order to minimize the native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oxide thickness between substrate and bottom electrode. Prior to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dielectric deposition, the 12 nm bottom electrode was chemically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vapor deposited (TiCl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/NH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) in a batch furnace. The ALD process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was based on the commercially available metal organic precursors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tetrakis(ethylmethylamino)hafnium (TEMAH) and trimethylaluminium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(TMA). Ozone was used as the oxidant and argon as the purge and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carrier gas. The Al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content in HfO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ranged from 3.1 to 11.4 mol-%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and was defi ned by varying the cycle ratio of the metal precursors and </w:t>
      </w:r>
    </w:p>
    <w:p>
      <w:pPr>
        <w:sectPr>
          <w:type w:val="nextColumn"/>
          <w:pgSz w:w="11906" w:h="15874"/>
          <w:pgMar w:top="0" w:right="0" w:bottom="380" w:left="1020" w:header="720" w:footer="720" w:gutter="0"/>
          <w:cols w:space="720" w:num="2" w:equalWidth="0"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21"/>
        <w:gridCol w:w="2721"/>
        <w:gridCol w:w="2721"/>
        <w:gridCol w:w="2721"/>
      </w:tblGrid>
      <w:tr>
        <w:trPr>
          <w:trHeight w:hRule="exact" w:val="184"/>
        </w:trPr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 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2412–2417</w:t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53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2012 WILEY-VCH Verlag GmbH &amp; Co. KGaA, Weinheim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78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wileyonlinelibrary.com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104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2415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0" w:right="0" w:bottom="380" w:left="1020" w:header="720" w:footer="720" w:gutter="0"/>
          <w:cols w:space="720" w:num="1" w:equalWidth="0">
            <w:col w:w="10886" w:space="0"/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12"/>
        <w:gridCol w:w="912"/>
        <w:gridCol w:w="912"/>
        <w:gridCol w:w="912"/>
        <w:gridCol w:w="912"/>
        <w:gridCol w:w="912"/>
        <w:gridCol w:w="912"/>
        <w:gridCol w:w="912"/>
        <w:gridCol w:w="912"/>
        <w:gridCol w:w="912"/>
        <w:gridCol w:w="912"/>
        <w:gridCol w:w="912"/>
      </w:tblGrid>
      <w:tr>
        <w:trPr>
          <w:trHeight w:hRule="exact" w:val="1700"/>
        </w:trPr>
        <w:tc>
          <w:tcPr>
            <w:tcW w:type="dxa" w:w="532"/>
            <w:vMerge w:val="restart"/>
            <w:tcBorders/>
            <w:shd w:fill="808284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86" w:after="0"/>
              <w:ind w:left="0" w:right="1690" w:firstLine="0"/>
              <w:jc w:val="right"/>
            </w:pPr>
            <w:r>
              <w:rPr>
                <w:rFonts w:ascii="Futura" w:hAnsi="Futura" w:eastAsia="Futura"/>
                <w:b/>
                <w:i w:val="0"/>
                <w:color w:val="FFFFFF"/>
                <w:sz w:val="24"/>
              </w:rPr>
              <w:t>FULL PAPER</w:t>
            </w:r>
          </w:p>
        </w:tc>
        <w:tc>
          <w:tcPr>
            <w:tcW w:type="dxa" w:w="17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58" w:after="0"/>
              <w:ind w:left="372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www.afm-journal.de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69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21"/>
              </w:rPr>
              <w:t xml:space="preserve">( 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21"/>
              </w:rPr>
              <w:t>a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21"/>
              </w:rPr>
              <w:t xml:space="preserve"> )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152" w:after="0"/>
              <w:ind w:left="108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221F1F"/>
                <w:sz w:val="16"/>
              </w:rPr>
              <w:t>HfO</w:t>
            </w:r>
            <w:r>
              <w:rPr>
                <w:rFonts w:ascii="Helvetica" w:hAnsi="Helvetica" w:eastAsia="Helvetica"/>
                <w:b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940" w:after="0"/>
              <w:ind w:left="0" w:right="734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221F1F"/>
                <w:sz w:val="16"/>
              </w:rPr>
              <w:t>TiN</w:t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934" w:after="0"/>
              <w:ind w:left="0" w:right="678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221F1F"/>
                <w:sz w:val="16"/>
              </w:rPr>
              <w:t>TiN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696" w:after="0"/>
              <w:ind w:left="0" w:right="12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21"/>
              </w:rPr>
              <w:t xml:space="preserve">( 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21"/>
              </w:rPr>
              <w:t>b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21"/>
              </w:rPr>
              <w:t xml:space="preserve"> )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0" w:after="0"/>
              <w:ind w:left="3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3"/>
              </w:rPr>
              <w:t>-124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9"/>
              </w:rPr>
              <w:t>m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3"/>
              </w:rPr>
              <w:t>133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9"/>
              </w:rPr>
              <w:t>m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6" w:after="0"/>
              <w:ind w:left="31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3"/>
              </w:rPr>
              <w:t>-241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9"/>
              </w:rPr>
              <w:t>m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3"/>
              </w:rPr>
              <w:t>-304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9"/>
              </w:rPr>
              <w:t>m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20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www.MaterialsViews.com</w:t>
            </w:r>
          </w:p>
        </w:tc>
      </w:tr>
      <w:tr>
        <w:trPr>
          <w:trHeight w:hRule="exact" w:val="1160"/>
        </w:trPr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0" w:after="0"/>
              <w:ind w:left="0" w:right="41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3"/>
              </w:rPr>
              <w:t>313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9"/>
              </w:rPr>
              <w:t>m</w:t>
            </w:r>
          </w:p>
        </w:tc>
      </w:tr>
      <w:tr>
        <w:trPr>
          <w:trHeight w:hRule="exact" w:val="462"/>
        </w:trPr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52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221F1F"/>
                <w:sz w:val="19"/>
              </w:rPr>
              <w:t>Intensity [a.u.]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0" w:after="0"/>
              <w:ind w:left="116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221F1F"/>
                <w:sz w:val="16"/>
              </w:rPr>
              <w:t>3.1 mol%</w:t>
            </w:r>
          </w:p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40" w:after="0"/>
              <w:ind w:left="4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sity[a.u.]</w:t>
            </w:r>
          </w:p>
        </w:tc>
        <w:tc>
          <w:tcPr>
            <w:tcW w:type="dxa" w:w="9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324" w:after="0"/>
              <w:ind w:left="0" w:right="20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HfO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12"/>
              </w:rPr>
              <w:t>2</w:t>
            </w:r>
          </w:p>
        </w:tc>
        <w:tc>
          <w:tcPr>
            <w:tcW w:type="dxa" w:w="912"/>
            <w:vMerge/>
            <w:tcBorders/>
          </w:tcPr>
          <w:p/>
        </w:tc>
      </w:tr>
      <w:tr>
        <w:trPr>
          <w:trHeight w:hRule="exact" w:val="224"/>
        </w:trPr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64" w:after="0"/>
              <w:ind w:left="108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221F1F"/>
                <w:sz w:val="16"/>
              </w:rPr>
              <w:t>4.8 mol%</w:t>
            </w:r>
          </w:p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3648"/>
            <w:gridSpan w:val="4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</w:tr>
      <w:tr>
        <w:trPr>
          <w:trHeight w:hRule="exact" w:val="414"/>
        </w:trPr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848688"/>
                <w:sz w:val="13"/>
              </w:rPr>
              <w:t>331</w:t>
            </w:r>
            <w:r>
              <w:rPr>
                <w:rFonts w:ascii="Helvetica" w:hAnsi="Helvetica" w:eastAsia="Helvetica"/>
                <w:b w:val="0"/>
                <w:i w:val="0"/>
                <w:color w:val="848688"/>
                <w:sz w:val="9"/>
              </w:rPr>
              <w:t>o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6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848688"/>
                <w:sz w:val="13"/>
              </w:rPr>
              <w:t>133</w:t>
            </w:r>
            <w:r>
              <w:rPr>
                <w:rFonts w:ascii="Helvetica" w:hAnsi="Helvetica" w:eastAsia="Helvetica"/>
                <w:b w:val="0"/>
                <w:i w:val="0"/>
                <w:color w:val="848688"/>
                <w:sz w:val="9"/>
              </w:rPr>
              <w:t>o</w:t>
            </w:r>
          </w:p>
        </w:tc>
        <w:tc>
          <w:tcPr>
            <w:tcW w:type="dxa" w:w="44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11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848688"/>
                <w:sz w:val="13"/>
              </w:rPr>
              <w:t>421</w:t>
            </w:r>
            <w:r>
              <w:rPr>
                <w:rFonts w:ascii="Helvetica" w:hAnsi="Helvetica" w:eastAsia="Helvetica"/>
                <w:b w:val="0"/>
                <w:i w:val="0"/>
                <w:color w:val="848688"/>
                <w:sz w:val="9"/>
              </w:rPr>
              <w:t>o</w:t>
            </w:r>
          </w:p>
        </w:tc>
        <w:tc>
          <w:tcPr>
            <w:tcW w:type="dxa" w:w="912"/>
            <w:vMerge/>
            <w:tcBorders/>
          </w:tcPr>
          <w:p/>
        </w:tc>
      </w:tr>
      <w:tr>
        <w:trPr>
          <w:trHeight w:hRule="exact" w:val="558"/>
        </w:trPr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12" w:after="0"/>
              <w:ind w:left="108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221F1F"/>
                <w:sz w:val="16"/>
              </w:rPr>
              <w:t>7.1 mol%</w:t>
            </w:r>
          </w:p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1824"/>
            <w:gridSpan w:val="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</w:tr>
      <w:tr>
        <w:trPr>
          <w:trHeight w:hRule="exact" w:val="522"/>
        </w:trPr>
        <w:tc>
          <w:tcPr>
            <w:tcW w:type="dxa" w:w="5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7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52" w:after="0"/>
              <w:ind w:left="0" w:right="36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221F1F"/>
                <w:sz w:val="19"/>
              </w:rPr>
              <w:t>Int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20" w:after="0"/>
              <w:ind w:left="108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221F1F"/>
                <w:sz w:val="16"/>
              </w:rPr>
              <w:t>8.5 mol %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40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Inten</w:t>
            </w:r>
          </w:p>
        </w:tc>
        <w:tc>
          <w:tcPr>
            <w:tcW w:type="dxa" w:w="9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76" w:after="0"/>
              <w:ind w:left="17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848688"/>
                <w:sz w:val="19"/>
              </w:rPr>
              <w:t>4.8 mol%</w:t>
            </w:r>
          </w:p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26"/>
        </w:trPr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76" w:after="0"/>
              <w:ind w:left="108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221F1F"/>
                <w:sz w:val="16"/>
              </w:rPr>
              <w:t>11.4 mol%</w:t>
            </w:r>
          </w:p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540"/>
            <w:gridSpan w:val="2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0" w:after="0"/>
              <w:ind w:left="0" w:right="3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3"/>
              </w:rPr>
              <w:t>331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9"/>
              </w:rPr>
              <w:t>c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7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3"/>
              </w:rPr>
              <w:t>420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9"/>
              </w:rPr>
              <w:t>c</w:t>
            </w:r>
          </w:p>
        </w:tc>
        <w:tc>
          <w:tcPr>
            <w:tcW w:type="dxa" w:w="91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exact" w:before="516" w:after="118"/>
        <w:ind w:left="0" w:right="1636" w:firstLine="0"/>
        <w:jc w:val="right"/>
      </w:pPr>
      <w:r>
        <w:rPr>
          <w:rFonts w:ascii="Helvetica" w:hAnsi="Helvetica" w:eastAsia="Helvetica"/>
          <w:b w:val="0"/>
          <w:i w:val="0"/>
          <w:color w:val="221F1F"/>
          <w:sz w:val="19"/>
        </w:rPr>
        <w:t>11.4 mol%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1701800</wp:posOffset>
            </wp:positionH>
            <wp:positionV relativeFrom="page">
              <wp:posOffset>4114800</wp:posOffset>
            </wp:positionV>
            <wp:extent cx="3187700" cy="7493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49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1701800</wp:posOffset>
            </wp:positionH>
            <wp:positionV relativeFrom="page">
              <wp:posOffset>1079500</wp:posOffset>
            </wp:positionV>
            <wp:extent cx="3187700" cy="30099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009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1079500</wp:posOffset>
            </wp:positionV>
            <wp:extent cx="812800" cy="30099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3009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6172200</wp:posOffset>
            </wp:positionH>
            <wp:positionV relativeFrom="page">
              <wp:posOffset>307340</wp:posOffset>
            </wp:positionV>
            <wp:extent cx="745490" cy="380352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3803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279400</wp:posOffset>
            </wp:positionV>
            <wp:extent cx="6311900" cy="4064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06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80.0" w:type="dxa"/>
      </w:tblPr>
      <w:tblGrid>
        <w:gridCol w:w="912"/>
        <w:gridCol w:w="912"/>
        <w:gridCol w:w="912"/>
        <w:gridCol w:w="912"/>
        <w:gridCol w:w="912"/>
        <w:gridCol w:w="912"/>
        <w:gridCol w:w="912"/>
        <w:gridCol w:w="912"/>
        <w:gridCol w:w="912"/>
        <w:gridCol w:w="912"/>
        <w:gridCol w:w="912"/>
        <w:gridCol w:w="912"/>
      </w:tblGrid>
      <w:tr>
        <w:trPr>
          <w:trHeight w:hRule="exact" w:val="322"/>
        </w:trPr>
        <w:tc>
          <w:tcPr>
            <w:tcW w:type="dxa" w:w="2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14" w:val="left"/>
                <w:tab w:pos="1584" w:val="left"/>
                <w:tab w:pos="2054" w:val="left"/>
              </w:tabs>
              <w:autoSpaceDE w:val="0"/>
              <w:widowControl/>
              <w:spacing w:line="58" w:lineRule="exact" w:before="148" w:after="0"/>
              <w:ind w:left="1206" w:right="144" w:firstLine="0"/>
              <w:jc w:val="left"/>
            </w:pP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13"/>
              </w:rPr>
              <w:t xml:space="preserve">monoclinic </w:t>
            </w:r>
            <w:r>
              <w:br/>
            </w:r>
            <w:r>
              <w:rPr>
                <w:rFonts w:ascii="Helvetica" w:hAnsi="Helvetica" w:eastAsia="Helvetica"/>
                <w:b/>
                <w:i w:val="0"/>
                <w:color w:val="FFFFFF"/>
                <w:sz w:val="19"/>
              </w:rPr>
              <w:t xml:space="preserve">d </w:t>
            </w:r>
            <w:r>
              <w:br/>
            </w: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 xml:space="preserve">10 </w:t>
            </w: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20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30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4" w:after="0"/>
              <w:ind w:left="0" w:right="10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40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4" w:after="0"/>
              <w:ind w:left="0" w:right="22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50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60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70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80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4" w:after="0"/>
              <w:ind w:left="0" w:right="8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90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1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80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85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10" w:after="0"/>
              <w:ind w:left="18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90</w:t>
            </w:r>
          </w:p>
        </w:tc>
      </w:tr>
      <w:tr>
        <w:trPr>
          <w:trHeight w:hRule="exact" w:val="320"/>
        </w:trPr>
        <w:tc>
          <w:tcPr>
            <w:tcW w:type="dxa" w:w="2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68" w:val="left"/>
              </w:tabs>
              <w:autoSpaceDE w:val="0"/>
              <w:widowControl/>
              <w:spacing w:line="4" w:lineRule="exact" w:before="182" w:after="0"/>
              <w:ind w:left="1204" w:right="288" w:firstLine="0"/>
              <w:jc w:val="left"/>
            </w:pP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13"/>
              </w:rPr>
              <w:t xml:space="preserve">tetragonal </w:t>
            </w:r>
            <w:r>
              <w:br/>
            </w:r>
            <w:r>
              <w:rPr>
                <w:rFonts w:ascii="Helvetica" w:hAnsi="Helvetica" w:eastAsia="Helvetica"/>
                <w:b/>
                <w:i w:val="0"/>
                <w:color w:val="FFFFFF"/>
                <w:sz w:val="19"/>
              </w:rPr>
              <w:t>d</w:t>
            </w:r>
          </w:p>
          <w:p>
            <w:pPr>
              <w:autoSpaceDN w:val="0"/>
              <w:tabs>
                <w:tab w:pos="2050" w:val="left"/>
              </w:tabs>
              <w:autoSpaceDE w:val="0"/>
              <w:widowControl/>
              <w:spacing w:line="220" w:lineRule="exact" w:before="0" w:after="0"/>
              <w:ind w:left="140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 xml:space="preserve">10 </w:t>
            </w: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20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30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11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40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FFFFFF"/>
                <w:sz w:val="19"/>
              </w:rPr>
              <w:t>2</w:t>
            </w:r>
            <w:r>
              <w:rPr>
                <w:rFonts w:ascii="Symbol" w:hAnsi="Symbol" w:eastAsia="Symbol"/>
                <w:b w:val="0"/>
                <w:i w:val="0"/>
                <w:color w:val="FFFFFF"/>
                <w:sz w:val="19"/>
              </w:rPr>
              <w:t>θ</w:t>
            </w:r>
            <w:r>
              <w:rPr>
                <w:rFonts w:ascii="Helvetica" w:hAnsi="Helvetica" w:eastAsia="Helvetica"/>
                <w:b/>
                <w:i w:val="0"/>
                <w:color w:val="FFFFFF"/>
                <w:sz w:val="19"/>
              </w:rPr>
              <w:t xml:space="preserve"> [°] </w:t>
            </w: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50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60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70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80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8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90</w:t>
            </w:r>
          </w:p>
        </w:tc>
        <w:tc>
          <w:tcPr>
            <w:tcW w:type="dxa" w:w="912"/>
            <w:vMerge/>
            <w:tcBorders/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2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9"/>
              </w:rPr>
              <w:t>θ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 xml:space="preserve"> [°]</w:t>
            </w:r>
          </w:p>
        </w:tc>
        <w:tc>
          <w:tcPr>
            <w:tcW w:type="dxa" w:w="912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90" w:val="left"/>
              </w:tabs>
              <w:autoSpaceDE w:val="0"/>
              <w:widowControl/>
              <w:spacing w:line="4" w:lineRule="exact" w:before="162" w:after="0"/>
              <w:ind w:left="1214" w:right="0" w:firstLine="0"/>
              <w:jc w:val="left"/>
            </w:pP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13"/>
              </w:rPr>
              <w:t xml:space="preserve">cubic </w:t>
            </w:r>
            <w:r>
              <w:br/>
            </w:r>
            <w:r>
              <w:rPr>
                <w:rFonts w:ascii="Helvetica" w:hAnsi="Helvetica" w:eastAsia="Helvetica"/>
                <w:b/>
                <w:i w:val="0"/>
                <w:color w:val="FFFFFF"/>
                <w:sz w:val="19"/>
              </w:rPr>
              <w:t>d</w:t>
            </w:r>
          </w:p>
          <w:p>
            <w:pPr>
              <w:autoSpaceDN w:val="0"/>
              <w:autoSpaceDE w:val="0"/>
              <w:widowControl/>
              <w:spacing w:line="216" w:lineRule="exact" w:before="0" w:after="0"/>
              <w:ind w:left="0" w:right="34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10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4" w:after="0"/>
              <w:ind w:left="8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20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30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4" w:after="0"/>
              <w:ind w:left="0" w:right="12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40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FFFFFF"/>
                <w:sz w:val="19"/>
              </w:rPr>
              <w:t>2</w:t>
            </w:r>
            <w:r>
              <w:rPr>
                <w:rFonts w:ascii="Symbol" w:hAnsi="Symbol" w:eastAsia="Symbol"/>
                <w:b w:val="0"/>
                <w:i w:val="0"/>
                <w:color w:val="FFFFFF"/>
                <w:sz w:val="19"/>
              </w:rPr>
              <w:t>θ</w:t>
            </w:r>
            <w:r>
              <w:rPr>
                <w:rFonts w:ascii="Helvetica" w:hAnsi="Helvetica" w:eastAsia="Helvetica"/>
                <w:b/>
                <w:i w:val="0"/>
                <w:color w:val="FFFFFF"/>
                <w:sz w:val="19"/>
              </w:rPr>
              <w:t xml:space="preserve"> [°]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60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70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80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4" w:after="0"/>
              <w:ind w:left="0" w:right="10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90</w:t>
            </w:r>
          </w:p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90" w:val="left"/>
              </w:tabs>
              <w:autoSpaceDE w:val="0"/>
              <w:widowControl/>
              <w:spacing w:line="8" w:lineRule="exact" w:before="172" w:after="0"/>
              <w:ind w:left="1206" w:right="144" w:firstLine="0"/>
              <w:jc w:val="left"/>
            </w:pP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848688"/>
                <w:sz w:val="13"/>
              </w:rPr>
              <w:t xml:space="preserve">orthorombic </w:t>
            </w:r>
            <w:r>
              <w:br/>
            </w:r>
            <w:r>
              <w:rPr>
                <w:rFonts w:ascii="Helvetica" w:hAnsi="Helvetica" w:eastAsia="Helvetica"/>
                <w:b/>
                <w:i w:val="0"/>
                <w:color w:val="FFFFFF"/>
                <w:sz w:val="19"/>
              </w:rPr>
              <w:t>d</w:t>
            </w:r>
          </w:p>
          <w:p>
            <w:pPr>
              <w:autoSpaceDN w:val="0"/>
              <w:tabs>
                <w:tab w:pos="2056" w:val="left"/>
              </w:tabs>
              <w:autoSpaceDE w:val="0"/>
              <w:widowControl/>
              <w:spacing w:line="216" w:lineRule="exact" w:before="0" w:after="0"/>
              <w:ind w:left="141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 xml:space="preserve">10 </w:t>
            </w: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20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30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4" w:after="0"/>
              <w:ind w:left="0" w:right="11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40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5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FFFFFF"/>
                <w:sz w:val="19"/>
              </w:rPr>
              <w:t>2</w:t>
            </w:r>
            <w:r>
              <w:rPr>
                <w:rFonts w:ascii="Symbol" w:hAnsi="Symbol" w:eastAsia="Symbol"/>
                <w:b w:val="0"/>
                <w:i w:val="0"/>
                <w:color w:val="FFFFFF"/>
                <w:sz w:val="19"/>
              </w:rPr>
              <w:t>θ</w:t>
            </w:r>
            <w:r>
              <w:rPr>
                <w:rFonts w:ascii="Helvetica" w:hAnsi="Helvetica" w:eastAsia="Helvetica"/>
                <w:b/>
                <w:i w:val="0"/>
                <w:color w:val="FFFFFF"/>
                <w:sz w:val="19"/>
              </w:rPr>
              <w:t xml:space="preserve"> [°]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60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70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80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4" w:after="0"/>
              <w:ind w:left="0" w:right="9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9"/>
              </w:rPr>
              <w:t>90</w:t>
            </w:r>
          </w:p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</w:tr>
      <w:tr>
        <w:trPr>
          <w:trHeight w:hRule="exact" w:val="342"/>
        </w:trPr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0" w:right="33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10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9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20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30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0" w:right="12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40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FFFFFF"/>
                <w:sz w:val="19"/>
              </w:rPr>
              <w:t>2</w:t>
            </w:r>
            <w:r>
              <w:rPr>
                <w:rFonts w:ascii="Symbol" w:hAnsi="Symbol" w:eastAsia="Symbol"/>
                <w:b w:val="0"/>
                <w:i w:val="0"/>
                <w:color w:val="FFFFFF"/>
                <w:sz w:val="19"/>
              </w:rPr>
              <w:t>θ</w:t>
            </w:r>
            <w:r>
              <w:rPr>
                <w:rFonts w:ascii="Helvetica" w:hAnsi="Helvetica" w:eastAsia="Helvetica"/>
                <w:b/>
                <w:i w:val="0"/>
                <w:color w:val="FFFFFF"/>
                <w:sz w:val="19"/>
              </w:rPr>
              <w:t xml:space="preserve"> [°]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60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70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80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0" w:right="10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9"/>
              </w:rPr>
              <w:t>90</w:t>
            </w:r>
          </w:p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  <w:tc>
          <w:tcPr>
            <w:tcW w:type="dxa" w:w="91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4" w:lineRule="exact" w:before="22" w:after="0"/>
        <w:ind w:left="0" w:right="5558" w:firstLine="0"/>
        <w:jc w:val="right"/>
      </w:pPr>
      <w:r>
        <w:rPr>
          <w:rFonts w:ascii="Helvetica" w:hAnsi="Helvetica" w:eastAsia="Helvetica"/>
          <w:b w:val="0"/>
          <w:i w:val="0"/>
          <w:color w:val="221F1F"/>
          <w:sz w:val="19"/>
        </w:rPr>
        <w:t>2</w:t>
      </w:r>
      <w:r>
        <w:rPr>
          <w:rFonts w:ascii="Symbol" w:hAnsi="Symbol" w:eastAsia="Symbol"/>
          <w:b w:val="0"/>
          <w:i w:val="0"/>
          <w:color w:val="221F1F"/>
          <w:sz w:val="19"/>
        </w:rPr>
        <w:t>θ</w:t>
      </w:r>
      <w:r>
        <w:rPr>
          <w:rFonts w:ascii="Helvetica" w:hAnsi="Helvetica" w:eastAsia="Helvetica"/>
          <w:b w:val="0"/>
          <w:i w:val="0"/>
          <w:color w:val="221F1F"/>
          <w:sz w:val="19"/>
        </w:rPr>
        <w:t xml:space="preserve"> [°]</w:t>
      </w:r>
    </w:p>
    <w:p>
      <w:pPr>
        <w:autoSpaceDN w:val="0"/>
        <w:autoSpaceDE w:val="0"/>
        <w:widowControl/>
        <w:spacing w:line="182" w:lineRule="exact" w:before="152" w:after="0"/>
        <w:ind w:left="964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 xml:space="preserve"> Figure  5 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a) GI-XRD diffractograms for PMA samples having different aluminium concentrations. A monoclinic-to-cubic phase transition is clearly </w:t>
      </w:r>
    </w:p>
    <w:p>
      <w:pPr>
        <w:autoSpaceDN w:val="0"/>
        <w:autoSpaceDE w:val="0"/>
        <w:widowControl/>
        <w:spacing w:line="200" w:lineRule="exact" w:before="8" w:after="0"/>
        <w:ind w:left="96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visible for increasing aluminium content. The powder diffraction patterns as well as the calculated orthorhombic Pbc2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1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reference pattern are shown </w:t>
      </w:r>
    </w:p>
    <w:p>
      <w:pPr>
        <w:autoSpaceDN w:val="0"/>
        <w:autoSpaceDE w:val="0"/>
        <w:widowControl/>
        <w:spacing w:line="208" w:lineRule="exact" w:before="0" w:after="0"/>
        <w:ind w:left="96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below the diffractograms. The composition which possesses the purest ferroelectric properties is highlighted in blue. b) Enlarged 2 </w:t>
      </w:r>
      <w:r>
        <w:rPr>
          <w:rFonts w:ascii="Symbol" w:hAnsi="Symbol" w:eastAsia="Symbol"/>
          <w:b w:val="0"/>
          <w:i w:val="0"/>
          <w:color w:val="221F1F"/>
          <w:sz w:val="16"/>
        </w:rPr>
        <w:t>θ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scans from 80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</w:p>
    <w:p>
      <w:pPr>
        <w:autoSpaceDN w:val="0"/>
        <w:autoSpaceDE w:val="0"/>
        <w:widowControl/>
        <w:spacing w:line="222" w:lineRule="exact" w:before="0" w:after="0"/>
        <w:ind w:left="96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to 90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for paraelectric HfO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containing no aluminium, ferroelectric HfO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containing 4.8 mol% aluminium, and, again, paraelectric HfO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containing </w:t>
      </w:r>
    </w:p>
    <w:p>
      <w:pPr>
        <w:autoSpaceDN w:val="0"/>
        <w:autoSpaceDE w:val="0"/>
        <w:widowControl/>
        <w:spacing w:line="180" w:lineRule="exact" w:before="0" w:after="0"/>
        <w:ind w:left="96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11.8 mol% aluminium. The diffractogram of the ferroelectric composition shows a triplet which would not be expected for monoclinic, tetragonal, or </w:t>
      </w:r>
    </w:p>
    <w:p>
      <w:pPr>
        <w:autoSpaceDN w:val="0"/>
        <w:autoSpaceDE w:val="0"/>
        <w:widowControl/>
        <w:spacing w:line="180" w:lineRule="exact" w:before="10" w:after="550"/>
        <w:ind w:left="96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cubic phases. The dotted lines show results for PDA samples of the same composition. </w:t>
      </w:r>
    </w:p>
    <w:p>
      <w:pPr>
        <w:sectPr>
          <w:pgSz w:w="11906" w:h="15874"/>
          <w:pgMar w:top="0" w:right="960" w:bottom="380" w:left="0" w:header="720" w:footer="720" w:gutter="0"/>
          <w:cols w:space="720" w:num="1" w:equalWidth="0">
            <w:col w:w="10946" w:space="0"/>
            <w:col w:w="10886" w:space="0"/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964" w:right="122" w:firstLine="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monitored by inline X-ray photoelectron spectroscopy (XPS). A constant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thickness of 16 nm for all fi lms was achieved by adjusting the number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of Hf:Al super cycles, and was confi rmed by inline spectral ellipsometry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and high resolution transmission electron microscopy (HR-TEM).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Crystallization of the as deposited amorphous Al:HfO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thin fi lms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was induced by a 800 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C/20 s/N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or 1000 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C/20 s/N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rapid thermal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annealing (RTA) step, referred to in the text as PDA. Samples annealed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after chemical vapor deposited 20 nm TiN top electrode are referred to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in the text as samples treated with PMA. </w:t>
      </w:r>
    </w:p>
    <w:p>
      <w:pPr>
        <w:autoSpaceDN w:val="0"/>
        <w:autoSpaceDE w:val="0"/>
        <w:widowControl/>
        <w:spacing w:line="190" w:lineRule="exact" w:before="0" w:after="0"/>
        <w:ind w:left="964" w:right="122" w:firstLine="200"/>
        <w:jc w:val="both"/>
      </w:pPr>
      <w:r>
        <w:rPr>
          <w:rFonts w:ascii="ScalaSansLF" w:hAnsi="ScalaSansLF" w:eastAsia="ScalaSansLF"/>
          <w:b w:val="0"/>
          <w:i/>
          <w:color w:val="221F1F"/>
          <w:sz w:val="16"/>
        </w:rPr>
        <w:t>GI-XRD Characterization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: Since a thin fi lm capacitor stack was used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for our study, XRD characterization was performed under very small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incident angles (grazing incidence). An incident angle of 0.45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was found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to yield the highest intensity refl ections for pure HfO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and was used for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all measurements described. Furthermore, a Göbel mirror and a 0.2 mm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slit were used on the primary side and a Soller mount on the detector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side. For acquisition of the diffractograms, an integration time of 35 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per step and an angular resolution of 0.05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were chosen for the 10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to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90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interval of 2 </w:t>
      </w:r>
      <w:r>
        <w:rPr>
          <w:rFonts w:ascii="Symbol" w:hAnsi="Symbol" w:eastAsia="Symbol"/>
          <w:b w:val="0"/>
          <w:i w:val="0"/>
          <w:color w:val="221F1F"/>
          <w:sz w:val="16"/>
        </w:rPr>
        <w:t>θ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. For additional measurements in the interval 80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to 90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 integration time was increased to 250 s. Separate samples without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platinum dots were used for each of the acquired diffractograms. </w:t>
      </w:r>
    </w:p>
    <w:p>
      <w:pPr>
        <w:autoSpaceDN w:val="0"/>
        <w:autoSpaceDE w:val="0"/>
        <w:widowControl/>
        <w:spacing w:line="180" w:lineRule="exact" w:before="10" w:after="0"/>
        <w:ind w:left="1164" w:right="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16"/>
        </w:rPr>
        <w:t>Electrical Characterization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: The polarization versus electric fi eld </w:t>
      </w:r>
    </w:p>
    <w:p>
      <w:pPr>
        <w:sectPr>
          <w:type w:val="continuous"/>
          <w:pgSz w:w="11906" w:h="15874"/>
          <w:pgMar w:top="0" w:right="960" w:bottom="380" w:left="0" w:header="720" w:footer="720" w:gutter="0"/>
          <w:cols w:space="720" w:num="2" w:equalWidth="0">
            <w:col w:w="5944" w:space="0"/>
            <w:col w:w="5001" w:space="0"/>
            <w:col w:w="10946" w:space="0"/>
            <w:col w:w="10886" w:space="0"/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18" w:after="0"/>
        <w:ind w:left="122" w:right="20" w:firstLine="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amplifi er (Aixacct TF Analyzer 1000). Capacitors of 200  </w:t>
      </w:r>
      <w:r>
        <w:rPr>
          <w:rFonts w:ascii="Symbol" w:hAnsi="Symbol" w:eastAsia="Symbol"/>
          <w:b w:val="0"/>
          <w:i w:val="0"/>
          <w:color w:val="221F1F"/>
          <w:sz w:val="16"/>
        </w:rPr>
        <w:t>μ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m diameter were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used for all measurements and a current range of 100  </w:t>
      </w:r>
      <w:r>
        <w:rPr>
          <w:rFonts w:ascii="Symbol" w:hAnsi="Symbol" w:eastAsia="Symbol"/>
          <w:b w:val="0"/>
          <w:i w:val="0"/>
          <w:color w:val="221F1F"/>
          <w:sz w:val="16"/>
        </w:rPr>
        <w:t>μ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 provided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best signal-to-noise ratio. A frequency of 1 kHz was used for hysteresis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measurements with amplitudes ranges of 4.8, 5.6, and 6.4 V in order to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produce electric fi elds of 3, 3.5, and 4 MV cm </w:t>
      </w:r>
      <w:r>
        <w:rPr>
          <w:w w:val="101.81818008422852"/>
          <w:rFonts w:ascii="Symbol" w:hAnsi="Symbol" w:eastAsia="Symbol"/>
          <w:b w:val="0"/>
          <w:i w:val="0"/>
          <w:color w:val="221F1F"/>
          <w:sz w:val="11"/>
        </w:rPr>
        <w:t>−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 xml:space="preserve"> 1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. Before carrying out any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type of electrical characterization, the samples were cycled at least 1000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times in order to provide reproducible switching behavior. Even though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leakage currents can also be incorporated in a hysteresis measurement,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 dynamic leakage current compensation (DLCC)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[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34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]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showed that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leakage currents during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– </w:t>
      </w:r>
      <w:r>
        <w:rPr>
          <w:rFonts w:ascii="ScalaSansLF" w:hAnsi="ScalaSansLF" w:eastAsia="ScalaSansLF"/>
          <w:b w:val="0"/>
          <w:i/>
          <w:color w:val="221F1F"/>
          <w:sz w:val="16"/>
        </w:rPr>
        <w:t>E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measurements were negligible. </w:t>
      </w:r>
    </w:p>
    <w:p>
      <w:pPr>
        <w:autoSpaceDN w:val="0"/>
        <w:autoSpaceDE w:val="0"/>
        <w:widowControl/>
        <w:spacing w:line="260" w:lineRule="exact" w:before="400" w:after="0"/>
        <w:ind w:left="122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 xml:space="preserve"> Acknowledgements </w:t>
      </w:r>
    </w:p>
    <w:p>
      <w:pPr>
        <w:autoSpaceDN w:val="0"/>
        <w:autoSpaceDE w:val="0"/>
        <w:widowControl/>
        <w:spacing w:line="190" w:lineRule="exact" w:before="100" w:after="200"/>
        <w:ind w:left="122" w:right="20" w:firstLine="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D. Martin is acknowledged for AFM images. The authors would like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to thank Dr. U. Böttger for helpful discussions and Prof. A. Kersch for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graphical illustrations. The work for this paper was supported within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 scope of technology development by the EFRE fund of the European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Community and by funding from the Free State of Saxony (Project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HEIKO). The authors are responsible for the content of the paper. </w:t>
      </w:r>
    </w:p>
    <w:p>
      <w:pPr>
        <w:sectPr>
          <w:type w:val="nextColumn"/>
          <w:pgSz w:w="11906" w:h="15874"/>
          <w:pgMar w:top="0" w:right="960" w:bottom="380" w:left="0" w:header="720" w:footer="720" w:gutter="0"/>
          <w:cols w:space="720" w:num="2" w:equalWidth="0">
            <w:col w:w="5944" w:space="0"/>
            <w:col w:w="5001" w:space="0"/>
            <w:col w:w="10946" w:space="0"/>
            <w:col w:w="10886" w:space="0"/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2736"/>
        <w:gridCol w:w="2736"/>
        <w:gridCol w:w="2736"/>
        <w:gridCol w:w="2736"/>
      </w:tblGrid>
      <w:tr>
        <w:trPr>
          <w:trHeight w:hRule="exact" w:val="170"/>
        </w:trPr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820" w:after="0"/>
              <w:ind w:left="0" w:right="74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2416</w:t>
            </w:r>
          </w:p>
        </w:tc>
        <w:tc>
          <w:tcPr>
            <w:tcW w:type="dxa" w:w="7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4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measurements were derived from integrating the displacement current 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Received: December 22, 2011 </w:t>
            </w:r>
          </w:p>
        </w:tc>
      </w:tr>
      <w:tr>
        <w:trPr>
          <w:trHeight w:hRule="exact" w:val="200"/>
        </w:trPr>
        <w:tc>
          <w:tcPr>
            <w:tcW w:type="dxa" w:w="2736"/>
            <w:vMerge/>
            <w:tcBorders/>
          </w:tcPr>
          <w:p/>
        </w:tc>
        <w:tc>
          <w:tcPr>
            <w:tcW w:type="dxa" w:w="7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04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for an applied triangular AC voltage signal using a virtual ground 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514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Published online: March 15, 2012 </w:t>
            </w:r>
          </w:p>
        </w:tc>
      </w:tr>
      <w:tr>
        <w:trPr>
          <w:trHeight w:hRule="exact" w:val="634"/>
        </w:trPr>
        <w:tc>
          <w:tcPr>
            <w:tcW w:type="dxa" w:w="2736"/>
            <w:vMerge/>
            <w:tcBorders/>
          </w:tcPr>
          <w:p/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4" w:after="0"/>
              <w:ind w:left="104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wileyonlinelibrary.com</w:t>
            </w:r>
          </w:p>
        </w:tc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2" w:after="0"/>
              <w:ind w:left="1026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2012 WILEY-VCH Verlag GmbH &amp; Co. KGaA, Weinheim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4" w:after="0"/>
              <w:ind w:left="482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2412–2417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0" w:right="960" w:bottom="380" w:left="0" w:header="720" w:footer="720" w:gutter="0"/>
          <w:cols w:space="720" w:num="1" w:equalWidth="0">
            <w:col w:w="10946" w:space="0"/>
            <w:col w:w="5944" w:space="0"/>
            <w:col w:w="5001" w:space="0"/>
            <w:col w:w="10946" w:space="0"/>
            <w:col w:w="10886" w:space="0"/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43"/>
        <w:gridCol w:w="5443"/>
      </w:tblGrid>
      <w:tr>
        <w:trPr>
          <w:trHeight w:hRule="exact" w:val="5250"/>
        </w:trPr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20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www.MaterialsViews.com</w:t>
            </w:r>
          </w:p>
          <w:p>
            <w:pPr>
              <w:autoSpaceDN w:val="0"/>
              <w:autoSpaceDE w:val="0"/>
              <w:widowControl/>
              <w:spacing w:line="182" w:lineRule="exact" w:before="190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[ 1 ]  K. A.  Muller ,  H.  Burkard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Phys. Rev. B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1979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19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3593 . </w:t>
            </w:r>
          </w:p>
          <w:p>
            <w:pPr>
              <w:autoSpaceDN w:val="0"/>
              <w:tabs>
                <w:tab w:pos="320" w:val="left"/>
              </w:tabs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[ 2 ]  A. R.  Akbarzadeh ,  L.  Bellaiche ,  K.  Leung ,  J.  Iniguez ,  D.  Vanderbilt , </w:t>
            </w:r>
            <w:r>
              <w:tab/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Phys. Rev. B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2004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70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54103/1 . </w:t>
            </w:r>
          </w:p>
          <w:p>
            <w:pPr>
              <w:autoSpaceDN w:val="0"/>
              <w:tabs>
                <w:tab w:pos="320" w:val="left"/>
              </w:tabs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[ 3 ]  V. V.  Lemanov ,  A. V.  Sotnikov ,  E. P.  Smirnova ,  M.  Weihnacht , </w:t>
            </w:r>
            <w:r>
              <w:tab/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R.  Kunze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Solid State Commun.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1999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110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611 . 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320" w:right="120" w:hanging="320"/>
              <w:jc w:val="both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[ 4 ]  J. H.  Haeni ,  P.  Irvin ,  W.  Chang ,  R.  Uecker ,  P.  Reiche ,  Y. L.  Li ,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S.  Choudhury ,  W.  Tian ,  M. E.  Hawley ,  B.  Craigo ,  A. K.  Tagantsev ,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X. Q.  Pan ,  S. K.  Streiffer ,  L. Q.  Chen ,  S. W.  Kirchoefer ,  J.  Levy ,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D. G.  Schlom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Nature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2004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430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758 . </w:t>
            </w:r>
          </w:p>
          <w:p>
            <w:pPr>
              <w:autoSpaceDN w:val="0"/>
              <w:autoSpaceDE w:val="0"/>
              <w:widowControl/>
              <w:spacing w:line="182" w:lineRule="exact" w:before="18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[ 5 ]  T.  Mitsui ,  W. B.  Westphal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Phys. Rev.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1961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124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1354 . </w:t>
            </w:r>
          </w:p>
          <w:p>
            <w:pPr>
              <w:autoSpaceDN w:val="0"/>
              <w:tabs>
                <w:tab w:pos="320" w:val="left"/>
              </w:tabs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[ 6 ]  Y. S.  Kim ,  D. J.  Kim ,  T. H.  Kim ,  T. W.  Noh ,  J. S.  Choi ,  B. H.  Park , </w:t>
            </w:r>
            <w:r>
              <w:tab/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J. G.  Yoon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Appl. Phys. Lett.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2007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91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42908/1 . 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320" w:right="120" w:hanging="320"/>
              <w:jc w:val="both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[ 7 ]  D. A.  Tenne ,  A. K.  Farrar ,  C. M.  Brooks ,  T.  Heeg ,  J.  Schubert ,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H. W.  Jang ,  C. W.  Bark ,  C. M.  Folkman ,  C. B.  Eom ,  D. G.  Schlom 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Appl. Phys. Lett.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2010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97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142901/1 . </w:t>
            </w:r>
          </w:p>
          <w:p>
            <w:pPr>
              <w:autoSpaceDN w:val="0"/>
              <w:tabs>
                <w:tab w:pos="320" w:val="left"/>
              </w:tabs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[ 8 ]  M.  Itoh ,  R.  Wang ,  Y.  Inaguma ,  T.  Yamaguchi ,  Y. J.  Shan ,  T.  Nakamura , </w:t>
            </w:r>
            <w:r>
              <w:tab/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Phys. Rev. Lett.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1999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82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3540 . </w:t>
            </w:r>
          </w:p>
          <w:p>
            <w:pPr>
              <w:autoSpaceDN w:val="0"/>
              <w:autoSpaceDE w:val="0"/>
              <w:widowControl/>
              <w:spacing w:line="180" w:lineRule="exact" w:before="18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[ 9 ]  A. K.  Tagantsev ,  V. O.  Sherman ,  K. F.  Astafi ev ,  J.  Venkatesh ,  N.  Setter , </w:t>
            </w:r>
          </w:p>
        </w:tc>
        <w:tc>
          <w:tcPr>
            <w:tcW w:type="dxa" w:w="53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58" w:after="0"/>
              <w:ind w:left="0" w:right="372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www.afm-journal.de</w:t>
            </w:r>
          </w:p>
          <w:p>
            <w:pPr>
              <w:autoSpaceDN w:val="0"/>
              <w:tabs>
                <w:tab w:pos="442" w:val="left"/>
              </w:tabs>
              <w:autoSpaceDE w:val="0"/>
              <w:widowControl/>
              <w:spacing w:line="202" w:lineRule="exact" w:before="330" w:after="0"/>
              <w:ind w:left="122" w:right="288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[ 17 ]  T. S.  Boescke ,  J.  Mueller ,  D.  Braeuhaus ,  U.  Schroeder ,  U.  Boettger , </w:t>
            </w:r>
            <w:r>
              <w:tab/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Appl. Phys. Lett.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2011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99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102903 . 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442" w:right="332" w:hanging="320"/>
              <w:jc w:val="both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[ 18 ]  J.  Müller ,  U.  Schröder ,  T. S.  Böscke ,  I.  Müller ,  U.  Böttger ,  L.  Wilde ,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J.  Sundqvist ,  M.  Lemberger ,  P.  Kücher ,  T.  Mikolajick ,  L.  Frey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 xml:space="preserve">J. Appl.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Phys.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2011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110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114113 . 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442" w:right="332" w:hanging="320"/>
              <w:jc w:val="both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[ 19 ]  J.  Müller ,  T. S.  Böscke ,  D.  Bräuhaus ,  U.  Schröder ,  U.  Böttger ,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J.  Sundqvist ,  P.  Kücher ,  T.  Mikolajick ,  L.  Frey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Appl. Phys. Lett.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2011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99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112901 . </w:t>
            </w:r>
          </w:p>
          <w:p>
            <w:pPr>
              <w:autoSpaceDN w:val="0"/>
              <w:tabs>
                <w:tab w:pos="442" w:val="left"/>
              </w:tabs>
              <w:autoSpaceDE w:val="0"/>
              <w:widowControl/>
              <w:spacing w:line="198" w:lineRule="exact" w:before="4" w:after="0"/>
              <w:ind w:left="122" w:right="288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[ 20 ]  D. H.  Triyoso ,  P. J.  Tobin ,  B. E. White ,  Jr.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Appl. Phys. Lett.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2006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89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</w:t>
            </w:r>
            <w:r>
              <w:tab/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132903 . </w:t>
            </w:r>
          </w:p>
          <w:p>
            <w:pPr>
              <w:autoSpaceDN w:val="0"/>
              <w:autoSpaceDE w:val="0"/>
              <w:widowControl/>
              <w:spacing w:line="200" w:lineRule="exact" w:before="2" w:after="0"/>
              <w:ind w:left="122" w:right="576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[ 21 ]  F.  Chu ,  N.  Setter ,  A. K.  Tagantsev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J. Appl. Phys.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1993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74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5129 .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[ 22 ]  J.  Wang ,  H. P.  Li ,  R.  Stevens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J. Mater. Sci.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1992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27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5397 . </w:t>
            </w:r>
          </w:p>
          <w:p>
            <w:pPr>
              <w:autoSpaceDN w:val="0"/>
              <w:autoSpaceDE w:val="0"/>
              <w:widowControl/>
              <w:spacing w:line="182" w:lineRule="exact" w:before="18" w:after="0"/>
              <w:ind w:left="122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[ 23 ]  R. C.  Garvie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J. Phys. Chem.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1965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69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1238 . </w:t>
            </w:r>
          </w:p>
          <w:p>
            <w:pPr>
              <w:autoSpaceDN w:val="0"/>
              <w:tabs>
                <w:tab w:pos="442" w:val="left"/>
              </w:tabs>
              <w:autoSpaceDE w:val="0"/>
              <w:widowControl/>
              <w:spacing w:line="200" w:lineRule="exact" w:before="0" w:after="0"/>
              <w:ind w:left="122" w:right="288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[ 24 ]  N.  Claussen ,  R.  Wagner ,  L. J.  Gauckler ,  G.  Petzow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 xml:space="preserve">J. Am. Ceram. </w:t>
            </w:r>
            <w:r>
              <w:tab/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Soc.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1978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61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369 . 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0" w:right="332" w:firstLine="0"/>
              <w:jc w:val="righ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[ 25 ]  D. B.  Marshall ,  M. R.  Jarnes ,  J. R.  Porter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J. Am. Ceram. Soc.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1989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72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218 .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[ 26 ]  E. H.  Kisi ,  S. J.  Kennedy ,  C. J.  Howard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J. Am. Ceram. Soc.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1997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80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621 .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</wp:posOffset>
            </wp:positionH>
            <wp:positionV relativeFrom="page">
              <wp:posOffset>307340</wp:posOffset>
            </wp:positionV>
            <wp:extent cx="745490" cy="380352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3803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279400</wp:posOffset>
            </wp:positionV>
            <wp:extent cx="6311900" cy="419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19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5874"/>
          <w:pgMar w:top="0" w:right="0" w:bottom="380" w:left="1020" w:header="720" w:footer="720" w:gutter="0"/>
          <w:cols w:space="720" w:num="1" w:equalWidth="0">
            <w:col w:w="10886" w:space="0"/>
            <w:col w:w="10946" w:space="0"/>
            <w:col w:w="5944" w:space="0"/>
            <w:col w:w="5001" w:space="0"/>
            <w:col w:w="10946" w:space="0"/>
            <w:col w:w="10886" w:space="0"/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320" w:right="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16"/>
        </w:rPr>
        <w:t>J. Electroceram.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11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5 . </w:t>
      </w:r>
    </w:p>
    <w:p>
      <w:pPr>
        <w:autoSpaceDN w:val="0"/>
        <w:autoSpaceDE w:val="0"/>
        <w:widowControl/>
        <w:spacing w:line="182" w:lineRule="exact" w:before="18" w:after="0"/>
        <w:ind w:left="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[ 10 ]  W.  Zhong ,  D.  Vanderbilt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Phys. Rev. B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1996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53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5047 . </w:t>
      </w:r>
    </w:p>
    <w:p>
      <w:pPr>
        <w:autoSpaceDN w:val="0"/>
        <w:autoSpaceDE w:val="0"/>
        <w:widowControl/>
        <w:spacing w:line="182" w:lineRule="exact" w:before="18" w:after="0"/>
        <w:ind w:left="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[ 11 ]  N. A.  Pertsev ,  A. K.  Tagantsev ,  N.  Setter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Phys. Rev. B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61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</w:t>
      </w:r>
    </w:p>
    <w:p>
      <w:pPr>
        <w:sectPr>
          <w:type w:val="continuous"/>
          <w:pgSz w:w="11906" w:h="15874"/>
          <w:pgMar w:top="0" w:right="0" w:bottom="380" w:left="1020" w:header="720" w:footer="720" w:gutter="0"/>
          <w:cols w:space="720" w:num="2" w:equalWidth="0">
            <w:col w:w="4982" w:space="0"/>
            <w:col w:w="5903" w:space="0"/>
            <w:col w:w="10886" w:space="0"/>
            <w:col w:w="10946" w:space="0"/>
            <w:col w:w="5944" w:space="0"/>
            <w:col w:w="5001" w:space="0"/>
            <w:col w:w="10946" w:space="0"/>
            <w:col w:w="10886" w:space="0"/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1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[ 27 ]  D. H.  Looney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US 2791758</w:t>
      </w:r>
      <w:r>
        <w:rPr>
          <w:rFonts w:ascii="ScalaSansLF" w:hAnsi="ScalaSansLF" w:eastAsia="ScalaSansLF"/>
          <w:b/>
          <w:i w:val="0"/>
          <w:color w:val="221F1F"/>
          <w:sz w:val="16"/>
        </w:rPr>
        <w:t xml:space="preserve">1957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. </w:t>
      </w:r>
    </w:p>
    <w:p>
      <w:pPr>
        <w:autoSpaceDN w:val="0"/>
        <w:autoSpaceDE w:val="0"/>
        <w:widowControl/>
        <w:spacing w:line="198" w:lineRule="exact" w:before="0" w:after="20"/>
        <w:ind w:left="440" w:right="864" w:hanging="32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[ 28 ]  N.  Setter ,  D.  Damjanovic ,  L.  Eng ,  G.  Fox ,  S.   Gevorgian ,  S.  Hong 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A.  Kingon ,  H.  Kohlstedt ,  N. Y.  Park ,  G. B.  Stephenson ,  I.  Stolitchnov , </w:t>
      </w:r>
    </w:p>
    <w:p>
      <w:pPr>
        <w:sectPr>
          <w:type w:val="nextColumn"/>
          <w:pgSz w:w="11906" w:h="15874"/>
          <w:pgMar w:top="0" w:right="0" w:bottom="380" w:left="1020" w:header="720" w:footer="720" w:gutter="0"/>
          <w:cols w:space="720" w:num="2" w:equalWidth="0">
            <w:col w:w="4982" w:space="0"/>
            <w:col w:w="5903" w:space="0"/>
            <w:col w:w="10886" w:space="0"/>
            <w:col w:w="10946" w:space="0"/>
            <w:col w:w="5944" w:space="0"/>
            <w:col w:w="5001" w:space="0"/>
            <w:col w:w="10946" w:space="0"/>
            <w:col w:w="10886" w:space="0"/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tabs>
          <w:tab w:pos="5422" w:val="left"/>
        </w:tabs>
        <w:autoSpaceDE w:val="0"/>
        <w:widowControl/>
        <w:spacing w:line="180" w:lineRule="exact" w:before="0" w:after="0"/>
        <w:ind w:left="3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R825 .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A. K.  Taganstev ,  D. V.  Taylor ,  T.  Yamada ,  S.  Streiffer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J. Appl. Phys.</w:t>
      </w:r>
    </w:p>
    <w:p>
      <w:pPr>
        <w:autoSpaceDN w:val="0"/>
        <w:tabs>
          <w:tab w:pos="5422" w:val="left"/>
        </w:tabs>
        <w:autoSpaceDE w:val="0"/>
        <w:widowControl/>
        <w:spacing w:line="182" w:lineRule="exact" w:before="20" w:after="0"/>
        <w:ind w:left="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[ 12 ]  N. A.  Pertsev ,  A. G.  Zembilgotov ,  A. K.  Tagantsev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Ferroelectrics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1999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</w:t>
      </w:r>
      <w:r>
        <w:tab/>
      </w:r>
      <w:r>
        <w:rPr>
          <w:rFonts w:ascii="ScalaSansLF" w:hAnsi="ScalaSansLF" w:eastAsia="ScalaSansLF"/>
          <w:b/>
          <w:i w:val="0"/>
          <w:color w:val="221F1F"/>
          <w:sz w:val="16"/>
        </w:rPr>
        <w:t>2006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100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51606 . </w:t>
      </w:r>
    </w:p>
    <w:p>
      <w:pPr>
        <w:autoSpaceDN w:val="0"/>
        <w:tabs>
          <w:tab w:pos="5102" w:val="left"/>
        </w:tabs>
        <w:autoSpaceDE w:val="0"/>
        <w:widowControl/>
        <w:spacing w:line="182" w:lineRule="exact" w:before="16" w:after="0"/>
        <w:ind w:left="320" w:right="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16"/>
        </w:rPr>
        <w:t>223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79 .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[ 29 ]  S. Y.  Wu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IEEE Trans. Electron Devices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1974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ED-21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499 . </w:t>
      </w:r>
    </w:p>
    <w:p>
      <w:pPr>
        <w:autoSpaceDN w:val="0"/>
        <w:tabs>
          <w:tab w:pos="5102" w:val="left"/>
        </w:tabs>
        <w:autoSpaceDE w:val="0"/>
        <w:widowControl/>
        <w:spacing w:line="180" w:lineRule="exact" w:before="18" w:after="0"/>
        <w:ind w:left="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[ 13 ]  K. J.  Choi ,  M.  Biegalski ,  Y. L.  Li ,  A.  Sharan ,  J.  Schubert ,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[ 30 ]  J.  Hoffman ,  X.  Pan ,  J. W.  Reiner ,  F. J.  Walker ,  J. P.  Han ,  C. H.  Ahn , </w:t>
      </w:r>
    </w:p>
    <w:p>
      <w:pPr>
        <w:autoSpaceDN w:val="0"/>
        <w:tabs>
          <w:tab w:pos="5422" w:val="left"/>
        </w:tabs>
        <w:autoSpaceDE w:val="0"/>
        <w:widowControl/>
        <w:spacing w:line="182" w:lineRule="exact" w:before="18" w:after="18"/>
        <w:ind w:left="3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R.  Uecker ,  P.  Reiche ,  Y. B.  Chen ,  X. Q.  Pan ,  V.   Gopalan ,  L. Q.  Chen ,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Adv. Mater.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2957 . </w:t>
      </w:r>
    </w:p>
    <w:p>
      <w:pPr>
        <w:sectPr>
          <w:type w:val="continuous"/>
          <w:pgSz w:w="11906" w:h="15874"/>
          <w:pgMar w:top="0" w:right="0" w:bottom="380" w:left="1020" w:header="720" w:footer="720" w:gutter="0"/>
          <w:cols w:space="720" w:num="1" w:equalWidth="0">
            <w:col w:w="10886" w:space="0"/>
            <w:col w:w="4982" w:space="0"/>
            <w:col w:w="5903" w:space="0"/>
            <w:col w:w="10886" w:space="0"/>
            <w:col w:w="10946" w:space="0"/>
            <w:col w:w="5944" w:space="0"/>
            <w:col w:w="5001" w:space="0"/>
            <w:col w:w="10946" w:space="0"/>
            <w:col w:w="10886" w:space="0"/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3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D. G.  Schlom ,  C. B.  Eom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Science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306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1005 . </w:t>
      </w:r>
    </w:p>
    <w:p>
      <w:pPr>
        <w:autoSpaceDN w:val="0"/>
        <w:autoSpaceDE w:val="0"/>
        <w:widowControl/>
        <w:spacing w:line="182" w:lineRule="exact" w:before="18" w:after="0"/>
        <w:ind w:left="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[ 14 ]  G. A.  Samara ,  P. S.  Peercy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Phys. Rev. B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1973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1131 . </w:t>
      </w:r>
    </w:p>
    <w:p>
      <w:pPr>
        <w:autoSpaceDN w:val="0"/>
        <w:autoSpaceDE w:val="0"/>
        <w:widowControl/>
        <w:spacing w:line="182" w:lineRule="exact" w:before="18" w:after="0"/>
        <w:ind w:left="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[ 15 ]  F.  Gervais ,  W.  Kress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Phys. Rev. B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1983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2962 . </w:t>
      </w:r>
    </w:p>
    <w:p>
      <w:pPr>
        <w:autoSpaceDN w:val="0"/>
        <w:autoSpaceDE w:val="0"/>
        <w:widowControl/>
        <w:spacing w:line="180" w:lineRule="exact" w:before="18" w:after="0"/>
        <w:ind w:left="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[ 16 ]  P. D.  Mitev ,  K.  Hermansson ,  B.  Montanari ,  K.  Refson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Phys. Rev. B</w:t>
      </w:r>
    </w:p>
    <w:p>
      <w:pPr>
        <w:sectPr>
          <w:type w:val="continuous"/>
          <w:pgSz w:w="11906" w:h="15874"/>
          <w:pgMar w:top="0" w:right="0" w:bottom="380" w:left="1020" w:header="720" w:footer="720" w:gutter="0"/>
          <w:cols w:space="720" w:num="2" w:equalWidth="0">
            <w:col w:w="4962" w:space="0"/>
            <w:col w:w="5923" w:space="0"/>
            <w:col w:w="10886" w:space="0"/>
            <w:col w:w="4982" w:space="0"/>
            <w:col w:w="5903" w:space="0"/>
            <w:col w:w="10886" w:space="0"/>
            <w:col w:w="10946" w:space="0"/>
            <w:col w:w="5944" w:space="0"/>
            <w:col w:w="5001" w:space="0"/>
            <w:col w:w="10946" w:space="0"/>
            <w:col w:w="10886" w:space="0"/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14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[ 31 ]  J. F.  Scott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Science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315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954 . </w:t>
      </w:r>
    </w:p>
    <w:p>
      <w:pPr>
        <w:autoSpaceDN w:val="0"/>
        <w:autoSpaceDE w:val="0"/>
        <w:widowControl/>
        <w:spacing w:line="182" w:lineRule="exact" w:before="18" w:after="0"/>
        <w:ind w:left="14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[ 32 ]  S.  Salahuddin ,  S.  Datta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Nano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405 . </w:t>
      </w:r>
    </w:p>
    <w:p>
      <w:pPr>
        <w:autoSpaceDN w:val="0"/>
        <w:autoSpaceDE w:val="0"/>
        <w:widowControl/>
        <w:spacing w:line="182" w:lineRule="exact" w:before="18" w:after="0"/>
        <w:ind w:left="14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[ 33 ]  V. V.  Zhirnov ,  R. K.  Cavin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Nat. Nanotechnol.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,  77 . </w:t>
      </w:r>
    </w:p>
    <w:p>
      <w:pPr>
        <w:autoSpaceDN w:val="0"/>
        <w:autoSpaceDE w:val="0"/>
        <w:widowControl/>
        <w:spacing w:line="180" w:lineRule="exact" w:before="18" w:after="20"/>
        <w:ind w:left="14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[ 34 ]  R.  Meyer ,  R.  Waser ,  K.  Prume ,  T.  Schmitz ,  S.  Tiedke , 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Appl. Phys. Lett.</w:t>
      </w:r>
    </w:p>
    <w:p>
      <w:pPr>
        <w:sectPr>
          <w:type w:val="nextColumn"/>
          <w:pgSz w:w="11906" w:h="15874"/>
          <w:pgMar w:top="0" w:right="0" w:bottom="380" w:left="1020" w:header="720" w:footer="720" w:gutter="0"/>
          <w:cols w:space="720" w:num="2" w:equalWidth="0">
            <w:col w:w="4962" w:space="0"/>
            <w:col w:w="5923" w:space="0"/>
            <w:col w:w="10886" w:space="0"/>
            <w:col w:w="4982" w:space="0"/>
            <w:col w:w="5903" w:space="0"/>
            <w:col w:w="10886" w:space="0"/>
            <w:col w:w="10946" w:space="0"/>
            <w:col w:w="5944" w:space="0"/>
            <w:col w:w="5001" w:space="0"/>
            <w:col w:w="10946" w:space="0"/>
            <w:col w:w="10886" w:space="0"/>
            <w:col w:w="4982" w:space="0"/>
            <w:col w:w="5903" w:space="0"/>
            <w:col w:w="10886" w:space="0"/>
            <w:col w:w="10950" w:space="0"/>
            <w:col w:w="5948" w:space="0"/>
            <w:col w:w="5002" w:space="0"/>
            <w:col w:w="10950" w:space="0"/>
            <w:col w:w="10886" w:space="0"/>
            <w:col w:w="4982" w:space="0"/>
            <w:col w:w="5903" w:space="0"/>
            <w:col w:w="10886" w:space="0"/>
            <w:col w:w="10804" w:space="0"/>
            <w:col w:w="5830" w:space="0"/>
            <w:col w:w="4974" w:space="0"/>
            <w:col w:w="108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21"/>
        <w:gridCol w:w="2721"/>
        <w:gridCol w:w="2721"/>
        <w:gridCol w:w="2721"/>
      </w:tblGrid>
      <w:tr>
        <w:trPr>
          <w:trHeight w:hRule="exact" w:val="906"/>
        </w:trPr>
        <w:tc>
          <w:tcPr>
            <w:tcW w:type="dxa" w:w="27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320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2010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81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134303/1 . </w:t>
            </w:r>
          </w:p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1008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6"/>
              </w:rPr>
              <w:t>2005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86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 ,  142907 . </w:t>
            </w:r>
          </w:p>
        </w:tc>
        <w:tc>
          <w:tcPr>
            <w:tcW w:type="dxa" w:w="23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84"/>
        </w:trPr>
        <w:tc>
          <w:tcPr>
            <w:tcW w:type="dxa" w:w="272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526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 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22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2412–2417</w:t>
            </w:r>
          </w:p>
        </w:tc>
        <w:tc>
          <w:tcPr>
            <w:tcW w:type="dxa" w:w="2721"/>
            <w:vMerge/>
            <w:tcBorders/>
          </w:tcPr>
          <w:p/>
        </w:tc>
        <w:tc>
          <w:tcPr>
            <w:tcW w:type="dxa" w:w="236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522" w:after="0"/>
              <w:ind w:left="0" w:right="78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wileyonlinelibrary.com</w:t>
            </w:r>
          </w:p>
        </w:tc>
        <w:tc>
          <w:tcPr>
            <w:tcW w:type="dxa" w:w="66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6490" w:after="0"/>
              <w:ind w:left="104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2417</w:t>
            </w:r>
          </w:p>
        </w:tc>
      </w:tr>
      <w:tr>
        <w:trPr>
          <w:trHeight w:hRule="exact" w:val="3796"/>
        </w:trPr>
        <w:tc>
          <w:tcPr>
            <w:tcW w:type="dxa" w:w="2721"/>
            <w:vMerge/>
            <w:tcBorders>
              <w:top w:sz="4.0" w:val="single" w:color="#221F1F"/>
            </w:tcBorders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46" w:after="0"/>
              <w:ind w:left="53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2012 WILEY-VCH Verlag GmbH &amp; Co. KGaA, Weinheim</w:t>
            </w:r>
          </w:p>
        </w:tc>
        <w:tc>
          <w:tcPr>
            <w:tcW w:type="dxa" w:w="2721"/>
            <w:vMerge/>
            <w:tcBorders>
              <w:top w:sz="4.0" w:val="single" w:color="#221F1F"/>
            </w:tcBorders>
          </w:tcPr>
          <w:p/>
        </w:tc>
        <w:tc>
          <w:tcPr>
            <w:tcW w:type="dxa" w:w="2721"/>
            <w:vMerge/>
            <w:tcBorders>
              <w:top w:sz="4.0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1906" w:h="15874"/>
      <w:pgMar w:top="0" w:right="0" w:bottom="380" w:left="1020" w:header="720" w:footer="720" w:gutter="0"/>
      <w:cols w:space="720" w:num="1" w:equalWidth="0">
        <w:col w:w="10886" w:space="0"/>
        <w:col w:w="4962" w:space="0"/>
        <w:col w:w="5923" w:space="0"/>
        <w:col w:w="10886" w:space="0"/>
        <w:col w:w="4982" w:space="0"/>
        <w:col w:w="5903" w:space="0"/>
        <w:col w:w="10886" w:space="0"/>
        <w:col w:w="10946" w:space="0"/>
        <w:col w:w="5944" w:space="0"/>
        <w:col w:w="5001" w:space="0"/>
        <w:col w:w="10946" w:space="0"/>
        <w:col w:w="10886" w:space="0"/>
        <w:col w:w="4982" w:space="0"/>
        <w:col w:w="5903" w:space="0"/>
        <w:col w:w="10886" w:space="0"/>
        <w:col w:w="10950" w:space="0"/>
        <w:col w:w="5948" w:space="0"/>
        <w:col w:w="5002" w:space="0"/>
        <w:col w:w="10950" w:space="0"/>
        <w:col w:w="10886" w:space="0"/>
        <w:col w:w="4982" w:space="0"/>
        <w:col w:w="5903" w:space="0"/>
        <w:col w:w="10886" w:space="0"/>
        <w:col w:w="10804" w:space="0"/>
        <w:col w:w="5830" w:space="0"/>
        <w:col w:w="4974" w:space="0"/>
        <w:col w:w="1080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