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98"/>
        <w:ind w:left="0" w:right="0"/>
      </w:pPr>
    </w:p>
    <w:p>
      <w:pPr>
        <w:autoSpaceDN w:val="0"/>
        <w:autoSpaceDE w:val="0"/>
        <w:widowControl/>
        <w:spacing w:line="224" w:lineRule="exact" w:before="30" w:after="226"/>
        <w:ind w:left="0" w:right="0" w:firstLine="0"/>
        <w:jc w:val="center"/>
      </w:pPr>
      <w:r>
        <w:rPr>
          <w:rFonts w:ascii="Times" w:hAnsi="Times" w:eastAsia="Times"/>
          <w:b/>
          <w:i w:val="0"/>
          <w:color w:val="221F1F"/>
          <w:sz w:val="22"/>
        </w:rPr>
        <w:t xml:space="preserve">Evidence of single domain switching in Hafnium Oxide based FeFETs: enabler for multi-level FeFET memory cells </w:t>
      </w:r>
      <w:r>
        <w:rPr>
          <w:rFonts w:ascii="Times" w:hAnsi="Times" w:eastAsia="Times"/>
          <w:b w:val="0"/>
          <w:i w:val="0"/>
          <w:color w:val="221F1F"/>
          <w:sz w:val="20"/>
        </w:rPr>
        <w:t>H. Mulaosmanovic</w:t>
      </w:r>
      <w:r>
        <w:rPr>
          <w:rFonts w:ascii="Times" w:hAnsi="Times" w:eastAsia="Times"/>
          <w:b w:val="0"/>
          <w:i w:val="0"/>
          <w:color w:val="221F1F"/>
          <w:sz w:val="13"/>
        </w:rPr>
        <w:t>a,f</w:t>
      </w:r>
      <w:r>
        <w:rPr>
          <w:rFonts w:ascii="Times" w:hAnsi="Times" w:eastAsia="Times"/>
          <w:b w:val="0"/>
          <w:i w:val="0"/>
          <w:color w:val="221F1F"/>
          <w:sz w:val="20"/>
        </w:rPr>
        <w:t>, S. Slesazeck</w:t>
      </w:r>
      <w:r>
        <w:rPr>
          <w:rFonts w:ascii="Times" w:hAnsi="Times" w:eastAsia="Times"/>
          <w:b w:val="0"/>
          <w:i w:val="0"/>
          <w:color w:val="221F1F"/>
          <w:sz w:val="13"/>
        </w:rPr>
        <w:t>a</w:t>
      </w:r>
      <w:r>
        <w:rPr>
          <w:rFonts w:ascii="Times" w:hAnsi="Times" w:eastAsia="Times"/>
          <w:b w:val="0"/>
          <w:i w:val="0"/>
          <w:color w:val="221F1F"/>
          <w:sz w:val="20"/>
        </w:rPr>
        <w:t>, J. Ocker</w:t>
      </w:r>
      <w:r>
        <w:rPr>
          <w:rFonts w:ascii="Times" w:hAnsi="Times" w:eastAsia="Times"/>
          <w:b w:val="0"/>
          <w:i w:val="0"/>
          <w:color w:val="221F1F"/>
          <w:sz w:val="13"/>
        </w:rPr>
        <w:t>a</w:t>
      </w:r>
      <w:r>
        <w:rPr>
          <w:rFonts w:ascii="Times" w:hAnsi="Times" w:eastAsia="Times"/>
          <w:b w:val="0"/>
          <w:i w:val="0"/>
          <w:color w:val="221F1F"/>
          <w:sz w:val="20"/>
        </w:rPr>
        <w:t>, M. Pesic</w:t>
      </w:r>
      <w:r>
        <w:rPr>
          <w:rFonts w:ascii="Times" w:hAnsi="Times" w:eastAsia="Times"/>
          <w:b w:val="0"/>
          <w:i w:val="0"/>
          <w:color w:val="221F1F"/>
          <w:sz w:val="13"/>
        </w:rPr>
        <w:t>a</w:t>
      </w:r>
      <w:r>
        <w:rPr>
          <w:rFonts w:ascii="Times" w:hAnsi="Times" w:eastAsia="Times"/>
          <w:b w:val="0"/>
          <w:i w:val="0"/>
          <w:color w:val="221F1F"/>
          <w:sz w:val="20"/>
        </w:rPr>
        <w:t>, S. Müller</w:t>
      </w:r>
      <w:r>
        <w:rPr>
          <w:rFonts w:ascii="Times" w:hAnsi="Times" w:eastAsia="Times"/>
          <w:b w:val="0"/>
          <w:i w:val="0"/>
          <w:color w:val="221F1F"/>
          <w:sz w:val="13"/>
        </w:rPr>
        <w:t>a</w:t>
      </w:r>
      <w:r>
        <w:rPr>
          <w:rFonts w:ascii="Times" w:hAnsi="Times" w:eastAsia="Times"/>
          <w:b w:val="0"/>
          <w:i w:val="0"/>
          <w:color w:val="221F1F"/>
          <w:sz w:val="20"/>
        </w:rPr>
        <w:t>, S. Flachowsky</w:t>
      </w:r>
      <w:r>
        <w:rPr>
          <w:rFonts w:ascii="Times" w:hAnsi="Times" w:eastAsia="Times"/>
          <w:b w:val="0"/>
          <w:i w:val="0"/>
          <w:color w:val="221F1F"/>
          <w:sz w:val="13"/>
        </w:rPr>
        <w:t>d</w:t>
      </w:r>
      <w:r>
        <w:rPr>
          <w:rFonts w:ascii="Times" w:hAnsi="Times" w:eastAsia="Times"/>
          <w:b w:val="0"/>
          <w:i w:val="0"/>
          <w:color w:val="221F1F"/>
          <w:sz w:val="20"/>
        </w:rPr>
        <w:t>, J. Müller</w:t>
      </w:r>
      <w:r>
        <w:rPr>
          <w:rFonts w:ascii="Times" w:hAnsi="Times" w:eastAsia="Times"/>
          <w:b w:val="0"/>
          <w:i w:val="0"/>
          <w:color w:val="221F1F"/>
          <w:sz w:val="14"/>
        </w:rPr>
        <w:t>b</w:t>
      </w:r>
      <w:r>
        <w:rPr>
          <w:rFonts w:ascii="Times" w:hAnsi="Times" w:eastAsia="Times"/>
          <w:b w:val="0"/>
          <w:i w:val="0"/>
          <w:color w:val="221F1F"/>
          <w:sz w:val="20"/>
        </w:rPr>
        <w:t>, P. Polakowski</w:t>
      </w:r>
      <w:r>
        <w:rPr>
          <w:rFonts w:ascii="Times" w:hAnsi="Times" w:eastAsia="Times"/>
          <w:b w:val="0"/>
          <w:i w:val="0"/>
          <w:color w:val="221F1F"/>
          <w:sz w:val="14"/>
        </w:rPr>
        <w:t>b</w:t>
      </w:r>
      <w:r>
        <w:rPr>
          <w:rFonts w:ascii="Times" w:hAnsi="Times" w:eastAsia="Times"/>
          <w:b w:val="0"/>
          <w:i w:val="0"/>
          <w:color w:val="221F1F"/>
          <w:sz w:val="20"/>
        </w:rPr>
        <w:t>, J. Paul</w:t>
      </w:r>
      <w:r>
        <w:rPr>
          <w:rFonts w:ascii="Times" w:hAnsi="Times" w:eastAsia="Times"/>
          <w:b w:val="0"/>
          <w:i w:val="0"/>
          <w:color w:val="221F1F"/>
          <w:sz w:val="14"/>
        </w:rPr>
        <w:t>d</w:t>
      </w:r>
      <w:r>
        <w:rPr>
          <w:rFonts w:ascii="Times" w:hAnsi="Times" w:eastAsia="Times"/>
          <w:b w:val="0"/>
          <w:i w:val="0"/>
          <w:color w:val="221F1F"/>
          <w:sz w:val="20"/>
        </w:rPr>
        <w:t>, S. Jansen</w:t>
      </w:r>
      <w:r>
        <w:rPr>
          <w:rFonts w:ascii="Times" w:hAnsi="Times" w:eastAsia="Times"/>
          <w:b w:val="0"/>
          <w:i w:val="0"/>
          <w:color w:val="221F1F"/>
          <w:sz w:val="13"/>
        </w:rPr>
        <w:t>d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221F1F"/>
          <w:sz w:val="20"/>
        </w:rPr>
        <w:t>S. Kolodinski</w:t>
      </w:r>
      <w:r>
        <w:rPr>
          <w:rFonts w:ascii="Times" w:hAnsi="Times" w:eastAsia="Times"/>
          <w:b w:val="0"/>
          <w:i w:val="0"/>
          <w:color w:val="221F1F"/>
          <w:sz w:val="14"/>
        </w:rPr>
        <w:t>d</w:t>
      </w:r>
      <w:r>
        <w:rPr>
          <w:rFonts w:ascii="Times" w:hAnsi="Times" w:eastAsia="Times"/>
          <w:b w:val="0"/>
          <w:i w:val="0"/>
          <w:color w:val="221F1F"/>
          <w:sz w:val="20"/>
        </w:rPr>
        <w:t>, C. Richter</w:t>
      </w:r>
      <w:r>
        <w:rPr>
          <w:rFonts w:ascii="Times" w:hAnsi="Times" w:eastAsia="Times"/>
          <w:b w:val="0"/>
          <w:i w:val="0"/>
          <w:color w:val="221F1F"/>
          <w:sz w:val="13"/>
        </w:rPr>
        <w:t>a</w:t>
      </w:r>
      <w:r>
        <w:rPr>
          <w:rFonts w:ascii="Times" w:hAnsi="Times" w:eastAsia="Times"/>
          <w:b w:val="0"/>
          <w:i w:val="0"/>
          <w:color w:val="221F1F"/>
          <w:sz w:val="20"/>
        </w:rPr>
        <w:t>, S. Piontek</w:t>
      </w:r>
      <w:r>
        <w:rPr>
          <w:rFonts w:ascii="Times" w:hAnsi="Times" w:eastAsia="Times"/>
          <w:b w:val="0"/>
          <w:i w:val="0"/>
          <w:color w:val="221F1F"/>
          <w:sz w:val="13"/>
        </w:rPr>
        <w:t>a</w:t>
      </w:r>
      <w:r>
        <w:rPr>
          <w:rFonts w:ascii="Times" w:hAnsi="Times" w:eastAsia="Times"/>
          <w:b w:val="0"/>
          <w:i w:val="0"/>
          <w:color w:val="221F1F"/>
          <w:sz w:val="20"/>
        </w:rPr>
        <w:t>, T. Schenk</w:t>
      </w:r>
      <w:r>
        <w:rPr>
          <w:rFonts w:ascii="Times" w:hAnsi="Times" w:eastAsia="Times"/>
          <w:b w:val="0"/>
          <w:i w:val="0"/>
          <w:color w:val="221F1F"/>
          <w:sz w:val="13"/>
        </w:rPr>
        <w:t>a</w:t>
      </w:r>
      <w:r>
        <w:rPr>
          <w:rFonts w:ascii="Times" w:hAnsi="Times" w:eastAsia="Times"/>
          <w:b w:val="0"/>
          <w:i w:val="0"/>
          <w:color w:val="221F1F"/>
          <w:sz w:val="20"/>
        </w:rPr>
        <w:t>, A. Kersch</w:t>
      </w:r>
      <w:r>
        <w:rPr>
          <w:rFonts w:ascii="Times" w:hAnsi="Times" w:eastAsia="Times"/>
          <w:b w:val="0"/>
          <w:i w:val="0"/>
          <w:color w:val="221F1F"/>
          <w:sz w:val="13"/>
        </w:rPr>
        <w:t>e</w:t>
      </w:r>
      <w:r>
        <w:rPr>
          <w:rFonts w:ascii="Times" w:hAnsi="Times" w:eastAsia="Times"/>
          <w:b w:val="0"/>
          <w:i w:val="0"/>
          <w:color w:val="221F1F"/>
          <w:sz w:val="20"/>
        </w:rPr>
        <w:t>, C. Künneth</w:t>
      </w:r>
      <w:r>
        <w:rPr>
          <w:rFonts w:ascii="Times" w:hAnsi="Times" w:eastAsia="Times"/>
          <w:b w:val="0"/>
          <w:i w:val="0"/>
          <w:color w:val="221F1F"/>
          <w:sz w:val="16"/>
        </w:rPr>
        <w:t>e</w:t>
      </w:r>
      <w:r>
        <w:rPr>
          <w:rFonts w:ascii="Times" w:hAnsi="Times" w:eastAsia="Times"/>
          <w:b w:val="0"/>
          <w:i w:val="0"/>
          <w:color w:val="221F1F"/>
          <w:sz w:val="20"/>
        </w:rPr>
        <w:t>, R. van Bentum</w:t>
      </w:r>
      <w:r>
        <w:rPr>
          <w:rFonts w:ascii="Times" w:hAnsi="Times" w:eastAsia="Times"/>
          <w:b w:val="0"/>
          <w:i w:val="0"/>
          <w:color w:val="221F1F"/>
          <w:sz w:val="13"/>
        </w:rPr>
        <w:t>d</w:t>
      </w:r>
      <w:r>
        <w:rPr>
          <w:rFonts w:ascii="Times" w:hAnsi="Times" w:eastAsia="Times"/>
          <w:b w:val="0"/>
          <w:i w:val="0"/>
          <w:color w:val="221F1F"/>
          <w:sz w:val="20"/>
        </w:rPr>
        <w:t>, U. Schröder</w:t>
      </w:r>
      <w:r>
        <w:rPr>
          <w:rFonts w:ascii="Times" w:hAnsi="Times" w:eastAsia="Times"/>
          <w:b w:val="0"/>
          <w:i w:val="0"/>
          <w:color w:val="221F1F"/>
          <w:sz w:val="13"/>
        </w:rPr>
        <w:t>a</w:t>
      </w:r>
      <w:r>
        <w:rPr>
          <w:rFonts w:ascii="Times" w:hAnsi="Times" w:eastAsia="Times"/>
          <w:b w:val="0"/>
          <w:i w:val="0"/>
          <w:color w:val="221F1F"/>
          <w:sz w:val="20"/>
        </w:rPr>
        <w:t>, T. Mikolajick</w:t>
      </w:r>
      <w:r>
        <w:rPr>
          <w:rFonts w:ascii="Times" w:hAnsi="Times" w:eastAsia="Times"/>
          <w:b w:val="0"/>
          <w:i w:val="0"/>
          <w:color w:val="221F1F"/>
          <w:sz w:val="13"/>
        </w:rPr>
        <w:t xml:space="preserve">a,c </w:t>
      </w:r>
      <w:r>
        <w:rPr>
          <w:rFonts w:ascii="Times" w:hAnsi="Times" w:eastAsia="Times"/>
          <w:b w:val="0"/>
          <w:i w:val="0"/>
          <w:color w:val="221F1F"/>
          <w:sz w:val="14"/>
        </w:rPr>
        <w:t>a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NaMLab gGMBH, </w:t>
      </w:r>
      <w:r>
        <w:rPr>
          <w:rFonts w:ascii="Times" w:hAnsi="Times" w:eastAsia="Times"/>
          <w:b w:val="0"/>
          <w:i w:val="0"/>
          <w:color w:val="221F1F"/>
          <w:sz w:val="14"/>
        </w:rPr>
        <w:t>b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Fraunhofer IPMS-CNT, </w:t>
      </w:r>
      <w:r>
        <w:rPr>
          <w:rFonts w:ascii="Times" w:hAnsi="Times" w:eastAsia="Times"/>
          <w:b w:val="0"/>
          <w:i w:val="0"/>
          <w:color w:val="221F1F"/>
          <w:sz w:val="13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IHM TU-Dresden, </w:t>
      </w:r>
      <w:r>
        <w:rPr>
          <w:rFonts w:ascii="Times" w:hAnsi="Times" w:eastAsia="Times"/>
          <w:b w:val="0"/>
          <w:i w:val="0"/>
          <w:color w:val="221F1F"/>
          <w:sz w:val="13"/>
        </w:rPr>
        <w:t>d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GLOBALFOUNDRIES, Dresden, Germany, </w:t>
      </w:r>
      <w:r>
        <w:br/>
      </w:r>
      <w:r>
        <w:rPr>
          <w:rFonts w:ascii="Times" w:hAnsi="Times" w:eastAsia="Times"/>
          <w:b w:val="0"/>
          <w:i w:val="0"/>
          <w:color w:val="221F1F"/>
          <w:sz w:val="13"/>
        </w:rPr>
        <w:t>e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HAW-München, München, Germany; </w:t>
      </w:r>
      <w:r>
        <w:rPr>
          <w:rFonts w:ascii="Times" w:hAnsi="Times" w:eastAsia="Times"/>
          <w:b w:val="0"/>
          <w:i w:val="0"/>
          <w:color w:val="221F1F"/>
          <w:sz w:val="13"/>
        </w:rPr>
        <w:t>f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DEIB, Politecnico di Milano, Milan, Italy;  Email: </w:t>
      </w:r>
      <w:r>
        <w:rPr>
          <w:rFonts w:ascii="Times" w:hAnsi="Times" w:eastAsia="Times"/>
          <w:b w:val="0"/>
          <w:i w:val="0"/>
          <w:color w:val="3852A4"/>
          <w:sz w:val="20"/>
          <w:u w:val="single"/>
        </w:rPr>
        <w:t>stefan.slesazeck@namlab.com</w:t>
      </w:r>
    </w:p>
    <w:p>
      <w:pPr>
        <w:sectPr>
          <w:pgSz w:w="12240" w:h="15840"/>
          <w:pgMar w:top="720" w:right="610" w:bottom="158" w:left="668" w:header="720" w:footer="720" w:gutter="0"/>
          <w:cols w:space="720" w:num="1" w:equalWidth="0">
            <w:col w:w="10962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36" w:after="0"/>
        <w:ind w:left="52" w:right="86" w:firstLine="0"/>
        <w:jc w:val="both"/>
      </w:pPr>
      <w:r>
        <w:rPr>
          <w:rFonts w:ascii="Times" w:hAnsi="Times" w:eastAsia="Times"/>
          <w:b/>
          <w:i w:val="0"/>
          <w:color w:val="221F1F"/>
          <w:sz w:val="20"/>
        </w:rPr>
        <w:t>Introduction</w:t>
      </w:r>
      <w:r>
        <w:rPr>
          <w:rFonts w:ascii="Times" w:hAnsi="Times" w:eastAsia="Times"/>
          <w:b w:val="0"/>
          <w:i w:val="0"/>
          <w:color w:val="221F1F"/>
          <w:sz w:val="20"/>
        </w:rPr>
        <w:t>: Recent discovery of ferroelectricity in HfO</w:t>
      </w:r>
      <w:r>
        <w:rPr>
          <w:rFonts w:ascii="Times" w:hAnsi="Times" w:eastAsia="Times"/>
          <w:b w:val="0"/>
          <w:i w:val="0"/>
          <w:color w:val="221F1F"/>
          <w:sz w:val="10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films paved the way for demonstration of ultra-scaled 28 nm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Ferroelectric FETs (FeFET) as non-volatile memory (NVM) cells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[1]. However, such small devices are inevitably sensible to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granularity of the polycrystalline gate oxide film. Here we report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for the first time the evidence of single ferroelectric (FE) domain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switching in such scaled devices. These properties are sensed in </w:t>
      </w:r>
      <w:r>
        <w:rPr>
          <w:rFonts w:ascii="Times" w:hAnsi="Times" w:eastAsia="Times"/>
          <w:b w:val="0"/>
          <w:i w:val="0"/>
          <w:color w:val="221F1F"/>
          <w:sz w:val="20"/>
        </w:rPr>
        <w:t>terms of abrupt threshold voltage (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) shifts leading to stable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intermediate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levels. We emphasize that this feature enables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multi-level cell (MLC) FeFETs and gives a new perspective on </w:t>
      </w:r>
      <w:r>
        <w:rPr>
          <w:rFonts w:ascii="Times" w:hAnsi="Times" w:eastAsia="Times"/>
          <w:b w:val="0"/>
          <w:i w:val="0"/>
          <w:color w:val="221F1F"/>
          <w:sz w:val="20"/>
        </w:rPr>
        <w:t>steep subthreshold devices based on ferroelectric HfO</w:t>
      </w:r>
      <w:r>
        <w:rPr>
          <w:rFonts w:ascii="Times" w:hAnsi="Times" w:eastAsia="Times"/>
          <w:b w:val="0"/>
          <w:i w:val="0"/>
          <w:color w:val="221F1F"/>
          <w:sz w:val="10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</w:t>
      </w:r>
    </w:p>
    <w:p>
      <w:pPr>
        <w:autoSpaceDN w:val="0"/>
        <w:autoSpaceDE w:val="0"/>
        <w:widowControl/>
        <w:spacing w:line="224" w:lineRule="exact" w:before="6" w:after="0"/>
        <w:ind w:left="52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Experimental</w:t>
      </w:r>
      <w:r>
        <w:rPr>
          <w:rFonts w:ascii="Times" w:hAnsi="Times" w:eastAsia="Times"/>
          <w:b w:val="0"/>
          <w:i w:val="0"/>
          <w:color w:val="221F1F"/>
          <w:sz w:val="20"/>
        </w:rPr>
        <w:t>: Fig. 1 shows the TEM image of the Metal-</w:t>
      </w:r>
      <w:r>
        <w:rPr>
          <w:rFonts w:ascii="Times" w:hAnsi="Times" w:eastAsia="Times"/>
          <w:b w:val="0"/>
          <w:i w:val="0"/>
          <w:color w:val="221F1F"/>
          <w:sz w:val="20"/>
        </w:rPr>
        <w:t>Ferroelectric-Insulator-Silicon Field Effect Transistor (MFIS-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FET) examined in this work. It features a poly-Si/TiN (8 </w:t>
      </w:r>
      <w:r>
        <w:rPr>
          <w:rFonts w:ascii="Times" w:hAnsi="Times" w:eastAsia="Times"/>
          <w:b w:val="0"/>
          <w:i w:val="0"/>
          <w:color w:val="221F1F"/>
          <w:sz w:val="20"/>
        </w:rPr>
        <w:t>nm)/HfO</w:t>
      </w:r>
      <w:r>
        <w:rPr>
          <w:rFonts w:ascii="Times" w:hAnsi="Times" w:eastAsia="Times"/>
          <w:b w:val="0"/>
          <w:i w:val="0"/>
          <w:color w:val="221F1F"/>
          <w:sz w:val="10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(10 nm)/SiON (1.2 nm) gate-stack and</w:t>
      </w:r>
      <w:r>
        <w:rPr>
          <w:shd w:val="clear" w:color="auto" w:fill="ffd100"/>
          <w:rFonts w:ascii="Times" w:hAnsi="Times" w:eastAsia="Times"/>
          <w:b w:val="0"/>
          <w:i w:val="0"/>
          <w:color w:val="221F1F"/>
          <w:sz w:val="20"/>
        </w:rPr>
        <w:t xml:space="preserve"> </w:t>
      </w:r>
      <w:r>
        <w:rPr>
          <w:shd w:val="clear" w:color="auto" w:fill="ffd100"/>
          <w:rFonts w:ascii="Times" w:hAnsi="Times" w:eastAsia="Times"/>
          <w:b w:val="0"/>
          <w:i/>
          <w:color w:val="221F1F"/>
          <w:sz w:val="20"/>
        </w:rPr>
        <w:t>W</w:t>
      </w:r>
      <w:r>
        <w:rPr>
          <w:shd w:val="clear" w:color="auto" w:fill="ffd100"/>
          <w:rFonts w:ascii="Times" w:hAnsi="Times" w:eastAsia="Times"/>
          <w:b w:val="0"/>
          <w:i w:val="0"/>
          <w:color w:val="221F1F"/>
          <w:sz w:val="20"/>
        </w:rPr>
        <w:t xml:space="preserve">=80 nm and </w:t>
      </w:r>
      <w:r>
        <w:rPr>
          <w:shd w:val="clear" w:color="auto" w:fill="ffd100"/>
          <w:rFonts w:ascii="Times" w:hAnsi="Times" w:eastAsia="Times"/>
          <w:b w:val="0"/>
          <w:i/>
          <w:color w:val="221F1F"/>
          <w:sz w:val="20"/>
        </w:rPr>
        <w:t>L</w:t>
      </w:r>
      <w:r>
        <w:rPr>
          <w:shd w:val="clear" w:color="auto" w:fill="ffd100"/>
          <w:rFonts w:ascii="Times" w:hAnsi="Times" w:eastAsia="Times"/>
          <w:b w:val="0"/>
          <w:i w:val="0"/>
          <w:color w:val="221F1F"/>
          <w:sz w:val="20"/>
        </w:rPr>
        <w:t xml:space="preserve">=30 nm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are channel width and length respectively. Fig. 2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illustrates the memory operation of FeFETs: positive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G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pulse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sets the cell into the low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state (Program), while negative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 xml:space="preserve">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pulse results in the high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state (Erase) by the polarization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switching of the FE layer. The difference of the two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 defines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cell’s memory window (MW) as depicted in Fig. 3. In order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to investigate the effect of FE polarization switching on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MW, the waveform of Fig. 4 is adopted for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G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: after initial 100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bipolar cycles for device preconditioning [3], follows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sequence of Reference Erase pulse, defining the high reference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 xml:space="preserve">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state, and a variable Program pulse, increasing in 50 mV steps. </w:t>
      </w:r>
      <w:r>
        <w:rPr>
          <w:rFonts w:ascii="Times" w:hAnsi="Times" w:eastAsia="Times"/>
          <w:b/>
          <w:i w:val="0"/>
          <w:color w:val="221F1F"/>
          <w:sz w:val="20"/>
        </w:rPr>
        <w:t>Evidence of single domain switching: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Fig. 5 shows exemplarily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evolution of the VT level for both PRG and ERS incremental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gate pulse sweeps and fixed Reference levels: two clear discrete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VT jumps are observed only at certain VG values. These steps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indicate abrupt polarization switching of two distinct FE domains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within the HfO2 film occurring at intrinsically different coercive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fields (EC). Fig. 6 extends this analysis for different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combinations of reference and incremental writing pulses for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same cell. Three significant traces for different reference pulses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are highlighted in Fig. 6b) showing that the occurrence of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 xml:space="preserve">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jumps depend on the initial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state determined by the reference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pulse:  if Ref ERS is large enough to back-switch both domains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inducing the highest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state, their switching into the low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state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will be visible during the incremental PRG sweep (upper trace);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otherwise, when one or both domains are not back-switched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(middle and lower trace, respectively), only one or no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jumps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will be observed. Fig. 7 depicts the resulting MW dependence 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PRG and ERS voltage, which is calculated from Fig. 6c) by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subtracting the reference erase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value from each point along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program traces. Obviously, three distinct MW regions can be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distinguished, corresponding to none (blue), one (light-blue) 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both (red) domains switched. The two stars indicate the minimum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PRG and ERS voltages, above which the individual domains can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be switched. Further strengthening of our hypothesis is given by </w:t>
      </w:r>
    </w:p>
    <w:p>
      <w:pPr>
        <w:sectPr>
          <w:type w:val="continuous"/>
          <w:pgSz w:w="12240" w:h="15840"/>
          <w:pgMar w:top="720" w:right="610" w:bottom="158" w:left="668" w:header="720" w:footer="720" w:gutter="0"/>
          <w:cols w:space="720" w:num="2" w:equalWidth="0">
            <w:col w:w="5478" w:space="0"/>
            <w:col w:w="5484" w:space="0"/>
            <w:col w:w="1096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86" w:right="6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TCAD simulations: Fig. 8 illustrates the implemented 2D-FeFET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structure, the gate stack comprising two distinct FE domains with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different 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Times" w:hAnsi="Times" w:eastAsia="Times"/>
          <w:b w:val="0"/>
          <w:i/>
          <w:color w:val="221F1F"/>
          <w:sz w:val="10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in the adopted Preisach model. The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vs.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G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curve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confirms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jumps as observed experimentally. </w:t>
      </w:r>
    </w:p>
    <w:p>
      <w:pPr>
        <w:autoSpaceDN w:val="0"/>
        <w:tabs>
          <w:tab w:pos="688" w:val="left"/>
          <w:tab w:pos="1270" w:val="left"/>
          <w:tab w:pos="2200" w:val="left"/>
          <w:tab w:pos="3088" w:val="left"/>
          <w:tab w:pos="3960" w:val="left"/>
          <w:tab w:pos="4484" w:val="left"/>
        </w:tabs>
        <w:autoSpaceDE w:val="0"/>
        <w:widowControl/>
        <w:spacing w:line="222" w:lineRule="exact" w:before="36" w:after="1332"/>
        <w:ind w:left="86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Multi-level cell capability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: Fig. 9a) shows the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vs.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G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curves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for both ERS and PRG incremental pulse sweeps with distinct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intermediate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levels. The feasibility to set the cell into two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separate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levels is demonstrated by applying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G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voltages as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indicated by the vertical lines (-4.5V and -4.85V), starting always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from the low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state (PRG at +4V). The procedure is repeated 50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times. Fig.s 9 b) and c) show </w:t>
      </w:r>
      <w:r>
        <w:rPr>
          <w:rFonts w:ascii="Times" w:hAnsi="Times" w:eastAsia="Times"/>
          <w:b w:val="0"/>
          <w:i/>
          <w:color w:val="221F1F"/>
          <w:sz w:val="20"/>
        </w:rPr>
        <w:t>I</w:t>
      </w:r>
      <w:r>
        <w:rPr>
          <w:rFonts w:ascii="Times" w:hAnsi="Times" w:eastAsia="Times"/>
          <w:b w:val="0"/>
          <w:i/>
          <w:color w:val="221F1F"/>
          <w:sz w:val="10"/>
        </w:rPr>
        <w:t>D</w:t>
      </w:r>
      <w:r>
        <w:rPr>
          <w:rFonts w:ascii="Times" w:hAnsi="Times" w:eastAsia="Times"/>
          <w:b w:val="0"/>
          <w:i w:val="0"/>
          <w:color w:val="221F1F"/>
          <w:sz w:val="20"/>
        </w:rPr>
        <w:t>-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G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curves and cumulative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distributions, respectively, of the corresponding three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states,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indicating a very low cycle-to-cycle variability. Moreover,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cycling test with a pulse width of 500 ns shown in Fig. 10 reveals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more than 10 </w:t>
      </w:r>
      <w:r>
        <w:rPr>
          <w:rFonts w:ascii="Times" w:hAnsi="Times" w:eastAsia="Times"/>
          <w:b w:val="0"/>
          <w:i w:val="0"/>
          <w:color w:val="221F1F"/>
          <w:sz w:val="10"/>
        </w:rPr>
        <w:t>5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endurance cycles with clearly separated three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states. In addition, retention characterization was performed at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room temperature and obviously no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jumps are visible in Fig.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11, indicating that the polarization states of the single domains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are stable and the slight gradual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drift originates most probably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from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de-trapping of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parasitic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charges.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cumulative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distribution of the first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jump of 60 cells is represented in Fig.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12 for both ERS and PRG sweeps. It is clear that most of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domains can be switched below 4V and |-5V|. A similar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distribution is obtained for </w:t>
      </w:r>
      <w:r>
        <w:rPr>
          <w:rFonts w:ascii="Times" w:hAnsi="Times" w:eastAsia="Times"/>
          <w:b w:val="0"/>
          <w:i/>
          <w:color w:val="221F1F"/>
          <w:sz w:val="20"/>
        </w:rPr>
        <w:t>L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=90 nm FeFET as well, which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however has more polycrystalline grains and hence more FE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domains, and consequently more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jumps, as shown in Fig. 13. </w:t>
      </w:r>
      <w:r>
        <w:rPr>
          <w:rFonts w:ascii="Times" w:hAnsi="Times" w:eastAsia="Times"/>
          <w:b/>
          <w:i w:val="0"/>
          <w:color w:val="221F1F"/>
          <w:sz w:val="20"/>
        </w:rPr>
        <w:t>Film engineering: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The variability of switching voltages can be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explained by a surface energy effect on the transition barrier for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polarization reversal, which depends on the grain size [4], doping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and furthermore on grain orientation. In the top-view TEM image </w:t>
      </w:r>
      <w:r>
        <w:rPr>
          <w:rFonts w:ascii="Times" w:hAnsi="Times" w:eastAsia="Times"/>
          <w:b w:val="0"/>
          <w:i w:val="0"/>
          <w:color w:val="221F1F"/>
          <w:sz w:val="20"/>
        </w:rPr>
        <w:t>of an 80nm x 30nm device in Fig. 14a) four HfO</w:t>
      </w:r>
      <w:r>
        <w:rPr>
          <w:rFonts w:ascii="Times" w:hAnsi="Times" w:eastAsia="Times"/>
          <w:b w:val="0"/>
          <w:i w:val="0"/>
          <w:color w:val="221F1F"/>
          <w:sz w:val="10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grains with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varying sizes can be clearly distinguished. Fig. 14b) depicts the </w:t>
      </w:r>
      <w:r>
        <w:rPr>
          <w:rFonts w:ascii="Times" w:hAnsi="Times" w:eastAsia="Times"/>
          <w:b w:val="0"/>
          <w:i w:val="0"/>
          <w:color w:val="221F1F"/>
          <w:sz w:val="20"/>
        </w:rPr>
        <w:t>top-view SEM image of the HfO</w:t>
      </w:r>
      <w:r>
        <w:rPr>
          <w:rFonts w:ascii="Times" w:hAnsi="Times" w:eastAsia="Times"/>
          <w:b w:val="0"/>
          <w:i w:val="0"/>
          <w:color w:val="221F1F"/>
          <w:sz w:val="10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film, from which the grain size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distribution is extracted. Correlating this distribution and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voltage jump distribution of Fig. 12 the relation in Fig. 15 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obtained. Therefore, the key for the MLC capability optimization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FeFET devices towards low switching voltages is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engineering of polycrystalline films. Various CMOS compatible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processing conditions impact the MW as depicted in Fig. 16. </w:t>
      </w:r>
      <w:r>
        <w:rPr>
          <w:rFonts w:ascii="Times" w:hAnsi="Times" w:eastAsia="Times"/>
          <w:b/>
          <w:i w:val="0"/>
          <w:color w:val="221F1F"/>
          <w:sz w:val="20"/>
        </w:rPr>
        <w:t>Conclusion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: The stable switching of single domains within one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device opens the path of exploiting MLC FeFETs for non-volatile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data storage. We believe the origin of single domain switching at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different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G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comes from the polycrystalline structure of the FE </w:t>
      </w:r>
      <w:r>
        <w:rPr>
          <w:rFonts w:ascii="Times" w:hAnsi="Times" w:eastAsia="Times"/>
          <w:b w:val="0"/>
          <w:i w:val="0"/>
          <w:color w:val="221F1F"/>
          <w:sz w:val="20"/>
        </w:rPr>
        <w:t>HfO</w:t>
      </w:r>
      <w:r>
        <w:rPr>
          <w:rFonts w:ascii="Times" w:hAnsi="Times" w:eastAsia="Times"/>
          <w:b w:val="0"/>
          <w:i w:val="0"/>
          <w:color w:val="221F1F"/>
          <w:sz w:val="10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film. These observations suggest that for future memory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applications a multi-domain FE film might be preferable,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enabling MLC capability, likewise for the realization of 3D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architectures. Accurate material and grain engineering is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utmost importance. Further, these results indicate that for steep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subthreshold devices based on single domain switching [5]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mono-crystalline epitaxial grown FE films might be inevitable. </w:t>
      </w:r>
    </w:p>
    <w:p>
      <w:pPr>
        <w:sectPr>
          <w:type w:val="nextColumn"/>
          <w:pgSz w:w="12240" w:h="15840"/>
          <w:pgMar w:top="720" w:right="610" w:bottom="158" w:left="668" w:header="720" w:footer="720" w:gutter="0"/>
          <w:cols w:space="720" w:num="2" w:equalWidth="0">
            <w:col w:w="5478" w:space="0"/>
            <w:col w:w="5484" w:space="0"/>
            <w:col w:w="1096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3654"/>
        <w:gridCol w:w="3654"/>
        <w:gridCol w:w="3654"/>
      </w:tblGrid>
      <w:tr>
        <w:trPr>
          <w:trHeight w:hRule="exact" w:val="182"/>
        </w:trPr>
        <w:tc>
          <w:tcPr>
            <w:tcW w:type="dxa" w:w="4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12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20404"/>
                <w:sz w:val="18"/>
              </w:rPr>
              <w:t>978-1-4673-9894-7/15/$31.00 ©2015 IEEE</w:t>
            </w:r>
          </w:p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213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20404"/>
                <w:sz w:val="18"/>
              </w:rPr>
              <w:t>26.8.1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20404"/>
                <w:sz w:val="18"/>
              </w:rPr>
              <w:t>IEDM15-688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720" w:right="610" w:bottom="158" w:left="668" w:header="720" w:footer="720" w:gutter="0"/>
          <w:cols w:space="720" w:num="1" w:equalWidth="0">
            <w:col w:w="10962" w:space="0"/>
            <w:col w:w="5478" w:space="0"/>
            <w:col w:w="5484" w:space="0"/>
            <w:col w:w="1096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2781300</wp:posOffset>
            </wp:positionH>
            <wp:positionV relativeFrom="page">
              <wp:posOffset>495300</wp:posOffset>
            </wp:positionV>
            <wp:extent cx="4394200" cy="14478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44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2421890</wp:posOffset>
            </wp:positionH>
            <wp:positionV relativeFrom="page">
              <wp:posOffset>5330190</wp:posOffset>
            </wp:positionV>
            <wp:extent cx="113030" cy="1339615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3030" cy="13396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876300</wp:posOffset>
            </wp:positionH>
            <wp:positionV relativeFrom="page">
              <wp:posOffset>5321300</wp:posOffset>
            </wp:positionV>
            <wp:extent cx="1663700" cy="13335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33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5257800</wp:posOffset>
            </wp:positionH>
            <wp:positionV relativeFrom="page">
              <wp:posOffset>5321300</wp:posOffset>
            </wp:positionV>
            <wp:extent cx="1663700" cy="13335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33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6800850</wp:posOffset>
            </wp:positionH>
            <wp:positionV relativeFrom="page">
              <wp:posOffset>5330190</wp:posOffset>
            </wp:positionV>
            <wp:extent cx="114300" cy="1354667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5466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7404100</wp:posOffset>
            </wp:positionV>
            <wp:extent cx="1828800" cy="14732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7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2933700</wp:posOffset>
            </wp:positionH>
            <wp:positionV relativeFrom="page">
              <wp:posOffset>7411720</wp:posOffset>
            </wp:positionV>
            <wp:extent cx="125730" cy="1490133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" cy="149013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4216400</wp:posOffset>
            </wp:positionH>
            <wp:positionV relativeFrom="page">
              <wp:posOffset>7518400</wp:posOffset>
            </wp:positionV>
            <wp:extent cx="50800" cy="508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4199890</wp:posOffset>
            </wp:positionH>
            <wp:positionV relativeFrom="page">
              <wp:posOffset>7376159</wp:posOffset>
            </wp:positionV>
            <wp:extent cx="751839" cy="1356978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1839" cy="135697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5702300</wp:posOffset>
            </wp:positionH>
            <wp:positionV relativeFrom="page">
              <wp:posOffset>7505700</wp:posOffset>
            </wp:positionV>
            <wp:extent cx="165100" cy="762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5702300</wp:posOffset>
            </wp:positionH>
            <wp:positionV relativeFrom="page">
              <wp:posOffset>7467600</wp:posOffset>
            </wp:positionV>
            <wp:extent cx="660400" cy="2667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667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843"/>
        <w:gridCol w:w="843"/>
        <w:gridCol w:w="843"/>
        <w:gridCol w:w="843"/>
        <w:gridCol w:w="843"/>
        <w:gridCol w:w="843"/>
        <w:gridCol w:w="843"/>
        <w:gridCol w:w="843"/>
        <w:gridCol w:w="843"/>
        <w:gridCol w:w="843"/>
        <w:gridCol w:w="843"/>
        <w:gridCol w:w="843"/>
        <w:gridCol w:w="843"/>
      </w:tblGrid>
      <w:tr>
        <w:trPr>
          <w:trHeight w:hRule="exact" w:val="498"/>
        </w:trPr>
        <w:tc>
          <w:tcPr>
            <w:tcW w:type="dxa" w:w="3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1270" cy="171323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270" cy="17132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10" w:lineRule="exact" w:before="212" w:after="0"/>
              <w:ind w:left="6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Fig. 1 – TEM image of 30-nm Si:HfO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-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based MFIS-FET device. Ferroelectric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layer is a thin polycrystalline film. 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34" w:after="0"/>
              <w:ind w:left="0" w:right="18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6"/>
              </w:rPr>
              <w:t>V</w:t>
            </w:r>
            <w:r>
              <w:rPr>
                <w:w w:val="96.44269076260653"/>
                <w:rFonts w:ascii="Arial" w:hAnsi="Arial" w:eastAsia="Arial"/>
                <w:b w:val="0"/>
                <w:i w:val="0"/>
                <w:color w:val="221F1F"/>
                <w:sz w:val="11"/>
              </w:rPr>
              <w:t>G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16"/>
              </w:rPr>
              <w:t>&gt;0</w:t>
            </w:r>
          </w:p>
        </w:tc>
        <w:tc>
          <w:tcPr>
            <w:tcW w:type="dxa" w:w="6000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38" w:after="0"/>
              <w:ind w:left="12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6"/>
              </w:rPr>
              <w:t>V</w:t>
            </w:r>
            <w:r>
              <w:rPr>
                <w:w w:val="96.44269076260653"/>
                <w:rFonts w:ascii="Arial" w:hAnsi="Arial" w:eastAsia="Arial"/>
                <w:b w:val="0"/>
                <w:i w:val="0"/>
                <w:color w:val="221F1F"/>
                <w:sz w:val="11"/>
              </w:rPr>
              <w:t>G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16"/>
              </w:rPr>
              <w:t>&lt;0</w:t>
            </w:r>
          </w:p>
        </w:tc>
      </w:tr>
      <w:tr>
        <w:trPr>
          <w:trHeight w:hRule="exact" w:val="260"/>
        </w:trPr>
        <w:tc>
          <w:tcPr>
            <w:tcW w:type="dxa" w:w="843"/>
            <w:vMerge/>
            <w:tcBorders/>
          </w:tcPr>
          <w:p/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4" w:after="0"/>
              <w:ind w:left="2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6"/>
              </w:rPr>
              <w:t>S</w:t>
            </w:r>
          </w:p>
        </w:tc>
        <w:tc>
          <w:tcPr>
            <w:tcW w:type="dxa" w:w="5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4" w:after="0"/>
              <w:ind w:left="11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6"/>
              </w:rPr>
              <w:t>D</w:t>
            </w:r>
          </w:p>
        </w:tc>
        <w:tc>
          <w:tcPr>
            <w:tcW w:type="dxa" w:w="12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4" w:after="0"/>
              <w:ind w:left="27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6"/>
              </w:rPr>
              <w:t>S</w:t>
            </w:r>
          </w:p>
        </w:tc>
        <w:tc>
          <w:tcPr>
            <w:tcW w:type="dxa" w:w="42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4" w:after="0"/>
              <w:ind w:left="23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16"/>
              </w:rPr>
              <w:t>D</w:t>
            </w:r>
          </w:p>
        </w:tc>
      </w:tr>
      <w:tr>
        <w:trPr>
          <w:trHeight w:hRule="exact" w:val="140"/>
        </w:trPr>
        <w:tc>
          <w:tcPr>
            <w:tcW w:type="dxa" w:w="843"/>
            <w:vMerge/>
            <w:tcBorders/>
          </w:tcPr>
          <w:p/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242" w:firstLine="0"/>
              <w:jc w:val="right"/>
            </w:pPr>
            <w:r>
              <w:rPr>
                <w:w w:val="96.44579887390137"/>
                <w:rFonts w:ascii="Arial,Bold" w:hAnsi="Arial,Bold" w:eastAsia="Arial,Bold"/>
                <w:b/>
                <w:i w:val="0"/>
                <w:color w:val="ED1E24"/>
                <w:sz w:val="12"/>
              </w:rPr>
              <w:t>P</w:t>
            </w:r>
          </w:p>
        </w:tc>
        <w:tc>
          <w:tcPr>
            <w:tcW w:type="dxa" w:w="6000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" w:after="0"/>
              <w:ind w:left="0" w:right="4382" w:firstLine="0"/>
              <w:jc w:val="right"/>
            </w:pPr>
            <w:r>
              <w:rPr>
                <w:w w:val="96.44579887390137"/>
                <w:rFonts w:ascii="Arial,Bold" w:hAnsi="Arial,Bold" w:eastAsia="Arial,Bold"/>
                <w:b/>
                <w:i w:val="0"/>
                <w:color w:val="156FB8"/>
                <w:sz w:val="12"/>
              </w:rPr>
              <w:t>P</w:t>
            </w:r>
          </w:p>
        </w:tc>
      </w:tr>
      <w:tr>
        <w:trPr>
          <w:trHeight w:hRule="exact" w:val="500"/>
        </w:trPr>
        <w:tc>
          <w:tcPr>
            <w:tcW w:type="dxa" w:w="843"/>
            <w:vMerge/>
            <w:tcBorders/>
          </w:tcPr>
          <w:p/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2" w:after="0"/>
              <w:ind w:left="0" w:right="86" w:firstLine="0"/>
              <w:jc w:val="right"/>
            </w:pPr>
            <w:r>
              <w:rPr>
                <w:rFonts w:ascii="ArialUnicodeMS" w:hAnsi="ArialUnicodeMS" w:eastAsia="ArialUnicodeMS"/>
                <w:b w:val="0"/>
                <w:i w:val="0"/>
                <w:color w:val="221F1F"/>
                <w:sz w:val="13"/>
              </w:rPr>
              <w:t>�����������</w:t>
            </w:r>
          </w:p>
        </w:tc>
        <w:tc>
          <w:tcPr>
            <w:tcW w:type="dxa" w:w="6000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1124" w:right="0" w:firstLine="0"/>
              <w:jc w:val="left"/>
            </w:pPr>
            <w:r>
              <w:rPr>
                <w:rFonts w:ascii="ArialUnicodeMS" w:hAnsi="ArialUnicodeMS" w:eastAsia="ArialUnicodeMS"/>
                <w:b w:val="0"/>
                <w:i w:val="0"/>
                <w:color w:val="221F1F"/>
                <w:sz w:val="13"/>
              </w:rPr>
              <w:t>�����������</w:t>
            </w:r>
          </w:p>
        </w:tc>
      </w:tr>
      <w:tr>
        <w:trPr>
          <w:trHeight w:hRule="exact" w:val="722"/>
        </w:trPr>
        <w:tc>
          <w:tcPr>
            <w:tcW w:type="dxa" w:w="843"/>
            <w:vMerge/>
            <w:tcBorders/>
          </w:tcPr>
          <w:p/>
        </w:tc>
        <w:tc>
          <w:tcPr>
            <w:tcW w:type="dxa" w:w="728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74" w:after="0"/>
              <w:ind w:left="94" w:right="360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Fig. 2 – Schematic illustration of FeFET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operation. The polarization state of the FE </w:t>
            </w:r>
          </w:p>
        </w:tc>
      </w:tr>
      <w:tr>
        <w:trPr>
          <w:trHeight w:hRule="exact" w:val="1098"/>
        </w:trPr>
        <w:tc>
          <w:tcPr>
            <w:tcW w:type="dxa" w:w="843"/>
            <w:vMerge/>
            <w:tcBorders/>
          </w:tcPr>
          <w:p/>
        </w:tc>
        <w:tc>
          <w:tcPr>
            <w:tcW w:type="dxa" w:w="36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38" w:after="0"/>
              <w:ind w:left="94" w:right="86" w:firstLine="0"/>
              <w:jc w:val="both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film can be reversed by suitable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/>
                <w:color w:val="221F1F"/>
                <w:sz w:val="10"/>
              </w:rPr>
              <w:t>G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pulses: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for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/>
                <w:color w:val="221F1F"/>
                <w:sz w:val="10"/>
              </w:rPr>
              <w:t xml:space="preserve">G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&gt;0 (Program, PRG) FeFET is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brought into inversion, while for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/>
                <w:color w:val="221F1F"/>
                <w:sz w:val="10"/>
              </w:rPr>
              <w:t>G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&lt;0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(Erase, ERS) into accumulation regime. </w:t>
            </w:r>
          </w:p>
        </w:tc>
        <w:tc>
          <w:tcPr>
            <w:tcW w:type="dxa" w:w="360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14" w:after="0"/>
              <w:ind w:left="9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Fig. 3 –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I</w:t>
            </w:r>
            <w:r>
              <w:rPr>
                <w:rFonts w:ascii="Times" w:hAnsi="Times" w:eastAsia="Times"/>
                <w:b w:val="0"/>
                <w:i/>
                <w:color w:val="221F1F"/>
                <w:sz w:val="10"/>
              </w:rPr>
              <w:t>D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-V</w:t>
            </w:r>
            <w:r>
              <w:rPr>
                <w:rFonts w:ascii="Times" w:hAnsi="Times" w:eastAsia="Times"/>
                <w:b w:val="0"/>
                <w:i/>
                <w:color w:val="221F1F"/>
                <w:sz w:val="10"/>
              </w:rPr>
              <w:t>G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curves for programmed (red) 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9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and erased (blue) state. MW extracted as </w:t>
            </w:r>
          </w:p>
          <w:p>
            <w:pPr>
              <w:autoSpaceDN w:val="0"/>
              <w:autoSpaceDE w:val="0"/>
              <w:widowControl/>
              <w:spacing w:line="252" w:lineRule="exact" w:before="0" w:after="0"/>
              <w:ind w:left="9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the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/>
                <w:color w:val="221F1F"/>
                <w:sz w:val="10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difference evaluated with the </w:t>
            </w:r>
          </w:p>
          <w:p>
            <w:pPr>
              <w:autoSpaceDN w:val="0"/>
              <w:tabs>
                <w:tab w:pos="1044" w:val="left"/>
                <w:tab w:pos="1896" w:val="left"/>
                <w:tab w:pos="2860" w:val="left"/>
                <w:tab w:pos="3378" w:val="left"/>
              </w:tabs>
              <w:autoSpaceDE w:val="0"/>
              <w:widowControl/>
              <w:spacing w:line="222" w:lineRule="exact" w:before="0" w:after="0"/>
              <w:ind w:left="9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constant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current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criterion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[2]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as </w:t>
            </w:r>
          </w:p>
        </w:tc>
      </w:tr>
      <w:tr>
        <w:trPr>
          <w:trHeight w:hRule="exact" w:val="400"/>
        </w:trPr>
        <w:tc>
          <w:tcPr>
            <w:tcW w:type="dxa" w:w="843"/>
            <w:vMerge/>
            <w:tcBorders/>
          </w:tcPr>
          <w:p/>
        </w:tc>
        <w:tc>
          <w:tcPr>
            <w:tcW w:type="dxa" w:w="728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10" w:after="0"/>
              <w:ind w:left="0" w:right="229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I</w:t>
            </w:r>
            <w:r>
              <w:rPr>
                <w:rFonts w:ascii="Times" w:hAnsi="Times" w:eastAsia="Times"/>
                <w:b w:val="0"/>
                <w:i/>
                <w:color w:val="221F1F"/>
                <w:sz w:val="10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=0.1μA•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W/L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. </w:t>
            </w:r>
          </w:p>
        </w:tc>
      </w:tr>
      <w:tr>
        <w:trPr>
          <w:trHeight w:hRule="exact" w:val="500"/>
        </w:trPr>
        <w:tc>
          <w:tcPr>
            <w:tcW w:type="dxa" w:w="843"/>
            <w:vMerge/>
            <w:tcBorders/>
          </w:tcPr>
          <w:p/>
        </w:tc>
        <w:tc>
          <w:tcPr>
            <w:tcW w:type="dxa" w:w="474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90" w:after="0"/>
              <w:ind w:left="0" w:right="20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3449C"/>
                <w:sz w:val="18"/>
              </w:rPr>
              <w:t xml:space="preserve">Ref ERS -5V </w:t>
            </w:r>
          </w:p>
        </w:tc>
        <w:tc>
          <w:tcPr>
            <w:tcW w:type="dxa" w:w="25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76" w:after="0"/>
              <w:ind w:left="21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ED1E24"/>
                <w:sz w:val="18"/>
              </w:rPr>
              <w:t xml:space="preserve">Ref PRG 4V </w:t>
            </w:r>
          </w:p>
        </w:tc>
      </w:tr>
      <w:tr>
        <w:trPr>
          <w:trHeight w:hRule="exact" w:val="260"/>
        </w:trPr>
        <w:tc>
          <w:tcPr>
            <w:tcW w:type="dxa" w:w="843"/>
            <w:vMerge/>
            <w:tcBorders/>
          </w:tcPr>
          <w:p/>
        </w:tc>
        <w:tc>
          <w:tcPr>
            <w:tcW w:type="dxa" w:w="47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1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06500" cy="8763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876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/>
                <w:b w:val="0"/>
                <w:i w:val="0"/>
                <w:color w:val="221F1F"/>
                <w:sz w:val="24"/>
              </w:rPr>
              <w:t>a)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0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7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20"/>
        </w:trPr>
        <w:tc>
          <w:tcPr>
            <w:tcW w:type="dxa" w:w="843"/>
            <w:vMerge/>
            <w:tcBorders/>
          </w:tcPr>
          <w:p/>
        </w:tc>
        <w:tc>
          <w:tcPr>
            <w:tcW w:type="dxa" w:w="4215"/>
            <w:gridSpan w:val="5"/>
            <w:vMerge/>
            <w:tcBorders/>
          </w:tcPr>
          <w:p/>
        </w:tc>
        <w:tc>
          <w:tcPr>
            <w:tcW w:type="dxa" w:w="843"/>
            <w:vMerge/>
            <w:tcBorders/>
          </w:tcPr>
          <w:p/>
        </w:tc>
        <w:tc>
          <w:tcPr>
            <w:tcW w:type="dxa" w:w="843"/>
            <w:vMerge/>
            <w:tcBorders/>
          </w:tcPr>
          <w:p/>
        </w:tc>
        <w:tc>
          <w:tcPr>
            <w:tcW w:type="dxa" w:w="843"/>
            <w:vMerge/>
            <w:tcBorders/>
          </w:tcPr>
          <w:p/>
        </w:tc>
        <w:tc>
          <w:tcPr>
            <w:tcW w:type="dxa" w:w="843"/>
            <w:vMerge/>
            <w:tcBorders/>
          </w:tcPr>
          <w:p/>
        </w:tc>
        <w:tc>
          <w:tcPr>
            <w:tcW w:type="dxa" w:w="843"/>
            <w:vMerge/>
            <w:tcBorders/>
          </w:tcPr>
          <w:p/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0800" cy="762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80"/>
        </w:trPr>
        <w:tc>
          <w:tcPr>
            <w:tcW w:type="dxa" w:w="843"/>
            <w:vMerge/>
            <w:tcBorders/>
          </w:tcPr>
          <w:p/>
        </w:tc>
        <w:tc>
          <w:tcPr>
            <w:tcW w:type="dxa" w:w="4215"/>
            <w:gridSpan w:val="5"/>
            <w:vMerge/>
            <w:tcBorders/>
          </w:tcPr>
          <w:p/>
        </w:tc>
        <w:tc>
          <w:tcPr>
            <w:tcW w:type="dxa" w:w="843"/>
            <w:vMerge/>
            <w:tcBorders/>
          </w:tcPr>
          <w:p/>
        </w:tc>
        <w:tc>
          <w:tcPr>
            <w:tcW w:type="dxa" w:w="843"/>
            <w:vMerge/>
            <w:tcBorders/>
          </w:tcPr>
          <w:p/>
        </w:tc>
        <w:tc>
          <w:tcPr>
            <w:tcW w:type="dxa" w:w="843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3"/>
            <w:vMerge/>
            <w:tcBorders/>
          </w:tcPr>
          <w:p/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92"/>
        </w:trPr>
        <w:tc>
          <w:tcPr>
            <w:tcW w:type="dxa" w:w="843"/>
            <w:vMerge/>
            <w:tcBorders/>
          </w:tcPr>
          <w:p/>
        </w:tc>
        <w:tc>
          <w:tcPr>
            <w:tcW w:type="dxa" w:w="4215"/>
            <w:gridSpan w:val="5"/>
            <w:vMerge/>
            <w:tcBorders/>
          </w:tcPr>
          <w:p/>
        </w:tc>
        <w:tc>
          <w:tcPr>
            <w:tcW w:type="dxa" w:w="843"/>
            <w:vMerge/>
            <w:tcBorders/>
          </w:tcPr>
          <w:p/>
        </w:tc>
        <w:tc>
          <w:tcPr>
            <w:tcW w:type="dxa" w:w="843"/>
            <w:vMerge/>
            <w:tcBorders/>
          </w:tcPr>
          <w:p/>
        </w:tc>
        <w:tc>
          <w:tcPr>
            <w:tcW w:type="dxa" w:w="843"/>
            <w:vMerge/>
            <w:tcBorders/>
          </w:tcPr>
          <w:p/>
        </w:tc>
        <w:tc>
          <w:tcPr>
            <w:tcW w:type="dxa" w:w="843"/>
            <w:vMerge/>
            <w:tcBorders/>
          </w:tcPr>
          <w:p/>
        </w:tc>
        <w:tc>
          <w:tcPr>
            <w:tcW w:type="dxa" w:w="843"/>
            <w:vMerge/>
            <w:tcBorders/>
          </w:tcPr>
          <w:p/>
        </w:tc>
        <w:tc>
          <w:tcPr>
            <w:tcW w:type="dxa" w:w="1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0" w:after="0"/>
              <w:ind w:left="23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24"/>
              </w:rPr>
              <w:t xml:space="preserve">b) </w:t>
            </w:r>
          </w:p>
        </w:tc>
      </w:tr>
    </w:tbl>
    <w:p>
      <w:pPr>
        <w:autoSpaceDN w:val="0"/>
        <w:autoSpaceDE w:val="0"/>
        <w:widowControl/>
        <w:spacing w:line="240" w:lineRule="auto" w:before="180" w:after="0"/>
        <w:ind w:left="0" w:right="49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653030" cy="1142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1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34"/>
        <w:sectPr>
          <w:pgSz w:w="12240" w:h="15840"/>
          <w:pgMar w:top="370" w:right="648" w:bottom="158" w:left="630" w:header="720" w:footer="720" w:gutter="0"/>
          <w:cols w:space="720" w:num="1" w:equalWidth="0">
            <w:col w:w="10962" w:space="0"/>
            <w:col w:w="10962" w:space="0"/>
            <w:col w:w="5478" w:space="0"/>
            <w:col w:w="5484" w:space="0"/>
            <w:col w:w="1096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44" w:after="0"/>
        <w:ind w:left="90" w:right="94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Fig. 4 –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G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waveform scheme used in the measurement. Wake-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up: 100 bipolar pulses. Reference ERS pulse sets the high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 xml:space="preserve">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state, while incrementally increasing PRG explores the switching </w:t>
      </w:r>
    </w:p>
    <w:p>
      <w:pPr>
        <w:autoSpaceDN w:val="0"/>
        <w:autoSpaceDE w:val="0"/>
        <w:widowControl/>
        <w:spacing w:line="194" w:lineRule="exact" w:before="6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to the low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state. Each write operation is followed by a read-out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(R). The width of all pulses is 500 ns. Vice versa for ERS sweep. </w:t>
      </w:r>
    </w:p>
    <w:p>
      <w:pPr>
        <w:sectPr>
          <w:type w:val="continuous"/>
          <w:pgSz w:w="12240" w:h="15840"/>
          <w:pgMar w:top="370" w:right="648" w:bottom="158" w:left="630" w:header="720" w:footer="720" w:gutter="0"/>
          <w:cols w:space="720" w:num="2" w:equalWidth="0">
            <w:col w:w="5514" w:space="0"/>
            <w:col w:w="5448" w:space="0"/>
            <w:col w:w="10962" w:space="0"/>
            <w:col w:w="10962" w:space="0"/>
            <w:col w:w="5478" w:space="0"/>
            <w:col w:w="5484" w:space="0"/>
            <w:col w:w="10962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26" w:after="92"/>
        <w:ind w:left="94" w:right="22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Fig. 5 –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shift due to incremental program (a) and erase (b)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pulses. Abrupt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jumps are present at two distinct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G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which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correspond to two different coercive fields 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Times" w:hAnsi="Times" w:eastAsia="Times"/>
          <w:b w:val="0"/>
          <w:i/>
          <w:color w:val="221F1F"/>
          <w:sz w:val="10"/>
        </w:rPr>
        <w:t>C</w:t>
      </w:r>
      <w:r>
        <w:rPr>
          <w:rFonts w:ascii="Times" w:hAnsi="Times" w:eastAsia="Times"/>
          <w:b w:val="0"/>
          <w:i/>
          <w:color w:val="221F1F"/>
          <w:sz w:val="20"/>
        </w:rPr>
        <w:t>.</w:t>
      </w:r>
    </w:p>
    <w:p>
      <w:pPr>
        <w:sectPr>
          <w:type w:val="nextColumn"/>
          <w:pgSz w:w="12240" w:h="15840"/>
          <w:pgMar w:top="370" w:right="648" w:bottom="158" w:left="630" w:header="720" w:footer="720" w:gutter="0"/>
          <w:cols w:space="720" w:num="2" w:equalWidth="0">
            <w:col w:w="5514" w:space="0"/>
            <w:col w:w="5448" w:space="0"/>
            <w:col w:w="10962" w:space="0"/>
            <w:col w:w="10962" w:space="0"/>
            <w:col w:w="5478" w:space="0"/>
            <w:col w:w="5484" w:space="0"/>
            <w:col w:w="1096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0.0" w:type="dxa"/>
      </w:tblPr>
      <w:tblGrid>
        <w:gridCol w:w="783"/>
        <w:gridCol w:w="783"/>
        <w:gridCol w:w="783"/>
        <w:gridCol w:w="783"/>
        <w:gridCol w:w="783"/>
        <w:gridCol w:w="783"/>
        <w:gridCol w:w="783"/>
        <w:gridCol w:w="783"/>
        <w:gridCol w:w="783"/>
        <w:gridCol w:w="783"/>
        <w:gridCol w:w="783"/>
        <w:gridCol w:w="783"/>
        <w:gridCol w:w="783"/>
        <w:gridCol w:w="783"/>
      </w:tblGrid>
      <w:tr>
        <w:trPr>
          <w:trHeight w:hRule="exact" w:val="314"/>
        </w:trPr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24"/>
              </w:rPr>
              <w:t xml:space="preserve">a) 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60" w:after="0"/>
              <w:ind w:left="0" w:right="0" w:firstLine="0"/>
              <w:jc w:val="center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5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18" w:after="0"/>
              <w:ind w:left="0" w:right="44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221F1F"/>
                <w:sz w:val="20"/>
              </w:rPr>
              <w:t xml:space="preserve">1) 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2" w:val="left"/>
              </w:tabs>
              <w:autoSpaceDE w:val="0"/>
              <w:widowControl/>
              <w:spacing w:line="232" w:lineRule="exact" w:before="2286" w:after="0"/>
              <w:ind w:left="66" w:right="0" w:firstLine="0"/>
              <w:jc w:val="lef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 xml:space="preserve">3 </w:t>
            </w:r>
            <w:r>
              <w:br/>
            </w: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|V</w:t>
            </w:r>
            <w:r>
              <w:rPr>
                <w:w w:val="97.07748095194498"/>
                <w:rFonts w:ascii="Helvetica" w:hAnsi="Helvetica" w:eastAsia="Helvetica"/>
                <w:b/>
                <w:i w:val="0"/>
                <w:color w:val="221F1F"/>
                <w:sz w:val="12"/>
              </w:rPr>
              <w:t>ERS</w:t>
            </w: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| [V]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32" w:after="0"/>
              <w:ind w:left="22" w:right="0" w:firstLine="0"/>
              <w:jc w:val="lef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4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0" w:after="0"/>
              <w:ind w:left="0" w:right="13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20"/>
              </w:rPr>
              <w:t>V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13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20"/>
              </w:rPr>
              <w:t xml:space="preserve"> [V] 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24"/>
              </w:rPr>
              <w:t xml:space="preserve">b) 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68450" cy="762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450" cy="76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4" w:after="0"/>
              <w:ind w:left="0" w:right="3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24"/>
              </w:rPr>
              <w:t xml:space="preserve">c) 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60" w:after="0"/>
              <w:ind w:left="154" w:right="0" w:firstLine="0"/>
              <w:jc w:val="lef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5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32" w:after="0"/>
              <w:ind w:left="0" w:right="0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3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2494" w:after="0"/>
              <w:ind w:left="0" w:right="0" w:firstLine="0"/>
              <w:jc w:val="center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V</w:t>
            </w:r>
            <w:r>
              <w:rPr>
                <w:w w:val="97.07748095194498"/>
                <w:rFonts w:ascii="Helvetica" w:hAnsi="Helvetica" w:eastAsia="Helvetica"/>
                <w:b/>
                <w:i w:val="0"/>
                <w:color w:val="221F1F"/>
                <w:sz w:val="12"/>
              </w:rPr>
              <w:t>PRG</w:t>
            </w: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 xml:space="preserve"> [V]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32" w:after="0"/>
              <w:ind w:left="40" w:right="0" w:firstLine="0"/>
              <w:jc w:val="lef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4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20"/>
              </w:rPr>
              <w:t>V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13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221F1F"/>
                <w:sz w:val="20"/>
              </w:rPr>
              <w:t xml:space="preserve"> [V] </w:t>
            </w:r>
          </w:p>
        </w:tc>
      </w:tr>
      <w:tr>
        <w:trPr>
          <w:trHeight w:hRule="exact" w:val="122"/>
        </w:trPr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68" w:after="0"/>
              <w:ind w:left="0" w:right="280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Reference V</w:t>
            </w:r>
            <w:r>
              <w:rPr>
                <w:w w:val="97.07748095194498"/>
                <w:rFonts w:ascii="Helvetica" w:hAnsi="Helvetica" w:eastAsia="Helvetica"/>
                <w:b/>
                <w:i w:val="0"/>
                <w:color w:val="221F1F"/>
                <w:sz w:val="12"/>
              </w:rPr>
              <w:t>PRG</w:t>
            </w: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 xml:space="preserve"> [V]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4" w:after="0"/>
              <w:ind w:left="0" w:right="114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0.4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38" w:after="0"/>
              <w:ind w:left="458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221F1F"/>
                <w:sz w:val="20"/>
              </w:rPr>
              <w:t>1)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3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97000" cy="279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0" cy="279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4" w:after="0"/>
              <w:ind w:left="0" w:right="256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0.4</w:t>
            </w:r>
          </w:p>
        </w:tc>
      </w:tr>
      <w:tr>
        <w:trPr>
          <w:trHeight w:hRule="exact" w:val="198"/>
        </w:trPr>
        <w:tc>
          <w:tcPr>
            <w:tcW w:type="dxa" w:w="783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6" w:after="0"/>
              <w:ind w:left="26" w:right="0" w:firstLine="0"/>
              <w:jc w:val="lef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4.5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46" w:after="0"/>
              <w:ind w:left="0" w:right="118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Reference |V</w:t>
            </w:r>
            <w:r>
              <w:rPr>
                <w:w w:val="97.07748095194498"/>
                <w:rFonts w:ascii="Helvetica" w:hAnsi="Helvetica" w:eastAsia="Helvetica"/>
                <w:b/>
                <w:i w:val="0"/>
                <w:color w:val="221F1F"/>
                <w:sz w:val="12"/>
              </w:rPr>
              <w:t>ERS</w:t>
            </w: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| [V]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6" w:after="0"/>
              <w:ind w:left="24" w:right="0" w:firstLine="0"/>
              <w:jc w:val="lef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4.5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6" w:after="0"/>
              <w:ind w:left="0" w:right="114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0.3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6" w:after="0"/>
              <w:ind w:left="0" w:right="256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0.3</w:t>
            </w:r>
          </w:p>
        </w:tc>
      </w:tr>
      <w:tr>
        <w:trPr>
          <w:trHeight w:hRule="exact" w:val="256"/>
        </w:trPr>
        <w:tc>
          <w:tcPr>
            <w:tcW w:type="dxa" w:w="783"/>
            <w:vMerge/>
            <w:tcBorders/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0" w:firstLine="0"/>
              <w:jc w:val="center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4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114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0.2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90" w:after="0"/>
              <w:ind w:left="47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221F1F"/>
                <w:sz w:val="20"/>
              </w:rPr>
              <w:t>2)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3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97000" cy="1905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154" w:right="0" w:firstLine="0"/>
              <w:jc w:val="lef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4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82" w:after="0"/>
              <w:ind w:left="0" w:right="256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0.2</w:t>
            </w:r>
          </w:p>
        </w:tc>
      </w:tr>
      <w:tr>
        <w:trPr>
          <w:trHeight w:hRule="exact" w:val="48"/>
        </w:trPr>
        <w:tc>
          <w:tcPr>
            <w:tcW w:type="dxa" w:w="783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8" w:after="0"/>
              <w:ind w:left="26" w:right="0" w:firstLine="0"/>
              <w:jc w:val="lef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3.5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8" w:after="0"/>
              <w:ind w:left="24" w:right="0" w:firstLine="0"/>
              <w:jc w:val="lef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3.5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</w:tr>
      <w:tr>
        <w:trPr>
          <w:trHeight w:hRule="exact" w:val="296"/>
        </w:trPr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8" w:after="0"/>
              <w:ind w:left="0" w:right="114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0.1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8" w:after="0"/>
              <w:ind w:left="0" w:right="256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0.1</w:t>
            </w:r>
          </w:p>
        </w:tc>
      </w:tr>
      <w:tr>
        <w:trPr>
          <w:trHeight w:hRule="exact" w:val="220"/>
        </w:trPr>
        <w:tc>
          <w:tcPr>
            <w:tcW w:type="dxa" w:w="783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8" w:after="0"/>
              <w:ind w:left="0" w:right="0" w:firstLine="0"/>
              <w:jc w:val="center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3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26" w:after="0"/>
              <w:ind w:left="0" w:right="48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221F1F"/>
                <w:sz w:val="20"/>
              </w:rPr>
              <w:t xml:space="preserve">2) 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0" w:right="244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0" w:after="0"/>
              <w:ind w:left="3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97000" cy="1778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0" cy="17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,Bold" w:hAnsi="Arial,Bold" w:eastAsia="Arial,Bold"/>
                <w:b/>
                <w:i w:val="0"/>
                <w:color w:val="221F1F"/>
                <w:sz w:val="20"/>
              </w:rPr>
              <w:t>3)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8" w:after="0"/>
              <w:ind w:left="154" w:right="0" w:firstLine="0"/>
              <w:jc w:val="lef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3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0" w:right="386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0</w:t>
            </w:r>
          </w:p>
        </w:tc>
      </w:tr>
      <w:tr>
        <w:trPr>
          <w:trHeight w:hRule="exact" w:val="200"/>
        </w:trPr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8" w:after="0"/>
              <w:ind w:left="0" w:right="64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-0.1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8" w:after="0"/>
              <w:ind w:left="0" w:right="206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-0.1</w:t>
            </w:r>
          </w:p>
        </w:tc>
      </w:tr>
      <w:tr>
        <w:trPr>
          <w:trHeight w:hRule="exact" w:val="60"/>
        </w:trPr>
        <w:tc>
          <w:tcPr>
            <w:tcW w:type="dxa" w:w="783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26" w:right="0" w:firstLine="0"/>
              <w:jc w:val="lef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2.5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24" w:right="0" w:firstLine="0"/>
              <w:jc w:val="lef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2.5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</w:tr>
      <w:tr>
        <w:trPr>
          <w:trHeight w:hRule="exact" w:val="50"/>
        </w:trPr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6" w:after="0"/>
              <w:ind w:left="0" w:right="64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-0.2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6" w:after="0"/>
              <w:ind w:left="0" w:right="206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-0.2</w:t>
            </w:r>
          </w:p>
        </w:tc>
      </w:tr>
      <w:tr>
        <w:trPr>
          <w:trHeight w:hRule="exact" w:val="190"/>
        </w:trPr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84" w:after="0"/>
              <w:ind w:left="0" w:right="48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221F1F"/>
                <w:sz w:val="20"/>
              </w:rPr>
              <w:t xml:space="preserve">3) 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</w:tr>
      <w:tr>
        <w:trPr>
          <w:trHeight w:hRule="exact" w:val="590"/>
        </w:trPr>
        <w:tc>
          <w:tcPr>
            <w:tcW w:type="dxa" w:w="783"/>
            <w:vMerge/>
            <w:tcBorders/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8" w:val="left"/>
              </w:tabs>
              <w:autoSpaceDE w:val="0"/>
              <w:widowControl/>
              <w:spacing w:line="112" w:lineRule="exact" w:before="120" w:after="0"/>
              <w:ind w:left="156" w:right="144" w:firstLine="0"/>
              <w:jc w:val="lef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 xml:space="preserve">2 </w:t>
            </w:r>
            <w:r>
              <w:br/>
            </w: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2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58" w:after="0"/>
              <w:ind w:left="0" w:right="612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5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6" w:val="left"/>
              </w:tabs>
              <w:autoSpaceDE w:val="0"/>
              <w:widowControl/>
              <w:spacing w:line="112" w:lineRule="exact" w:before="120" w:after="0"/>
              <w:ind w:left="154" w:right="288" w:firstLine="0"/>
              <w:jc w:val="lef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 xml:space="preserve">2 </w:t>
            </w:r>
            <w:r>
              <w:br/>
            </w: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2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58" w:after="0"/>
              <w:ind w:left="0" w:right="756" w:firstLine="0"/>
              <w:jc w:val="right"/>
            </w:pPr>
            <w:r>
              <w:rPr>
                <w:w w:val="97.07872867584229"/>
                <w:rFonts w:ascii="Helvetica" w:hAnsi="Helvetica" w:eastAsia="Helvetica"/>
                <w:b/>
                <w:i w:val="0"/>
                <w:color w:val="221F1F"/>
                <w:sz w:val="16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222" w:lineRule="exact" w:before="42" w:after="24"/>
        <w:ind w:left="9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Fig. 6 –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switching matrices for ERS (a) and PRG (c) sweep.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degradation in bottom-right corners is due to parasitic charge </w:t>
      </w:r>
      <w:r>
        <w:rPr>
          <w:rFonts w:ascii="Times" w:hAnsi="Times" w:eastAsia="Times"/>
          <w:b w:val="0"/>
          <w:i w:val="0"/>
          <w:color w:val="221F1F"/>
          <w:sz w:val="20"/>
        </w:rPr>
        <w:t>trapping. Three significant regions of (a) are highlighted in (b), showing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shd w:val="clear" w:color="auto" w:fill="020404"/>
          <w:rFonts w:ascii="Times" w:hAnsi="Times" w:eastAsia="Times"/>
          <w:b w:val="0"/>
          <w:i/>
          <w:color w:val="221F1F"/>
          <w:sz w:val="10"/>
        </w:rPr>
        <w:t>T</w:t>
      </w:r>
      <w:r>
        <w:rPr>
          <w:shd w:val="clear" w:color="auto" w:fill="020404"/>
          <w:rFonts w:ascii="Times" w:hAnsi="Times" w:eastAsia="Times"/>
          <w:b w:val="0"/>
          <w:i w:val="0"/>
          <w:color w:val="221F1F"/>
          <w:sz w:val="20"/>
        </w:rPr>
        <w:t xml:space="preserve"> vs. </w:t>
      </w:r>
      <w:r>
        <w:rPr>
          <w:shd w:val="clear" w:color="auto" w:fill="020404"/>
          <w:rFonts w:ascii="Times" w:hAnsi="Times" w:eastAsia="Times"/>
          <w:b w:val="0"/>
          <w:i/>
          <w:color w:val="221F1F"/>
          <w:sz w:val="20"/>
        </w:rPr>
        <w:t>|V</w:t>
      </w:r>
      <w:r>
        <w:rPr>
          <w:shd w:val="clear" w:color="auto" w:fill="020404"/>
          <w:rFonts w:ascii="Times" w:hAnsi="Times" w:eastAsia="Times"/>
          <w:b w:val="0"/>
          <w:i/>
          <w:color w:val="221F1F"/>
          <w:sz w:val="10"/>
        </w:rPr>
        <w:t>ERS</w:t>
      </w:r>
      <w:r>
        <w:rPr>
          <w:shd w:val="clear" w:color="auto" w:fill="020404"/>
          <w:rFonts w:ascii="Times" w:hAnsi="Times" w:eastAsia="Times"/>
          <w:b w:val="0"/>
          <w:i/>
          <w:color w:val="221F1F"/>
          <w:sz w:val="20"/>
        </w:rPr>
        <w:t xml:space="preserve">| </w:t>
      </w:r>
      <w:r>
        <w:rPr>
          <w:shd w:val="clear" w:color="auto" w:fill="020404"/>
          <w:rFonts w:ascii="Times" w:hAnsi="Times" w:eastAsia="Times"/>
          <w:b w:val="0"/>
          <w:i w:val="0"/>
          <w:color w:val="221F1F"/>
          <w:sz w:val="20"/>
        </w:rPr>
        <w:t>trace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 with two (1), one (2) and no (3)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jumps.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50.0" w:type="dxa"/>
      </w:tblPr>
      <w:tblGrid>
        <w:gridCol w:w="2740"/>
        <w:gridCol w:w="2740"/>
        <w:gridCol w:w="2740"/>
        <w:gridCol w:w="2740"/>
      </w:tblGrid>
      <w:tr>
        <w:trPr>
          <w:trHeight w:hRule="exact" w:val="440"/>
        </w:trPr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378" w:after="0"/>
              <w:ind w:left="266" w:right="0" w:firstLine="0"/>
              <w:jc w:val="left"/>
            </w:pP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>|V</w:t>
            </w:r>
            <w:r>
              <w:rPr>
                <w:rFonts w:ascii="Helvetica" w:hAnsi="Helvetica" w:eastAsia="Helvetica"/>
                <w:b/>
                <w:i w:val="0"/>
                <w:color w:val="221F1F"/>
                <w:sz w:val="13"/>
              </w:rPr>
              <w:t>ERS</w:t>
            </w: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>| [V]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56" w:after="0"/>
              <w:ind w:left="168" w:right="0" w:firstLine="0"/>
              <w:jc w:val="left"/>
            </w:pP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>5</w:t>
            </w:r>
          </w:p>
        </w:tc>
        <w:tc>
          <w:tcPr>
            <w:tcW w:type="dxa" w:w="33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6" w:after="0"/>
              <w:ind w:left="0" w:right="137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20"/>
              </w:rPr>
              <w:t xml:space="preserve">MW [V] </w:t>
            </w:r>
          </w:p>
        </w:tc>
        <w:tc>
          <w:tcPr>
            <w:tcW w:type="dxa" w:w="49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0" w:after="0"/>
              <w:ind w:left="0" w:right="1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460500" cy="914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20"/>
        </w:trPr>
        <w:tc>
          <w:tcPr>
            <w:tcW w:type="dxa" w:w="2740"/>
            <w:vMerge/>
            <w:tcBorders/>
          </w:tcPr>
          <w:p/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96" w:after="0"/>
              <w:ind w:left="28" w:right="0" w:firstLine="0"/>
              <w:jc w:val="left"/>
            </w:pP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>4.5</w:t>
            </w:r>
          </w:p>
        </w:tc>
        <w:tc>
          <w:tcPr>
            <w:tcW w:type="dxa" w:w="33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8" w:after="0"/>
              <w:ind w:left="0" w:right="1428" w:firstLine="0"/>
              <w:jc w:val="right"/>
            </w:pP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>0.6</w:t>
            </w:r>
          </w:p>
        </w:tc>
        <w:tc>
          <w:tcPr>
            <w:tcW w:type="dxa" w:w="2740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740"/>
            <w:vMerge/>
            <w:tcBorders/>
          </w:tcPr>
          <w:p/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4" w:after="0"/>
              <w:ind w:left="168" w:right="0" w:firstLine="0"/>
              <w:jc w:val="left"/>
            </w:pP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>4</w:t>
            </w:r>
          </w:p>
        </w:tc>
        <w:tc>
          <w:tcPr>
            <w:tcW w:type="dxa" w:w="33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64" w:after="0"/>
              <w:ind w:left="0" w:right="1428" w:firstLine="0"/>
              <w:jc w:val="right"/>
            </w:pP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>0.4</w:t>
            </w:r>
          </w:p>
        </w:tc>
        <w:tc>
          <w:tcPr>
            <w:tcW w:type="dxa" w:w="2740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2740"/>
            <w:vMerge/>
            <w:tcBorders/>
          </w:tcPr>
          <w:p/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54" w:after="0"/>
              <w:ind w:left="28" w:right="0" w:firstLine="0"/>
              <w:jc w:val="left"/>
            </w:pP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>3.5</w:t>
            </w:r>
          </w:p>
        </w:tc>
        <w:tc>
          <w:tcPr>
            <w:tcW w:type="dxa" w:w="2740"/>
            <w:vMerge/>
            <w:tcBorders/>
          </w:tcPr>
          <w:p/>
        </w:tc>
        <w:tc>
          <w:tcPr>
            <w:tcW w:type="dxa" w:w="2740"/>
            <w:vMerge/>
            <w:tcBorders/>
          </w:tcPr>
          <w:p/>
        </w:tc>
      </w:tr>
      <w:tr>
        <w:trPr>
          <w:trHeight w:hRule="exact" w:val="464"/>
        </w:trPr>
        <w:tc>
          <w:tcPr>
            <w:tcW w:type="dxa" w:w="2740"/>
            <w:vMerge/>
            <w:tcBorders/>
          </w:tcPr>
          <w:p/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96" w:after="0"/>
              <w:ind w:left="168" w:right="0" w:firstLine="0"/>
              <w:jc w:val="left"/>
            </w:pP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>3</w:t>
            </w:r>
          </w:p>
        </w:tc>
        <w:tc>
          <w:tcPr>
            <w:tcW w:type="dxa" w:w="33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52" w:after="0"/>
              <w:ind w:left="0" w:right="1428" w:firstLine="0"/>
              <w:jc w:val="right"/>
            </w:pP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>0.2</w:t>
            </w:r>
          </w:p>
        </w:tc>
        <w:tc>
          <w:tcPr>
            <w:tcW w:type="dxa" w:w="27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6" w:lineRule="exact" w:before="10" w:after="84"/>
        <w:ind w:left="1058" w:right="0" w:firstLine="0"/>
        <w:jc w:val="left"/>
      </w:pPr>
      <w:r>
        <w:rPr>
          <w:w w:val="101.2493694529814"/>
          <w:rFonts w:ascii="Helvetica" w:hAnsi="Helvetica" w:eastAsia="Helvetica"/>
          <w:b/>
          <w:i w:val="0"/>
          <w:color w:val="221F1F"/>
          <w:sz w:val="17"/>
        </w:rPr>
        <w:t>2.5</w:t>
      </w:r>
    </w:p>
    <w:p>
      <w:pPr>
        <w:sectPr>
          <w:type w:val="continuous"/>
          <w:pgSz w:w="12240" w:h="15840"/>
          <w:pgMar w:top="370" w:right="648" w:bottom="158" w:left="630" w:header="720" w:footer="720" w:gutter="0"/>
          <w:cols w:space="720" w:num="1" w:equalWidth="0">
            <w:col w:w="10962" w:space="0"/>
            <w:col w:w="5514" w:space="0"/>
            <w:col w:w="5448" w:space="0"/>
            <w:col w:w="10962" w:space="0"/>
            <w:col w:w="10962" w:space="0"/>
            <w:col w:w="5478" w:space="0"/>
            <w:col w:w="5484" w:space="0"/>
            <w:col w:w="1096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90.0" w:type="dxa"/>
      </w:tblPr>
      <w:tblGrid>
        <w:gridCol w:w="1827"/>
        <w:gridCol w:w="1827"/>
        <w:gridCol w:w="1827"/>
        <w:gridCol w:w="1827"/>
        <w:gridCol w:w="1827"/>
        <w:gridCol w:w="1827"/>
      </w:tblGrid>
      <w:tr>
        <w:trPr>
          <w:trHeight w:hRule="exact" w:val="588"/>
        </w:trPr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88" w:val="left"/>
              </w:tabs>
              <w:autoSpaceDE w:val="0"/>
              <w:widowControl/>
              <w:spacing w:line="122" w:lineRule="exact" w:before="84" w:after="0"/>
              <w:ind w:left="608" w:right="288" w:firstLine="0"/>
              <w:jc w:val="left"/>
            </w:pP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 xml:space="preserve">2 </w:t>
            </w:r>
            <w:r>
              <w:br/>
            </w: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>2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24" w:after="0"/>
              <w:ind w:left="0" w:right="0" w:firstLine="0"/>
              <w:jc w:val="right"/>
            </w:pP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>3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04" w:after="0"/>
              <w:ind w:left="0" w:right="0" w:firstLine="0"/>
              <w:jc w:val="center"/>
            </w:pP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>V</w:t>
            </w:r>
            <w:r>
              <w:rPr>
                <w:rFonts w:ascii="Helvetica" w:hAnsi="Helvetica" w:eastAsia="Helvetica"/>
                <w:b/>
                <w:i w:val="0"/>
                <w:color w:val="221F1F"/>
                <w:sz w:val="13"/>
              </w:rPr>
              <w:t>PRG</w:t>
            </w: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 xml:space="preserve"> [V]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24" w:after="0"/>
              <w:ind w:left="28" w:right="0" w:firstLine="0"/>
              <w:jc w:val="left"/>
            </w:pP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>4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24" w:after="0"/>
              <w:ind w:left="0" w:right="156" w:firstLine="0"/>
              <w:jc w:val="right"/>
            </w:pP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>5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8" w:after="0"/>
              <w:ind w:left="158" w:right="0" w:firstLine="0"/>
              <w:jc w:val="left"/>
            </w:pPr>
            <w:r>
              <w:rPr>
                <w:w w:val="101.2493694529814"/>
                <w:rFonts w:ascii="Helvetica" w:hAnsi="Helvetica" w:eastAsia="Helvetica"/>
                <w:b/>
                <w:i w:val="0"/>
                <w:color w:val="221F1F"/>
                <w:sz w:val="17"/>
              </w:rPr>
              <w:t>0</w:t>
            </w:r>
          </w:p>
        </w:tc>
      </w:tr>
    </w:tbl>
    <w:p>
      <w:pPr>
        <w:autoSpaceDN w:val="0"/>
        <w:autoSpaceDE w:val="0"/>
        <w:widowControl/>
        <w:spacing w:line="224" w:lineRule="exact" w:before="6" w:after="0"/>
        <w:ind w:left="90" w:right="288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Fig. 7 – MW switching matrix: two consecutively switching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domains identified by dashed squares. Stars indicate the PRG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and ERS limit values necessary for the domain switching. </w:t>
      </w:r>
    </w:p>
    <w:p>
      <w:pPr>
        <w:sectPr>
          <w:type w:val="continuous"/>
          <w:pgSz w:w="12240" w:h="15840"/>
          <w:pgMar w:top="370" w:right="648" w:bottom="158" w:left="630" w:header="720" w:footer="720" w:gutter="0"/>
          <w:cols w:space="720" w:num="2" w:equalWidth="0">
            <w:col w:w="5452" w:space="0"/>
            <w:col w:w="5510" w:space="0"/>
            <w:col w:w="10962" w:space="0"/>
            <w:col w:w="5514" w:space="0"/>
            <w:col w:w="5448" w:space="0"/>
            <w:col w:w="10962" w:space="0"/>
            <w:col w:w="10962" w:space="0"/>
            <w:col w:w="5478" w:space="0"/>
            <w:col w:w="5484" w:space="0"/>
            <w:col w:w="10962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250"/>
        <w:ind w:left="398" w:right="144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Fig. 8 – FeFET structure implemented in TCAD: the two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domain gate stack exhibits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jumps similar to experimental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observation in Fig. 5. More gradual switching events are due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to the adopted Preisach model in the simulation. </w:t>
      </w:r>
    </w:p>
    <w:p>
      <w:pPr>
        <w:sectPr>
          <w:type w:val="nextColumn"/>
          <w:pgSz w:w="12240" w:h="15840"/>
          <w:pgMar w:top="370" w:right="648" w:bottom="158" w:left="630" w:header="720" w:footer="720" w:gutter="0"/>
          <w:cols w:space="720" w:num="2" w:equalWidth="0">
            <w:col w:w="5452" w:space="0"/>
            <w:col w:w="5510" w:space="0"/>
            <w:col w:w="10962" w:space="0"/>
            <w:col w:w="5514" w:space="0"/>
            <w:col w:w="5448" w:space="0"/>
            <w:col w:w="10962" w:space="0"/>
            <w:col w:w="10962" w:space="0"/>
            <w:col w:w="5478" w:space="0"/>
            <w:col w:w="5484" w:space="0"/>
            <w:col w:w="10962" w:space="0"/>
          </w:cols>
          <w:docGrid w:linePitch="360"/>
        </w:sectPr>
      </w:pPr>
    </w:p>
    <w:p>
      <w:pPr>
        <w:autoSpaceDN w:val="0"/>
        <w:tabs>
          <w:tab w:pos="5264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20404"/>
          <w:sz w:val="18"/>
        </w:rPr>
        <w:t xml:space="preserve">IEDM15-689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20404"/>
          <w:sz w:val="18"/>
        </w:rPr>
        <w:t>26.8.2</w:t>
      </w:r>
    </w:p>
    <w:p>
      <w:pPr>
        <w:sectPr>
          <w:type w:val="continuous"/>
          <w:pgSz w:w="12240" w:h="15840"/>
          <w:pgMar w:top="370" w:right="648" w:bottom="158" w:left="630" w:header="720" w:footer="720" w:gutter="0"/>
          <w:cols w:space="720" w:num="1" w:equalWidth="0">
            <w:col w:w="10962" w:space="0"/>
            <w:col w:w="5452" w:space="0"/>
            <w:col w:w="5510" w:space="0"/>
            <w:col w:w="10962" w:space="0"/>
            <w:col w:w="5514" w:space="0"/>
            <w:col w:w="5448" w:space="0"/>
            <w:col w:w="10962" w:space="0"/>
            <w:col w:w="10962" w:space="0"/>
            <w:col w:w="5478" w:space="0"/>
            <w:col w:w="5484" w:space="0"/>
            <w:col w:w="1096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5219700</wp:posOffset>
            </wp:positionV>
            <wp:extent cx="368300" cy="9017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901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2463800</wp:posOffset>
            </wp:positionH>
            <wp:positionV relativeFrom="page">
              <wp:posOffset>1460500</wp:posOffset>
            </wp:positionV>
            <wp:extent cx="25400" cy="889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2463800</wp:posOffset>
            </wp:positionH>
            <wp:positionV relativeFrom="page">
              <wp:posOffset>1320800</wp:posOffset>
            </wp:positionV>
            <wp:extent cx="25400" cy="889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1320800</wp:posOffset>
            </wp:positionV>
            <wp:extent cx="25400" cy="889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1320800</wp:posOffset>
            </wp:positionV>
            <wp:extent cx="25400" cy="889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2463800</wp:posOffset>
            </wp:positionH>
            <wp:positionV relativeFrom="page">
              <wp:posOffset>1193800</wp:posOffset>
            </wp:positionV>
            <wp:extent cx="25400" cy="889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1193800</wp:posOffset>
            </wp:positionV>
            <wp:extent cx="25400" cy="889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1054100</wp:posOffset>
            </wp:positionV>
            <wp:extent cx="25400" cy="889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1054100</wp:posOffset>
            </wp:positionV>
            <wp:extent cx="25400" cy="889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927100</wp:posOffset>
            </wp:positionV>
            <wp:extent cx="1485900" cy="8255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25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7023100</wp:posOffset>
            </wp:positionH>
            <wp:positionV relativeFrom="page">
              <wp:posOffset>5003800</wp:posOffset>
            </wp:positionV>
            <wp:extent cx="63500" cy="635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6056630</wp:posOffset>
            </wp:positionH>
            <wp:positionV relativeFrom="page">
              <wp:posOffset>4986020</wp:posOffset>
            </wp:positionV>
            <wp:extent cx="1236979" cy="1233815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236979" cy="12338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3975100</wp:posOffset>
            </wp:positionH>
            <wp:positionV relativeFrom="page">
              <wp:posOffset>1016000</wp:posOffset>
            </wp:positionV>
            <wp:extent cx="381000" cy="2413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3975100</wp:posOffset>
            </wp:positionH>
            <wp:positionV relativeFrom="page">
              <wp:posOffset>1016000</wp:posOffset>
            </wp:positionV>
            <wp:extent cx="381000" cy="2413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4292600</wp:posOffset>
            </wp:positionH>
            <wp:positionV relativeFrom="page">
              <wp:posOffset>876300</wp:posOffset>
            </wp:positionV>
            <wp:extent cx="533400" cy="3810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3454400</wp:posOffset>
            </wp:positionH>
            <wp:positionV relativeFrom="page">
              <wp:posOffset>812800</wp:posOffset>
            </wp:positionV>
            <wp:extent cx="1219200" cy="4445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3454400</wp:posOffset>
            </wp:positionH>
            <wp:positionV relativeFrom="page">
              <wp:posOffset>7569200</wp:posOffset>
            </wp:positionV>
            <wp:extent cx="88900" cy="508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3403600</wp:posOffset>
            </wp:positionH>
            <wp:positionV relativeFrom="page">
              <wp:posOffset>7556500</wp:posOffset>
            </wp:positionV>
            <wp:extent cx="228600" cy="1524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3454400</wp:posOffset>
            </wp:positionH>
            <wp:positionV relativeFrom="page">
              <wp:posOffset>7569200</wp:posOffset>
            </wp:positionV>
            <wp:extent cx="88900" cy="508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3454400</wp:posOffset>
            </wp:positionH>
            <wp:positionV relativeFrom="page">
              <wp:posOffset>7569200</wp:posOffset>
            </wp:positionV>
            <wp:extent cx="88900" cy="508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3403600</wp:posOffset>
            </wp:positionH>
            <wp:positionV relativeFrom="page">
              <wp:posOffset>7556500</wp:posOffset>
            </wp:positionV>
            <wp:extent cx="228600" cy="1524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3683000</wp:posOffset>
            </wp:positionH>
            <wp:positionV relativeFrom="page">
              <wp:posOffset>8001000</wp:posOffset>
            </wp:positionV>
            <wp:extent cx="114300" cy="381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3683000</wp:posOffset>
            </wp:positionH>
            <wp:positionV relativeFrom="page">
              <wp:posOffset>7645400</wp:posOffset>
            </wp:positionV>
            <wp:extent cx="901700" cy="8890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889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.0" w:type="dxa"/>
      </w:tblPr>
      <w:tblGrid>
        <w:gridCol w:w="1091"/>
        <w:gridCol w:w="1091"/>
        <w:gridCol w:w="1091"/>
        <w:gridCol w:w="1091"/>
        <w:gridCol w:w="1091"/>
        <w:gridCol w:w="1091"/>
        <w:gridCol w:w="1091"/>
        <w:gridCol w:w="1091"/>
        <w:gridCol w:w="1091"/>
        <w:gridCol w:w="1091"/>
      </w:tblGrid>
      <w:tr>
        <w:trPr>
          <w:trHeight w:hRule="exact" w:val="496"/>
        </w:trPr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24"/>
              </w:rPr>
              <w:t xml:space="preserve">a) </w:t>
            </w:r>
          </w:p>
        </w:tc>
        <w:tc>
          <w:tcPr>
            <w:tcW w:type="dxa" w:w="1720"/>
            <w:vMerge w:val="restart"/>
            <w:tcBorders>
              <w:end w:sz="12.0" w:val="single" w:color="#ED1E2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94" w:after="0"/>
              <w:ind w:left="24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ED1E24"/>
                <w:sz w:val="18"/>
              </w:rPr>
              <w:t xml:space="preserve">PRG </w:t>
            </w:r>
          </w:p>
        </w:tc>
        <w:tc>
          <w:tcPr>
            <w:tcW w:type="dxa" w:w="382"/>
            <w:tcBorders>
              <w:start w:sz="12.0" w:val="single" w:color="#ED1E24"/>
              <w:end w:sz="12.0" w:val="single" w:color="#05B04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78"/>
            <w:tcBorders>
              <w:start w:sz="12.0" w:val="single" w:color="#05B04F"/>
              <w:end w:sz="12.0" w:val="single" w:color="#353E98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80"/>
            <w:vMerge w:val="restart"/>
            <w:tcBorders>
              <w:start w:sz="12.0" w:val="single" w:color="#353E98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10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24"/>
              </w:rPr>
              <w:t xml:space="preserve">b) </w:t>
            </w:r>
          </w:p>
        </w:tc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76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4300" cy="1016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42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24"/>
              </w:rPr>
              <w:t>c)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6" w:after="0"/>
              <w:ind w:left="0" w:right="2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9779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977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16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9779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977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6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3200" cy="9779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977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60"/>
        </w:trPr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>
              <w:end w:sz="12.0" w:val="single" w:color="#ED1E24"/>
            </w:tcBorders>
          </w:tcPr>
          <w:p/>
        </w:tc>
        <w:tc>
          <w:tcPr>
            <w:tcW w:type="dxa" w:w="382"/>
            <w:tcBorders>
              <w:start w:sz="12.0" w:val="single" w:color="#ED1E24"/>
              <w:end w:sz="12.0" w:val="single" w:color="#05B04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78"/>
            <w:tcBorders>
              <w:start w:sz="12.0" w:val="single" w:color="#05B04F"/>
              <w:end w:sz="12.0" w:val="single" w:color="#353E98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91"/>
            <w:vMerge/>
            <w:tcBorders>
              <w:start w:sz="12.0" w:val="single" w:color="#353E98"/>
            </w:tcBorders>
          </w:tcPr>
          <w:p/>
        </w:tc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/>
          </w:tcPr>
          <w:p/>
        </w:tc>
      </w:tr>
      <w:tr>
        <w:trPr>
          <w:trHeight w:hRule="exact" w:val="390"/>
        </w:trPr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>
              <w:end w:sz="12.0" w:val="single" w:color="#ED1E24"/>
            </w:tcBorders>
          </w:tcPr>
          <w:p/>
        </w:tc>
        <w:tc>
          <w:tcPr>
            <w:tcW w:type="dxa" w:w="382"/>
            <w:vMerge w:val="restart"/>
            <w:tcBorders>
              <w:start w:sz="12.0" w:val="single" w:color="#ED1E24"/>
              <w:end w:sz="12.0" w:val="single" w:color="#05B04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78"/>
            <w:vMerge w:val="restart"/>
            <w:tcBorders>
              <w:start w:sz="12.0" w:val="single" w:color="#05B04F"/>
              <w:end w:sz="12.0" w:val="single" w:color="#353E98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091"/>
            <w:vMerge/>
            <w:tcBorders>
              <w:start w:sz="12.0" w:val="single" w:color="#353E98"/>
            </w:tcBorders>
          </w:tcPr>
          <w:p/>
        </w:tc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/>
          </w:tcPr>
          <w:p/>
        </w:tc>
      </w:tr>
      <w:tr>
        <w:trPr>
          <w:trHeight w:hRule="exact" w:val="310"/>
        </w:trPr>
        <w:tc>
          <w:tcPr>
            <w:tcW w:type="dxa" w:w="1091"/>
            <w:vMerge/>
            <w:tcBorders/>
          </w:tcPr>
          <w:p/>
        </w:tc>
        <w:tc>
          <w:tcPr>
            <w:tcW w:type="dxa" w:w="1720"/>
            <w:vMerge w:val="restart"/>
            <w:tcBorders>
              <w:end w:sz="12.0" w:val="single" w:color="#ED1E2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350" w:after="0"/>
              <w:ind w:left="23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353E98"/>
                <w:sz w:val="18"/>
              </w:rPr>
              <w:t xml:space="preserve">ERS </w:t>
            </w:r>
          </w:p>
        </w:tc>
        <w:tc>
          <w:tcPr>
            <w:tcW w:type="dxa" w:w="1091"/>
            <w:vMerge/>
            <w:tcBorders>
              <w:start w:sz="12.0" w:val="single" w:color="#ED1E24"/>
              <w:end w:sz="12.0" w:val="single" w:color="#05B04F"/>
            </w:tcBorders>
          </w:tcPr>
          <w:p/>
        </w:tc>
        <w:tc>
          <w:tcPr>
            <w:tcW w:type="dxa" w:w="1091"/>
            <w:vMerge/>
            <w:tcBorders>
              <w:start w:sz="12.0" w:val="single" w:color="#05B04F"/>
              <w:end w:sz="12.0" w:val="single" w:color="#353E98"/>
            </w:tcBorders>
          </w:tcPr>
          <w:p/>
        </w:tc>
        <w:tc>
          <w:tcPr>
            <w:tcW w:type="dxa" w:w="1091"/>
            <w:vMerge/>
            <w:tcBorders>
              <w:start w:sz="12.0" w:val="single" w:color="#353E98"/>
            </w:tcBorders>
          </w:tcPr>
          <w:p/>
        </w:tc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/>
          </w:tcPr>
          <w:p/>
        </w:tc>
      </w:tr>
      <w:tr>
        <w:trPr>
          <w:trHeight w:hRule="exact" w:val="912"/>
        </w:trPr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>
              <w:end w:sz="12.0" w:val="single" w:color="#ED1E24"/>
            </w:tcBorders>
          </w:tcPr>
          <w:p/>
        </w:tc>
        <w:tc>
          <w:tcPr>
            <w:tcW w:type="dxa" w:w="382"/>
            <w:tcBorders>
              <w:start w:sz="12.0" w:val="single" w:color="#ED1E24"/>
              <w:end w:sz="12.0" w:val="single" w:color="#05B04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91"/>
            <w:vMerge/>
            <w:tcBorders>
              <w:start w:sz="12.0" w:val="single" w:color="#05B04F"/>
              <w:end w:sz="12.0" w:val="single" w:color="#353E98"/>
            </w:tcBorders>
          </w:tcPr>
          <w:p/>
        </w:tc>
        <w:tc>
          <w:tcPr>
            <w:tcW w:type="dxa" w:w="1091"/>
            <w:vMerge/>
            <w:tcBorders>
              <w:start w:sz="12.0" w:val="single" w:color="#353E98"/>
            </w:tcBorders>
          </w:tcPr>
          <w:p/>
        </w:tc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/>
          </w:tcPr>
          <w:p/>
        </w:tc>
        <w:tc>
          <w:tcPr>
            <w:tcW w:type="dxa" w:w="109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52" w:lineRule="exact" w:before="43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Fig. 9 – a) Cell with three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levels and b) their corresponding </w:t>
      </w:r>
      <w:r>
        <w:rPr>
          <w:rFonts w:ascii="Times" w:hAnsi="Times" w:eastAsia="Times"/>
          <w:b w:val="0"/>
          <w:i/>
          <w:color w:val="221F1F"/>
          <w:sz w:val="20"/>
        </w:rPr>
        <w:t>I</w:t>
      </w:r>
      <w:r>
        <w:rPr>
          <w:rFonts w:ascii="Times" w:hAnsi="Times" w:eastAsia="Times"/>
          <w:b w:val="0"/>
          <w:i/>
          <w:color w:val="221F1F"/>
          <w:sz w:val="10"/>
        </w:rPr>
        <w:t>D</w:t>
      </w:r>
      <w:r>
        <w:rPr>
          <w:rFonts w:ascii="Times" w:hAnsi="Times" w:eastAsia="Times"/>
          <w:b w:val="0"/>
          <w:i/>
          <w:color w:val="221F1F"/>
          <w:sz w:val="20"/>
        </w:rPr>
        <w:t>-V</w:t>
      </w:r>
      <w:r>
        <w:rPr>
          <w:rFonts w:ascii="Times" w:hAnsi="Times" w:eastAsia="Times"/>
          <w:b w:val="0"/>
          <w:i/>
          <w:color w:val="221F1F"/>
          <w:sz w:val="10"/>
        </w:rPr>
        <w:t>G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curves sampled in 50 cycles of PRG operation at 4V and erase </w:t>
      </w:r>
    </w:p>
    <w:p>
      <w:pPr>
        <w:autoSpaceDN w:val="0"/>
        <w:autoSpaceDE w:val="0"/>
        <w:widowControl/>
        <w:spacing w:line="25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operations at -4.5V and -4.85V (indicated by vertical lines in (a)).  c) extracted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levels show a very low cycle-to-cycle variability.</w:t>
      </w:r>
    </w:p>
    <w:p>
      <w:pPr>
        <w:autoSpaceDN w:val="0"/>
        <w:autoSpaceDE w:val="0"/>
        <w:widowControl/>
        <w:spacing w:line="240" w:lineRule="auto" w:before="260" w:after="166"/>
        <w:ind w:left="0" w:right="99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667000" cy="761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61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3637"/>
        <w:gridCol w:w="3637"/>
        <w:gridCol w:w="3637"/>
      </w:tblGrid>
      <w:tr>
        <w:trPr>
          <w:trHeight w:hRule="exact" w:val="520"/>
        </w:trPr>
        <w:tc>
          <w:tcPr>
            <w:tcW w:type="dxa" w:w="4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0" w:after="0"/>
              <w:ind w:left="6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27200" cy="2921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292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65200" cy="8128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2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0" w:after="0"/>
              <w:ind w:left="2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92200" cy="889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00"/>
        </w:trPr>
        <w:tc>
          <w:tcPr>
            <w:tcW w:type="dxa" w:w="3637"/>
            <w:vMerge/>
            <w:tcBorders/>
          </w:tcPr>
          <w:p/>
        </w:tc>
        <w:tc>
          <w:tcPr>
            <w:tcW w:type="dxa" w:w="3637"/>
            <w:vMerge/>
            <w:tcBorders/>
          </w:tcPr>
          <w:p/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2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92200" cy="1270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60"/>
        </w:trPr>
        <w:tc>
          <w:tcPr>
            <w:tcW w:type="dxa" w:w="4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6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39900" cy="1905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37"/>
            <w:vMerge/>
            <w:tcBorders/>
          </w:tcPr>
          <w:p/>
        </w:tc>
        <w:tc>
          <w:tcPr>
            <w:tcW w:type="dxa" w:w="3637"/>
            <w:vMerge/>
            <w:tcBorders/>
          </w:tcPr>
          <w:p/>
        </w:tc>
      </w:tr>
      <w:tr>
        <w:trPr>
          <w:trHeight w:hRule="exact" w:val="600"/>
        </w:trPr>
        <w:tc>
          <w:tcPr>
            <w:tcW w:type="dxa" w:w="4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6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27200" cy="3556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35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37"/>
            <w:vMerge/>
            <w:tcBorders/>
          </w:tcPr>
          <w:p/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2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79500" cy="1270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916"/>
        <w:ind w:left="0" w:right="0"/>
      </w:pPr>
    </w:p>
    <w:p>
      <w:pPr>
        <w:sectPr>
          <w:pgSz w:w="12240" w:h="15840"/>
          <w:pgMar w:top="352" w:right="610" w:bottom="158" w:left="720" w:header="720" w:footer="720" w:gutter="0"/>
          <w:cols w:space="720" w:num="1" w:equalWidth="0">
            <w:col w:w="10910" w:space="0"/>
            <w:col w:w="10962" w:space="0"/>
            <w:col w:w="5452" w:space="0"/>
            <w:col w:w="5510" w:space="0"/>
            <w:col w:w="10962" w:space="0"/>
            <w:col w:w="5514" w:space="0"/>
            <w:col w:w="5448" w:space="0"/>
            <w:col w:w="10962" w:space="0"/>
            <w:col w:w="10962" w:space="0"/>
            <w:col w:w="5478" w:space="0"/>
            <w:col w:w="5484" w:space="0"/>
            <w:col w:w="10962" w:space="0"/>
          </w:cols>
          <w:docGrid w:linePitch="360"/>
        </w:sectPr>
      </w:pPr>
    </w:p>
    <w:p>
      <w:pPr>
        <w:autoSpaceDN w:val="0"/>
        <w:tabs>
          <w:tab w:pos="4942" w:val="left"/>
        </w:tabs>
        <w:autoSpaceDE w:val="0"/>
        <w:widowControl/>
        <w:spacing w:line="132" w:lineRule="exact" w:before="0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10"/>
        </w:rPr>
        <w:t xml:space="preserve">5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Fig. 10 – Three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states are separated and stable up to 10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program +4V/500ns and erase -4.85V/500ns cycles. </w:t>
      </w:r>
    </w:p>
    <w:p>
      <w:pPr>
        <w:sectPr>
          <w:type w:val="continuous"/>
          <w:pgSz w:w="12240" w:h="15840"/>
          <w:pgMar w:top="352" w:right="610" w:bottom="158" w:left="720" w:header="720" w:footer="720" w:gutter="0"/>
          <w:cols w:space="720" w:num="2" w:equalWidth="0">
            <w:col w:w="5080" w:space="0"/>
            <w:col w:w="5830" w:space="0"/>
            <w:col w:w="10910" w:space="0"/>
            <w:col w:w="10962" w:space="0"/>
            <w:col w:w="5452" w:space="0"/>
            <w:col w:w="5510" w:space="0"/>
            <w:col w:w="10962" w:space="0"/>
            <w:col w:w="5514" w:space="0"/>
            <w:col w:w="5448" w:space="0"/>
            <w:col w:w="10962" w:space="0"/>
            <w:col w:w="10962" w:space="0"/>
            <w:col w:w="5478" w:space="0"/>
            <w:col w:w="5484" w:space="0"/>
            <w:col w:w="10962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56" w:after="0"/>
        <w:ind w:left="88" w:right="432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Fig. 11 – Retention of the three 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/>
          <w:color w:val="221F1F"/>
          <w:sz w:val="10"/>
        </w:rPr>
        <w:t>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states measured up to 10 h at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room temperature. No domain back-switching occurs. Initial </w:t>
      </w:r>
    </w:p>
    <w:p>
      <w:pPr>
        <w:autoSpaceDN w:val="0"/>
        <w:autoSpaceDE w:val="0"/>
        <w:widowControl/>
        <w:spacing w:line="222" w:lineRule="exact" w:before="2" w:after="0"/>
        <w:ind w:left="8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transient behavior is most probably due to the de-trapping of </w:t>
      </w:r>
    </w:p>
    <w:p>
      <w:pPr>
        <w:autoSpaceDN w:val="0"/>
        <w:autoSpaceDE w:val="0"/>
        <w:widowControl/>
        <w:spacing w:line="224" w:lineRule="exact" w:before="0" w:after="190"/>
        <w:ind w:left="8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parasitic charge. </w:t>
      </w:r>
    </w:p>
    <w:p>
      <w:pPr>
        <w:sectPr>
          <w:type w:val="nextColumn"/>
          <w:pgSz w:w="12240" w:h="15840"/>
          <w:pgMar w:top="352" w:right="610" w:bottom="158" w:left="720" w:header="720" w:footer="720" w:gutter="0"/>
          <w:cols w:space="720" w:num="2" w:equalWidth="0">
            <w:col w:w="5080" w:space="0"/>
            <w:col w:w="5830" w:space="0"/>
            <w:col w:w="10910" w:space="0"/>
            <w:col w:w="10962" w:space="0"/>
            <w:col w:w="5452" w:space="0"/>
            <w:col w:w="5510" w:space="0"/>
            <w:col w:w="10962" w:space="0"/>
            <w:col w:w="5514" w:space="0"/>
            <w:col w:w="5448" w:space="0"/>
            <w:col w:w="10962" w:space="0"/>
            <w:col w:w="10962" w:space="0"/>
            <w:col w:w="5478" w:space="0"/>
            <w:col w:w="5484" w:space="0"/>
            <w:col w:w="1096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09"/>
        <w:gridCol w:w="909"/>
        <w:gridCol w:w="909"/>
        <w:gridCol w:w="909"/>
        <w:gridCol w:w="909"/>
        <w:gridCol w:w="909"/>
        <w:gridCol w:w="909"/>
        <w:gridCol w:w="909"/>
        <w:gridCol w:w="909"/>
        <w:gridCol w:w="909"/>
        <w:gridCol w:w="909"/>
        <w:gridCol w:w="909"/>
      </w:tblGrid>
      <w:tr>
        <w:trPr>
          <w:trHeight w:hRule="exact" w:val="2570"/>
        </w:trPr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510" w:after="0"/>
              <w:ind w:left="0" w:right="24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53E98"/>
                <w:sz w:val="20"/>
              </w:rPr>
              <w:t xml:space="preserve">ERS 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50" w:after="0"/>
              <w:ind w:left="0" w:right="7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79400" cy="9271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927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25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ED1E24"/>
                <w:sz w:val="20"/>
              </w:rPr>
              <w:t xml:space="preserve">PRG </w:t>
            </w:r>
          </w:p>
        </w:tc>
        <w:tc>
          <w:tcPr>
            <w:tcW w:type="dxa" w:w="36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0" w:after="0"/>
              <w:ind w:left="3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06600" cy="15875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0" cy="1587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3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24"/>
              </w:rPr>
              <w:t>a)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8300" cy="1235709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12357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21F1F"/>
                <w:sz w:val="24"/>
              </w:rPr>
              <w:t xml:space="preserve">b) </w:t>
            </w:r>
          </w:p>
        </w:tc>
      </w:tr>
      <w:tr>
        <w:trPr>
          <w:trHeight w:hRule="exact" w:val="280"/>
        </w:trPr>
        <w:tc>
          <w:tcPr>
            <w:tcW w:type="dxa" w:w="3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0" w:after="0"/>
              <w:ind w:left="0" w:right="288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Fig. 12 – Distribution of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/>
                <w:color w:val="221F1F"/>
                <w:sz w:val="10"/>
              </w:rPr>
              <w:t>G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levels for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PRG and ERS operation at which the </w:t>
            </w:r>
          </w:p>
        </w:tc>
        <w:tc>
          <w:tcPr>
            <w:tcW w:type="dxa" w:w="368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0" w:after="0"/>
              <w:ind w:left="336" w:right="144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Fig. 13 –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/>
                <w:color w:val="221F1F"/>
                <w:sz w:val="10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vs.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/>
                <w:color w:val="221F1F"/>
                <w:sz w:val="10"/>
              </w:rPr>
              <w:t>PRG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trace for a 80x90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nm² device exhibits an increased </w:t>
            </w:r>
          </w:p>
        </w:tc>
        <w:tc>
          <w:tcPr>
            <w:tcW w:type="dxa" w:w="909"/>
            <w:vMerge/>
            <w:tcBorders/>
          </w:tcPr>
          <w:p/>
        </w:tc>
        <w:tc>
          <w:tcPr>
            <w:tcW w:type="dxa" w:w="32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Fig. 14 – a) Top-view TEM image of </w:t>
            </w:r>
          </w:p>
        </w:tc>
      </w:tr>
      <w:tr>
        <w:trPr>
          <w:trHeight w:hRule="exact" w:val="188"/>
        </w:trPr>
        <w:tc>
          <w:tcPr>
            <w:tcW w:type="dxa" w:w="1818"/>
            <w:gridSpan w:val="2"/>
            <w:vMerge/>
            <w:tcBorders/>
          </w:tcPr>
          <w:p/>
        </w:tc>
        <w:tc>
          <w:tcPr>
            <w:tcW w:type="dxa" w:w="3636"/>
            <w:gridSpan w:val="4"/>
            <w:vMerge/>
            <w:tcBorders/>
          </w:tcPr>
          <w:p/>
        </w:tc>
        <w:tc>
          <w:tcPr>
            <w:tcW w:type="dxa" w:w="909"/>
            <w:vMerge/>
            <w:tcBorders/>
          </w:tcPr>
          <w:p/>
        </w:tc>
        <w:tc>
          <w:tcPr>
            <w:tcW w:type="dxa" w:w="32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5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polycrystalline Si:HfO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layer after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removing the gate electrode and b) </w:t>
            </w:r>
          </w:p>
        </w:tc>
      </w:tr>
      <w:tr>
        <w:trPr>
          <w:trHeight w:hRule="exact" w:val="247"/>
        </w:trPr>
        <w:tc>
          <w:tcPr>
            <w:tcW w:type="dxa" w:w="3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58" w:after="0"/>
              <w:ind w:left="0" w:right="288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first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/>
                <w:color w:val="221F1F"/>
                <w:sz w:val="10"/>
              </w:rPr>
              <w:t>T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jump occurs. Data extracted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from 60 devices. </w:t>
            </w:r>
          </w:p>
        </w:tc>
        <w:tc>
          <w:tcPr>
            <w:tcW w:type="dxa" w:w="36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3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number of single domain switching </w:t>
            </w:r>
          </w:p>
        </w:tc>
        <w:tc>
          <w:tcPr>
            <w:tcW w:type="dxa" w:w="909"/>
            <w:vMerge/>
            <w:tcBorders/>
          </w:tcPr>
          <w:p/>
        </w:tc>
        <w:tc>
          <w:tcPr>
            <w:tcW w:type="dxa" w:w="4545"/>
            <w:gridSpan w:val="5"/>
            <w:vMerge/>
            <w:tcBorders/>
          </w:tcPr>
          <w:p/>
        </w:tc>
      </w:tr>
      <w:tr>
        <w:trPr>
          <w:trHeight w:hRule="exact" w:val="221"/>
        </w:trPr>
        <w:tc>
          <w:tcPr>
            <w:tcW w:type="dxa" w:w="1818"/>
            <w:gridSpan w:val="2"/>
            <w:vMerge/>
            <w:tcBorders/>
          </w:tcPr>
          <w:p/>
        </w:tc>
        <w:tc>
          <w:tcPr>
            <w:tcW w:type="dxa" w:w="36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3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events (shown by arrows)  compared </w:t>
            </w:r>
          </w:p>
        </w:tc>
        <w:tc>
          <w:tcPr>
            <w:tcW w:type="dxa" w:w="909"/>
            <w:vMerge/>
            <w:tcBorders/>
          </w:tcPr>
          <w:p/>
        </w:tc>
        <w:tc>
          <w:tcPr>
            <w:tcW w:type="dxa" w:w="32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top-view SEM image of 10 nm FE </w:t>
            </w:r>
          </w:p>
        </w:tc>
      </w:tr>
      <w:tr>
        <w:trPr>
          <w:trHeight w:hRule="exact" w:val="240"/>
        </w:trPr>
        <w:tc>
          <w:tcPr>
            <w:tcW w:type="dxa" w:w="3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44" w:after="0"/>
              <w:ind w:left="0" w:right="9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41400" cy="5461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400" cy="546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8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3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to the 80x30 nm² device of Fig. 5. </w:t>
            </w:r>
          </w:p>
        </w:tc>
        <w:tc>
          <w:tcPr>
            <w:tcW w:type="dxa" w:w="909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7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film,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the 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extracted 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grain 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1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size </w:t>
            </w:r>
          </w:p>
        </w:tc>
      </w:tr>
      <w:tr>
        <w:trPr>
          <w:trHeight w:hRule="exact" w:val="132"/>
        </w:trPr>
        <w:tc>
          <w:tcPr>
            <w:tcW w:type="dxa" w:w="1818"/>
            <w:gridSpan w:val="2"/>
            <w:vMerge/>
            <w:tcBorders/>
          </w:tcPr>
          <w:p/>
        </w:tc>
        <w:tc>
          <w:tcPr>
            <w:tcW w:type="dxa" w:w="3636"/>
            <w:gridSpan w:val="4"/>
            <w:vMerge/>
            <w:tcBorders/>
          </w:tcPr>
          <w:p/>
        </w:tc>
        <w:tc>
          <w:tcPr>
            <w:tcW w:type="dxa" w:w="909"/>
            <w:vMerge/>
            <w:tcBorders/>
          </w:tcPr>
          <w:p/>
        </w:tc>
        <w:tc>
          <w:tcPr>
            <w:tcW w:type="dxa" w:w="32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7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distribution and its Poisson fit. </w:t>
            </w:r>
          </w:p>
        </w:tc>
      </w:tr>
      <w:tr>
        <w:trPr>
          <w:trHeight w:hRule="exact" w:val="202"/>
        </w:trPr>
        <w:tc>
          <w:tcPr>
            <w:tcW w:type="dxa" w:w="1818"/>
            <w:gridSpan w:val="2"/>
            <w:vMerge/>
            <w:tcBorders/>
          </w:tcPr>
          <w:p/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2" w:after="0"/>
              <w:ind w:left="0" w:right="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508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40" w:after="0"/>
              <w:ind w:left="0" w:right="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2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6200" cy="381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220" w:val="left"/>
              </w:tabs>
              <w:autoSpaceDE w:val="0"/>
              <w:widowControl/>
              <w:spacing w:line="240" w:lineRule="auto" w:before="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0800" cy="508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406400" cy="1270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09"/>
            <w:vMerge/>
            <w:tcBorders/>
          </w:tcPr>
          <w:p/>
        </w:tc>
        <w:tc>
          <w:tcPr>
            <w:tcW w:type="dxa" w:w="4545"/>
            <w:gridSpan w:val="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818"/>
            <w:gridSpan w:val="2"/>
            <w:vMerge/>
            <w:tcBorders/>
          </w:tcPr>
          <w:p/>
        </w:tc>
        <w:tc>
          <w:tcPr>
            <w:tcW w:type="dxa" w:w="909"/>
            <w:vMerge/>
            <w:tcBorders/>
          </w:tcPr>
          <w:p/>
        </w:tc>
        <w:tc>
          <w:tcPr>
            <w:tcW w:type="dxa" w:w="2727"/>
            <w:gridSpan w:val="3"/>
            <w:vMerge/>
            <w:tcBorders/>
          </w:tcPr>
          <w:p/>
        </w:tc>
        <w:tc>
          <w:tcPr>
            <w:tcW w:type="dxa" w:w="909"/>
            <w:vMerge/>
            <w:tcBorders/>
          </w:tcPr>
          <w:p/>
        </w:tc>
        <w:tc>
          <w:tcPr>
            <w:tcW w:type="dxa" w:w="32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12" w:after="0"/>
              <w:ind w:left="7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References: </w:t>
            </w:r>
          </w:p>
        </w:tc>
      </w:tr>
      <w:tr>
        <w:trPr>
          <w:trHeight w:hRule="exact" w:val="94"/>
        </w:trPr>
        <w:tc>
          <w:tcPr>
            <w:tcW w:type="dxa" w:w="1818"/>
            <w:gridSpan w:val="2"/>
            <w:vMerge/>
            <w:tcBorders/>
          </w:tcPr>
          <w:p/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0" w:right="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40" w:after="0"/>
              <w:ind w:left="0" w:right="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508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" cy="508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127000" cy="508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09"/>
            <w:vMerge/>
            <w:tcBorders/>
          </w:tcPr>
          <w:p/>
        </w:tc>
        <w:tc>
          <w:tcPr>
            <w:tcW w:type="dxa" w:w="4545"/>
            <w:gridSpan w:val="5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1818"/>
            <w:gridSpan w:val="2"/>
            <w:vMerge/>
            <w:tcBorders/>
          </w:tcPr>
          <w:p/>
        </w:tc>
        <w:tc>
          <w:tcPr>
            <w:tcW w:type="dxa" w:w="909"/>
            <w:vMerge/>
            <w:tcBorders/>
          </w:tcPr>
          <w:p/>
        </w:tc>
        <w:tc>
          <w:tcPr>
            <w:tcW w:type="dxa" w:w="2727"/>
            <w:gridSpan w:val="3"/>
            <w:vMerge/>
            <w:tcBorders/>
          </w:tcPr>
          <w:p/>
        </w:tc>
        <w:tc>
          <w:tcPr>
            <w:tcW w:type="dxa" w:w="909"/>
            <w:vMerge/>
            <w:tcBorders/>
          </w:tcPr>
          <w:p/>
        </w:tc>
        <w:tc>
          <w:tcPr>
            <w:tcW w:type="dxa" w:w="32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[1] J. Müller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et al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.,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VLSI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, 25-26, 2012. </w:t>
            </w:r>
          </w:p>
        </w:tc>
      </w:tr>
      <w:tr>
        <w:trPr>
          <w:trHeight w:hRule="exact" w:val="88"/>
        </w:trPr>
        <w:tc>
          <w:tcPr>
            <w:tcW w:type="dxa" w:w="1818"/>
            <w:gridSpan w:val="2"/>
            <w:vMerge/>
            <w:tcBorders/>
          </w:tcPr>
          <w:p/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03200" cy="889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09"/>
            <w:vMerge/>
            <w:tcBorders/>
          </w:tcPr>
          <w:p/>
        </w:tc>
        <w:tc>
          <w:tcPr>
            <w:tcW w:type="dxa" w:w="4545"/>
            <w:gridSpan w:val="5"/>
            <w:vMerge/>
            <w:tcBorders/>
          </w:tcPr>
          <w:p/>
        </w:tc>
      </w:tr>
      <w:tr>
        <w:trPr>
          <w:trHeight w:hRule="exact" w:val="92"/>
        </w:trPr>
        <w:tc>
          <w:tcPr>
            <w:tcW w:type="dxa" w:w="1818"/>
            <w:gridSpan w:val="2"/>
            <w:vMerge/>
            <w:tcBorders/>
          </w:tcPr>
          <w:p/>
        </w:tc>
        <w:tc>
          <w:tcPr>
            <w:tcW w:type="dxa" w:w="909"/>
            <w:vMerge/>
            <w:tcBorders/>
          </w:tcPr>
          <w:p/>
        </w:tc>
        <w:tc>
          <w:tcPr>
            <w:tcW w:type="dxa" w:w="909"/>
            <w:vMerge/>
            <w:tcBorders/>
          </w:tcPr>
          <w:p/>
        </w:tc>
        <w:tc>
          <w:tcPr>
            <w:tcW w:type="dxa" w:w="909"/>
            <w:vMerge/>
            <w:tcBorders/>
          </w:tcPr>
          <w:p/>
        </w:tc>
        <w:tc>
          <w:tcPr>
            <w:tcW w:type="dxa" w:w="909"/>
            <w:vMerge/>
            <w:tcBorders/>
          </w:tcPr>
          <w:p/>
        </w:tc>
        <w:tc>
          <w:tcPr>
            <w:tcW w:type="dxa" w:w="909"/>
            <w:vMerge/>
            <w:tcBorders/>
          </w:tcPr>
          <w:p/>
        </w:tc>
        <w:tc>
          <w:tcPr>
            <w:tcW w:type="dxa" w:w="32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7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[2] JEDEC, JESD28A, 2012. </w:t>
            </w:r>
          </w:p>
        </w:tc>
      </w:tr>
      <w:tr>
        <w:trPr>
          <w:trHeight w:hRule="exact" w:val="120"/>
        </w:trPr>
        <w:tc>
          <w:tcPr>
            <w:tcW w:type="dxa" w:w="1818"/>
            <w:gridSpan w:val="2"/>
            <w:vMerge/>
            <w:tcBorders/>
          </w:tcPr>
          <w:p/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5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4300" cy="381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09"/>
            <w:vMerge/>
            <w:tcBorders/>
          </w:tcPr>
          <w:p/>
        </w:tc>
        <w:tc>
          <w:tcPr>
            <w:tcW w:type="dxa" w:w="4545"/>
            <w:gridSpan w:val="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818"/>
            <w:gridSpan w:val="2"/>
            <w:vMerge/>
            <w:tcBorders/>
          </w:tcPr>
          <w:p/>
        </w:tc>
        <w:tc>
          <w:tcPr>
            <w:tcW w:type="dxa" w:w="909"/>
            <w:vMerge/>
            <w:tcBorders/>
          </w:tcPr>
          <w:p/>
        </w:tc>
        <w:tc>
          <w:tcPr>
            <w:tcW w:type="dxa" w:w="2727"/>
            <w:gridSpan w:val="3"/>
            <w:vMerge/>
            <w:tcBorders/>
          </w:tcPr>
          <w:p/>
        </w:tc>
        <w:tc>
          <w:tcPr>
            <w:tcW w:type="dxa" w:w="909"/>
            <w:vMerge/>
            <w:tcBorders/>
          </w:tcPr>
          <w:p/>
        </w:tc>
        <w:tc>
          <w:tcPr>
            <w:tcW w:type="dxa" w:w="32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7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[3] M. Kohli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et al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., 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APL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, </w:t>
            </w: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>72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,  1998. </w:t>
            </w:r>
          </w:p>
        </w:tc>
      </w:tr>
      <w:tr>
        <w:trPr>
          <w:trHeight w:hRule="exact" w:val="224"/>
        </w:trPr>
        <w:tc>
          <w:tcPr>
            <w:tcW w:type="dxa" w:w="1818"/>
            <w:gridSpan w:val="2"/>
            <w:vMerge/>
            <w:tcBorders/>
          </w:tcPr>
          <w:p/>
        </w:tc>
        <w:tc>
          <w:tcPr>
            <w:tcW w:type="dxa" w:w="368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0" w:after="0"/>
              <w:ind w:left="0" w:right="21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1270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09"/>
            <w:vMerge/>
            <w:tcBorders/>
          </w:tcPr>
          <w:p/>
        </w:tc>
        <w:tc>
          <w:tcPr>
            <w:tcW w:type="dxa" w:w="32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" w:after="0"/>
              <w:ind w:left="7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[4] Y. Tan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et al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.,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Nat.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Sci. Rep.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5, </w:t>
            </w:r>
          </w:p>
        </w:tc>
      </w:tr>
      <w:tr>
        <w:trPr>
          <w:trHeight w:hRule="exact" w:val="224"/>
        </w:trPr>
        <w:tc>
          <w:tcPr>
            <w:tcW w:type="dxa" w:w="1818"/>
            <w:gridSpan w:val="2"/>
            <w:vMerge/>
            <w:tcBorders/>
          </w:tcPr>
          <w:p/>
        </w:tc>
        <w:tc>
          <w:tcPr>
            <w:tcW w:type="dxa" w:w="3636"/>
            <w:gridSpan w:val="4"/>
            <w:vMerge/>
            <w:tcBorders/>
          </w:tcPr>
          <w:p/>
        </w:tc>
        <w:tc>
          <w:tcPr>
            <w:tcW w:type="dxa" w:w="909"/>
            <w:vMerge/>
            <w:tcBorders/>
          </w:tcPr>
          <w:p/>
        </w:tc>
        <w:tc>
          <w:tcPr>
            <w:tcW w:type="dxa" w:w="32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" w:after="0"/>
              <w:ind w:left="27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(2015) </w:t>
            </w:r>
          </w:p>
        </w:tc>
      </w:tr>
      <w:tr>
        <w:trPr>
          <w:trHeight w:hRule="exact" w:val="222"/>
        </w:trPr>
        <w:tc>
          <w:tcPr>
            <w:tcW w:type="dxa" w:w="1818"/>
            <w:gridSpan w:val="2"/>
            <w:vMerge/>
            <w:tcBorders/>
          </w:tcPr>
          <w:p/>
        </w:tc>
        <w:tc>
          <w:tcPr>
            <w:tcW w:type="dxa" w:w="3636"/>
            <w:gridSpan w:val="4"/>
            <w:vMerge/>
            <w:tcBorders/>
          </w:tcPr>
          <w:p/>
        </w:tc>
        <w:tc>
          <w:tcPr>
            <w:tcW w:type="dxa" w:w="909"/>
            <w:vMerge/>
            <w:tcBorders/>
          </w:tcPr>
          <w:p/>
        </w:tc>
        <w:tc>
          <w:tcPr>
            <w:tcW w:type="dxa" w:w="32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7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[5] S. Salahuddin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et al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.,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Nano Lett.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, </w:t>
            </w:r>
          </w:p>
        </w:tc>
      </w:tr>
    </w:tbl>
    <w:p>
      <w:pPr>
        <w:autoSpaceDN w:val="0"/>
        <w:autoSpaceDE w:val="0"/>
        <w:widowControl/>
        <w:spacing w:line="222" w:lineRule="exact" w:before="2" w:after="164"/>
        <w:ind w:left="0" w:right="1290" w:firstLine="0"/>
        <w:jc w:val="righ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 8(2), 405-410, 2008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64"/>
        <w:gridCol w:w="1364"/>
        <w:gridCol w:w="1364"/>
        <w:gridCol w:w="1364"/>
        <w:gridCol w:w="1364"/>
        <w:gridCol w:w="1364"/>
        <w:gridCol w:w="1364"/>
        <w:gridCol w:w="1364"/>
      </w:tblGrid>
      <w:tr>
        <w:trPr>
          <w:trHeight w:hRule="exact" w:val="282"/>
        </w:trPr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Fig. 15 – Switching voltage vs. grain 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9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Fig. 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16 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2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– 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Various 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16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processing 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3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This work was supported in part by </w:t>
            </w:r>
          </w:p>
        </w:tc>
      </w:tr>
      <w:tr>
        <w:trPr>
          <w:trHeight w:hRule="exact" w:val="232"/>
        </w:trPr>
        <w:tc>
          <w:tcPr>
            <w:tcW w:type="dxa" w:w="3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4" w:after="0"/>
              <w:ind w:left="0" w:right="288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radius for a 10nm thick FE HfO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film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derived from the grain size and </w:t>
            </w:r>
          </w:p>
        </w:tc>
        <w:tc>
          <w:tcPr>
            <w:tcW w:type="dxa" w:w="38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conditions can be used to tailor the 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33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the EFRE fund of the European </w:t>
            </w:r>
          </w:p>
        </w:tc>
      </w:tr>
      <w:tr>
        <w:trPr>
          <w:trHeight w:hRule="exact" w:val="221"/>
        </w:trPr>
        <w:tc>
          <w:tcPr>
            <w:tcW w:type="dxa" w:w="1364"/>
            <w:vMerge/>
            <w:tcBorders/>
          </w:tcPr>
          <w:p/>
        </w:tc>
        <w:tc>
          <w:tcPr>
            <w:tcW w:type="dxa" w:w="1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1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dependence </w:t>
            </w:r>
          </w:p>
        </w:tc>
        <w:tc>
          <w:tcPr>
            <w:tcW w:type="dxa" w:w="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9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of 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the 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6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polarization 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3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Commission within the scope of </w:t>
            </w:r>
          </w:p>
        </w:tc>
      </w:tr>
      <w:tr>
        <w:trPr>
          <w:trHeight w:hRule="exact" w:val="222"/>
        </w:trPr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voltage jump distributions shown in </w:t>
            </w:r>
          </w:p>
        </w:tc>
        <w:tc>
          <w:tcPr>
            <w:tcW w:type="dxa" w:w="38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reversal barrier on grain size, directly 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3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technology development and in part </w:t>
            </w:r>
          </w:p>
        </w:tc>
      </w:tr>
      <w:tr>
        <w:trPr>
          <w:trHeight w:hRule="exact" w:val="225"/>
        </w:trPr>
        <w:tc>
          <w:tcPr>
            <w:tcW w:type="dxa" w:w="3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Fig.s 14 and 12, respectively. </w:t>
            </w:r>
          </w:p>
        </w:tc>
        <w:tc>
          <w:tcPr>
            <w:tcW w:type="dxa" w:w="38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" w:after="0"/>
              <w:ind w:left="33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impacting MW. 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3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by the Free State of Saxony. </w:t>
            </w:r>
          </w:p>
        </w:tc>
      </w:tr>
      <w:tr>
        <w:trPr>
          <w:trHeight w:hRule="exact" w:val="424"/>
        </w:trPr>
        <w:tc>
          <w:tcPr>
            <w:tcW w:type="dxa" w:w="1364"/>
            <w:vMerge/>
            <w:tcBorders/>
          </w:tcPr>
          <w:p/>
        </w:tc>
        <w:tc>
          <w:tcPr>
            <w:tcW w:type="dxa" w:w="38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4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20404"/>
                <w:sz w:val="18"/>
              </w:rPr>
              <w:t>26.8.3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42" w:after="0"/>
              <w:ind w:left="0" w:right="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20404"/>
                <w:sz w:val="18"/>
              </w:rPr>
              <w:t>IEDM15-690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2240" w:h="15840"/>
      <w:pgMar w:top="352" w:right="610" w:bottom="158" w:left="720" w:header="720" w:footer="720" w:gutter="0"/>
      <w:cols w:space="720" w:num="1" w:equalWidth="0">
        <w:col w:w="10910" w:space="0"/>
        <w:col w:w="5080" w:space="0"/>
        <w:col w:w="5830" w:space="0"/>
        <w:col w:w="10910" w:space="0"/>
        <w:col w:w="10962" w:space="0"/>
        <w:col w:w="5452" w:space="0"/>
        <w:col w:w="5510" w:space="0"/>
        <w:col w:w="10962" w:space="0"/>
        <w:col w:w="5514" w:space="0"/>
        <w:col w:w="5448" w:space="0"/>
        <w:col w:w="10962" w:space="0"/>
        <w:col w:w="10962" w:space="0"/>
        <w:col w:w="5478" w:space="0"/>
        <w:col w:w="5484" w:space="0"/>
        <w:col w:w="1096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