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Ferroelectricity in Hafnium Oxide: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CMOS compatible Ferroelectric Field Effect Transistors </w:t>
      </w:r>
    </w:p>
    <w:p>
      <w:pPr>
        <w:autoSpaceDN w:val="0"/>
        <w:tabs>
          <w:tab w:pos="1396" w:val="left"/>
          <w:tab w:pos="2146" w:val="left"/>
        </w:tabs>
        <w:autoSpaceDE w:val="0"/>
        <w:widowControl/>
        <w:spacing w:line="259" w:lineRule="auto" w:before="212" w:after="0"/>
        <w:ind w:left="12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T. S. Böscke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J. Müller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D. Bräuhaus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U. Schröder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U. Böttger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Löberwallgraben 2, 99096 Erfurt, Germany, Tel: +49 179 775 20 29, </w:t>
      </w:r>
      <w:r>
        <w:rPr>
          <w:rFonts w:ascii="TimesNewRoman,BoldItalic" w:hAnsi="TimesNewRoman,BoldItalic" w:eastAsia="TimesNewRoman,BoldItalic"/>
          <w:b/>
          <w:i/>
          <w:color w:val="000000"/>
          <w:sz w:val="20"/>
        </w:rPr>
        <w:t xml:space="preserve">Email: t.boescke@ieee.org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b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Fraunhofer Fraunhofer Center for Nanoelectronic Technology,  Dresden 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RWTH Aachen, IWE II, Aachen 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d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now at Namlab gGmbH, Dresden</w:t>
      </w:r>
    </w:p>
    <w:p>
      <w:pPr>
        <w:autoSpaceDN w:val="0"/>
        <w:tabs>
          <w:tab w:pos="5384" w:val="left"/>
        </w:tabs>
        <w:autoSpaceDE w:val="0"/>
        <w:widowControl/>
        <w:spacing w:line="245" w:lineRule="auto" w:before="260" w:after="18"/>
        <w:ind w:left="225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Abstract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crystallized in presence of a cap. We investigated the influence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mechanical encapsulation on HfSiO thin films at lower Si </w:t>
      </w:r>
    </w:p>
    <w:p>
      <w:pPr>
        <w:sectPr>
          <w:pgSz w:w="12240" w:h="15840"/>
          <w:pgMar w:top="724" w:right="610" w:bottom="15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8" w:right="0" w:firstLine="2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report the discovery of ferroelectricity in 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hafnium silicon oxide. If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thin films, at a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8"/>
        <w:ind w:left="12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content, where the complete stabilization of the tetragonal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phase does not yet occur, in metal-insulator-metal capacitors. </w:t>
      </w:r>
    </w:p>
    <w:p>
      <w:pPr>
        <w:sectPr>
          <w:type w:val="nextColumn"/>
          <w:pgSz w:w="12240" w:h="15840"/>
          <w:pgMar w:top="72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8"/>
        <w:ind w:left="1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composition where the tetragonal phase is not yet stable, are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28" w:right="1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crystallized in presence of a cap, the formation of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orthorhombic phase is observed. o-HfO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shows a piezoelectric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response, while a polarization measurements exhibit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remanent polarization above 10 µC/cm² at a coercive field of 1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18"/>
        <w:ind w:left="0" w:right="2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Ferroelectricity in Silicon doped HfO</w:t>
      </w:r>
      <w:r>
        <w:rPr>
          <w:rFonts w:ascii="TimesNewRoman,Bold" w:hAnsi="TimesNewRoman,Bold" w:eastAsia="TimesNewRoman,Bold"/>
          <w:b/>
          <w:i w:val="0"/>
          <w:color w:val="000000"/>
          <w:sz w:val="13"/>
        </w:rPr>
        <w:t xml:space="preserve">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HfSiO was deposited by a metal organic atomic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deposition process based on Tetrakis-(ethylmethylamino)-</w:t>
      </w:r>
    </w:p>
    <w:p>
      <w:pPr>
        <w:sectPr>
          <w:type w:val="nextColumn"/>
          <w:pgSz w:w="12240" w:h="15840"/>
          <w:pgMar w:top="72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687"/>
        <w:gridCol w:w="2687"/>
        <w:gridCol w:w="2687"/>
        <w:gridCol w:w="2687"/>
      </w:tblGrid>
      <w:tr>
        <w:trPr>
          <w:trHeight w:hRule="exact" w:val="20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MV/cm, confirming this phase to be ferroelectric. Transistors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hafnium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(TEMA-Hf),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Tetrakis-dimethylamino-silane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28" w:right="8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fabricated with this material exhibit a permanent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switchable shift of the threshold voltage, allowing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realization of CMOS-compatible ferroelectric field effect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transistors (FeFET) with sub 10 nm gate insulators for the first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time. </w:t>
      </w:r>
    </w:p>
    <w:p>
      <w:pPr>
        <w:autoSpaceDN w:val="0"/>
        <w:autoSpaceDE w:val="0"/>
        <w:widowControl/>
        <w:spacing w:line="230" w:lineRule="auto" w:before="26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2" w:equalWidth="0"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48" w:right="3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(4DMAS).  metalorganic precursors and ozone. The silicon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content was defined by varying the cycle ratio of the precursors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monitored by secondary ion mass spectrometry and elastic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recoil detection analysis on samples without thermal treatment.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23" w:type="dxa"/>
      </w:tblPr>
      <w:tblGrid>
        <w:gridCol w:w="10750"/>
      </w:tblGrid>
      <w:tr>
        <w:trPr>
          <w:trHeight w:hRule="exact" w:val="262"/>
        </w:trPr>
        <w:tc>
          <w:tcPr>
            <w:tcW w:type="dxa" w:w="5094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crystallization temperature of all films in the used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23" w:type="dxa"/>
      </w:tblPr>
      <w:tblGrid>
        <w:gridCol w:w="10750"/>
      </w:tblGrid>
      <w:tr>
        <w:trPr>
          <w:trHeight w:hRule="exact" w:val="270"/>
        </w:trPr>
        <w:tc>
          <w:tcPr>
            <w:tcW w:type="dxa" w:w="5096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thickness (7-12 nm) and composition range (2.5-6 mol% 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250" w:lineRule="auto" w:before="0" w:after="2"/>
        <w:ind w:left="148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  <w:highlight w:val="yellow"/>
        </w:rPr>
        <w:t xml:space="preserve">was above 500°C.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Titanium nitride electrodes were deposited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a chemical vapor deposition process based on TiCl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</w:p>
    <w:p>
      <w:pPr>
        <w:sectPr>
          <w:type w:val="nextColumn"/>
          <w:pgSz w:w="12240" w:h="15840"/>
          <w:pgMar w:top="724" w:right="610" w:bottom="158" w:left="880" w:header="720" w:footer="720" w:gutter="0"/>
          <w:cols w:space="720" w:num="2" w:equalWidth="0"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5384" w:val="left"/>
        </w:tabs>
        <w:autoSpaceDE w:val="0"/>
        <w:widowControl/>
        <w:spacing w:line="250" w:lineRule="auto" w:before="0" w:after="2"/>
        <w:ind w:left="4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is a long-term contender for a fast, low power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1" w:equalWidth="0"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8" w:right="1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nonvolatile memory technology [1]. In these devices,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is permanently stored as polarization state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insulator and can be read non-destructively as a shift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threshold voltage. The FeFET concept was experimentally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demonstrated decades ago [2], but the practical implementation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remained elusive. This is due to a thermodynamic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incompatibility of known ferroelectrics, such as lead zirconate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titanate (PZT), strontium bismuth tantalate (SBT), and strained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strontium titanate (STO) to silicon. Furthermore, due to 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band offsets to silicon [4], thick films and noble metal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 are required for low leakage devices. Numerous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 have been made to improve the stability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ferroelectrics in contact with silicon by the introduction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buffer layers [3]. However, these approaches diminish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scalability of these devices as low EOT values are required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channel control in submicron devices. Furthermore,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introduction of an electrically thick buffer layer leads to a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2" w:equalWidth="0"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20"/>
        <w:ind w:left="118" w:right="346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lowering the deposition temperature of the titanium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nitride (TiN) top electrode below the crystallization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temperature of the HfSiO dielectric, it was possible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encapsulate amorphous films and induce the crystallization 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subsequent thermal treatment step above the crystallization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temperature. We found that capacitors manufactured with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scheme exhibited non-linearities in their capacitance-voltage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behavior, which did not occur if crystallization was induced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prior to capping (Fig. 1).  A comprehensive characterization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made by electrical polarization measurements on capped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HfSiO films at different compositions. A gradual transition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ferroelectric to antiferroelectric polarization curves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observed with increasing silicon content (Fig. 2), which is also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reflected in small signal capacitance-voltage measurements.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evidence for ferroelectric and antiferroelectric behavior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obtained by measurement of the mechanic displacement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(Fig. 3). The ferroelectric sample shows clear evidence of </w:t>
      </w:r>
    </w:p>
    <w:p>
      <w:pPr>
        <w:sectPr>
          <w:type w:val="nextColumn"/>
          <w:pgSz w:w="12240" w:h="15840"/>
          <w:pgMar w:top="724" w:right="610" w:bottom="158" w:left="880" w:header="720" w:footer="720" w:gutter="0"/>
          <w:cols w:space="720" w:num="2" w:equalWidth="0"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344"/>
        <w:gridCol w:w="1344"/>
        <w:gridCol w:w="1344"/>
        <w:gridCol w:w="1344"/>
        <w:gridCol w:w="1344"/>
        <w:gridCol w:w="1344"/>
        <w:gridCol w:w="1344"/>
        <w:gridCol w:w="1344"/>
      </w:tblGrid>
      <w:tr>
        <w:trPr>
          <w:trHeight w:hRule="exact" w:val="20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degradation of data retention due to a high depolarization field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piezoelectric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behavior,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prerequisite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1" w:equalWidth="0"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[5]. It becomes clear that a silicon compatible ferroelectric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 for a reliable FeFET. </w:t>
      </w:r>
    </w:p>
    <w:p>
      <w:pPr>
        <w:autoSpaceDN w:val="0"/>
        <w:autoSpaceDE w:val="0"/>
        <w:widowControl/>
        <w:spacing w:line="247" w:lineRule="auto" w:before="20" w:after="0"/>
        <w:ind w:left="128" w:right="118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known from the search for high-k gate dielectrics,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very few metal oxides are stable in contact to silicon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exhibit a sufficient band offset at the same time [6]. One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them is the well known high-k dielectric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which has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far been only regarded as a paraelectric material. </w:t>
      </w:r>
    </w:p>
    <w:p>
      <w:pPr>
        <w:autoSpaceDN w:val="0"/>
        <w:autoSpaceDE w:val="0"/>
        <w:widowControl/>
        <w:spacing w:line="245" w:lineRule="auto" w:before="18" w:after="0"/>
        <w:ind w:left="128" w:right="0" w:firstLine="2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It has been reported [7,8], that the properties of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consequently HfSiO, thin films can be influenced, if </w:t>
      </w: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2" w:equalWidth="0"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18" w:right="3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ferroelectricity [9]. A symmetric, electrostrictive, response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observed for the antiferroelectric sample. This confirms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observed polarization loops are not caused by parasitic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electronic effects, but are of microstructural origin.</w:t>
      </w:r>
    </w:p>
    <w:p>
      <w:pPr>
        <w:autoSpaceDN w:val="0"/>
        <w:autoSpaceDE w:val="0"/>
        <w:widowControl/>
        <w:spacing w:line="250" w:lineRule="auto" w:before="20" w:after="970"/>
        <w:ind w:left="118" w:right="346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ferroelectricity is related to the crystal structure,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previously undetected crystalline phase must be present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devices as prepared here. X-ray diffraction measurements (Fig.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4) of uncapped films show good agreement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tetragonal/monoclinic-HfO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mixture, as it is commonly </w:t>
      </w:r>
    </w:p>
    <w:p>
      <w:pPr>
        <w:sectPr>
          <w:type w:val="nextColumn"/>
          <w:pgSz w:w="12240" w:h="15840"/>
          <w:pgMar w:top="724" w:right="610" w:bottom="158" w:left="880" w:header="720" w:footer="720" w:gutter="0"/>
          <w:cols w:space="720" w:num="2" w:equalWidth="0"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1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978-1-4577-0505-2/11/$26.00 ©2011 IEEE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24.5.1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IEDM11-547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24" w:right="610" w:bottom="158" w:left="880" w:header="720" w:footer="720" w:gutter="0"/>
          <w:cols w:space="720" w:num="1" w:equalWidth="0"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sectPr>
          <w:pgSz w:w="12240" w:h="15840"/>
          <w:pgMar w:top="726" w:right="936" w:bottom="158" w:left="630" w:header="720" w:footer="720" w:gutter="0"/>
          <w:cols w:space="720" w:num="1" w:equalWidth="0"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78" w:right="1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observed for crystalline thin films. Capped samples,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 a difraction pattern indicating a significant fraction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orthorhombic-HfO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 The known forms of o-HfO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(Space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groups Pbca and Pbcm) are centrosymmetric and therefore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ferroelectric. Furthermore, they are usually only observed at 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2" w:equalWidth="0"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18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programming bias for further evidence. Fig. 9 shows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programming behavior of devices at different compositions.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clear crossover from dipole switching for FE to charge trapping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AFE insulators is evident. </w:t>
      </w:r>
    </w:p>
    <w:p>
      <w:pPr>
        <w:autoSpaceDN w:val="0"/>
        <w:autoSpaceDE w:val="0"/>
        <w:widowControl/>
        <w:spacing w:line="233" w:lineRule="auto" w:before="18" w:after="18"/>
        <w:ind w:left="2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threshold voltage shift in FE devices was retained in </w:t>
      </w:r>
    </w:p>
    <w:p>
      <w:pPr>
        <w:sectPr>
          <w:type w:val="nextColumn"/>
          <w:pgSz w:w="12240" w:h="15840"/>
          <w:pgMar w:top="726" w:right="936" w:bottom="158" w:left="630" w:header="720" w:footer="720" w:gutter="0"/>
          <w:cols w:space="720" w:num="2" w:equalWidth="0"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1334"/>
        <w:gridCol w:w="1334"/>
        <w:gridCol w:w="1334"/>
        <w:gridCol w:w="1334"/>
        <w:gridCol w:w="1334"/>
        <w:gridCol w:w="1334"/>
        <w:gridCol w:w="1334"/>
        <w:gridCol w:w="1334"/>
      </w:tblGrid>
      <w:tr>
        <w:trPr>
          <w:trHeight w:hRule="exact" w:val="20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extremely high pressure. However, a similar diffraction pattern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unbiased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allowing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non-volatile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storage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1" w:equalWidth="0"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378" w:right="1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been reported [10] for a rare orthorhombic phase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space group Pbc2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Mg-doped 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which emerged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t→m transformation was inhibited by external stress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nano-scale crystallites. Similar conditions may arise in capped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thin films of HfSiO (Fig. 5). Since the chemistry of 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almost identical to that of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same phases occur in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oxides. The Pbc2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space group is not centrosymmetric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does therefore not exclude ferroelectricity. A fuller account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our investigations of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 been published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meantime [11,12,13,14]. 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2" w:equalWidth="0"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18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information. Extrapolation to 10 years yields a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window of 650 mV (Fig. 10), which suggests the viability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long-term data storage. We note that this is an exceptionally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long retention time for a FEFET which usually suffer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retention time loss due to imperfect interfaces to silicon. </w:t>
      </w:r>
    </w:p>
    <w:p>
      <w:pPr>
        <w:autoSpaceDN w:val="0"/>
        <w:autoSpaceDE w:val="0"/>
        <w:widowControl/>
        <w:spacing w:line="247" w:lineRule="auto" w:before="18" w:after="264"/>
        <w:ind w:left="118" w:right="20" w:firstLine="9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test the lateral scalability limits of this technology, we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also manufactured short channel devices. Functional devices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observed down to 80 nm x 150 nm (WxL), the smallest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 on the mask set (Fig. 11, Fig. 7). </w:t>
      </w:r>
    </w:p>
    <w:p>
      <w:pPr>
        <w:sectPr>
          <w:type w:val="nextColumn"/>
          <w:pgSz w:w="12240" w:h="15840"/>
          <w:pgMar w:top="726" w:right="936" w:bottom="158" w:left="630" w:header="720" w:footer="720" w:gutter="0"/>
          <w:cols w:space="720" w:num="2" w:equalWidth="0"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0.0" w:type="dxa"/>
      </w:tblPr>
      <w:tblGrid>
        <w:gridCol w:w="5337"/>
        <w:gridCol w:w="5337"/>
      </w:tblGrid>
      <w:tr>
        <w:trPr>
          <w:trHeight w:hRule="exact" w:val="40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6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Ferroelectric Field Effect Transistors 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Conclusions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4"/>
        <w:ind w:left="0" w:right="0"/>
      </w:pP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1" w:equalWidth="0"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378" w:right="1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high bond strength of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sets it apart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common ferroelectrics in several aspects:  The high band gap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bad offsets allow for low leakage current even for very 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films below 10 nm. The excellent thermodynamic stability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allows a direct contact to silicon and silicon dioxide. No noble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metal electrodes or buffer layers are required as in earlier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concepts [3]. </w:t>
      </w:r>
    </w:p>
    <w:p>
      <w:pPr>
        <w:autoSpaceDN w:val="0"/>
        <w:autoSpaceDE w:val="0"/>
        <w:widowControl/>
        <w:spacing w:line="250" w:lineRule="auto" w:before="20" w:after="2"/>
        <w:ind w:left="378" w:right="0" w:firstLine="19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Transistors were manufactured in a gate first scheme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gate stack consisting of 1.2 nm thermal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interface, 5-9 nm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1525"/>
        <w:gridCol w:w="1525"/>
        <w:gridCol w:w="1525"/>
        <w:gridCol w:w="1525"/>
        <w:gridCol w:w="1525"/>
        <w:gridCol w:w="1525"/>
        <w:gridCol w:w="1525"/>
      </w:tblGrid>
      <w:tr>
        <w:trPr>
          <w:trHeight w:hRule="exact" w:val="23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HfSiO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insulator,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electrode.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78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Crystallization of the HfSiO 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hin films was induced by </w:t>
      </w:r>
      <w:r>
        <w:rPr>
          <w:rFonts w:ascii="TimesNewRoman" w:hAnsi="TimesNewRoman" w:eastAsia="TimesNewRoman"/>
          <w:b w:val="0"/>
          <w:i w:val="0"/>
          <w:color w:val="000000"/>
          <w:sz w:val="20"/>
          <w:highlight w:val="yellow"/>
        </w:rPr>
        <w:t xml:space="preserve">a 1000 </w:t>
      </w:r>
      <w:r>
        <w:rPr>
          <w:rFonts w:ascii="TimesNewRoman" w:hAnsi="TimesNewRoman" w:eastAsia="TimesNewRoman"/>
          <w:b w:val="0"/>
          <w:i w:val="0"/>
          <w:color w:val="000000"/>
          <w:sz w:val="20"/>
          <w:highlight w:val="yellow"/>
        </w:rPr>
        <w:t xml:space="preserve">°C/20 s  anneal in nitrogen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after top electrode deposition.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Both long and short channel devices were manufactured. </w:t>
      </w:r>
    </w:p>
    <w:p>
      <w:pPr>
        <w:autoSpaceDN w:val="0"/>
        <w:autoSpaceDE w:val="0"/>
        <w:widowControl/>
        <w:spacing w:line="245" w:lineRule="auto" w:before="20" w:after="0"/>
        <w:ind w:left="378" w:right="124" w:firstLine="1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6 compares the behavior of devices with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with antiferroelectric gate insulators during gate 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sweeps and separate program and sense steps. The 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2" w:equalWidth="0"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14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We reported the formation of ferroelectric o-HfO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thin films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manufactured functional nano-scale FeFETs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promising electrical characteristics. Both lateral dimensions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dielectric thickness are at least an order of magnitude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smaller than previously reported devices with conventional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ferroelectrics (Fig. 12). </w:t>
      </w:r>
    </w:p>
    <w:p>
      <w:pPr>
        <w:autoSpaceDN w:val="0"/>
        <w:autoSpaceDE w:val="0"/>
        <w:widowControl/>
        <w:spacing w:line="252" w:lineRule="auto" w:before="18" w:after="0"/>
        <w:ind w:left="114" w:right="22" w:firstLine="4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Both the extraordinary reduction in size and the improvement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device characteristics are driven by the vastly superior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properties in this application and suggest the viability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nano-scale FeFET memory based on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auto" w:before="248" w:after="0"/>
        <w:ind w:left="0" w:right="169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33" w:lineRule="auto" w:before="254" w:after="8"/>
        <w:ind w:left="11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T.B. and U.S. were with Qimonda Dresden while the initial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1525"/>
        <w:gridCol w:w="1525"/>
        <w:gridCol w:w="1525"/>
        <w:gridCol w:w="1525"/>
        <w:gridCol w:w="1525"/>
        <w:gridCol w:w="1525"/>
        <w:gridCol w:w="1525"/>
      </w:tblGrid>
      <w:tr>
        <w:trPr>
          <w:trHeight w:hRule="exact" w:val="2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experimental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work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was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performed.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Jakschik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is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218"/>
        <w:ind w:left="11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acknowledged for processing the short channel device. </w:t>
      </w:r>
    </w:p>
    <w:p>
      <w:pPr>
        <w:sectPr>
          <w:type w:val="nextColumn"/>
          <w:pgSz w:w="12240" w:h="15840"/>
          <w:pgMar w:top="726" w:right="936" w:bottom="158" w:left="630" w:header="720" w:footer="720" w:gutter="0"/>
          <w:cols w:space="720" w:num="2" w:equalWidth="0"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7662" w:val="left"/>
        </w:tabs>
        <w:autoSpaceDE w:val="0"/>
        <w:widowControl/>
        <w:spacing w:line="238" w:lineRule="auto" w:before="0" w:after="14"/>
        <w:ind w:left="3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antiferroelectric device is dominated by charge trapping, as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References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1" w:equalWidth="0"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288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evident from a clockwise hysteresis and a threshold 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(Vt) shift in direction of the programming bias. This behavior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ascribed to trapping of electrons from the channel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region, a well-known behavior for devices with 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HfSiO based gate dielectrics [15]. The device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gate insulator exhibits anticlockwise hysteresis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 Vt shift opposed to the threshold voltage. This behavior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evidence for a switchable dipole in the gate insulator (Fig. 7)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 agreement with the observation of ferroelectricity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MIM capacitors.  Ferrolectric switching was observed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devices with gate dielectrics as thin as 5.5 nm. Fig. 8 shows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threshold voltage shift of such in a devices in dependence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polarity and bias for 1s pulses. At high negative programming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bias, charge trapping from the channel overcompensates the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shift from the dipole. Therefore, -3V and 4V were chosen as 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2" w:equalWidth="0"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346" w:val="left"/>
        </w:tabs>
        <w:autoSpaceDE w:val="0"/>
        <w:widowControl/>
        <w:spacing w:line="259" w:lineRule="auto" w:before="0" w:after="0"/>
        <w:ind w:left="1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[1]  N. Setter et al., JAP 100, 051606(2006)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[2]  S. Wu et al., TED 21, 499 (1974)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[3]  S.Sakai et al., EDL 25, 369 (2004)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and T. Juan, EDL 27, 217 (2006)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[4]  M. Warusawithana et al. , Science 324, 367 (2009)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[5]  T.P. Ma, EDL 23, 386  (2002)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 K. Hubbard et al., J. Mater. Res. 11 (1996)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[7]  D. Triyoso et al., APL 89, 132903 (2006)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[8]  S. Migita et al., Symp. VLSI Tech. 2008, 152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[9]  M. Lines &amp; A. Glass, Principles and Applications of Ferroelectrics,Oxford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[10] D. Marshall et al., J. Am. Ceram. Soc. 72, 218 (1989)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[11] T. S. Böscke et al., APL 99, 102903 (2011)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[12] T. S. Böscke et al., APL 99, 112904 (2011)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[13]  J. Müller et al., APL 99,  112901 (2011)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[14] T. S. Böscke, "Crystalline Hafnia and Zirconia based Dielectric for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Memory Applications", Ph.D. Thesis. </w:t>
      </w:r>
    </w:p>
    <w:p>
      <w:pPr>
        <w:autoSpaceDN w:val="0"/>
        <w:autoSpaceDE w:val="0"/>
        <w:widowControl/>
        <w:spacing w:line="230" w:lineRule="auto" w:before="22" w:after="1686"/>
        <w:ind w:left="1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[15]  P. D. Kirsch et. al, APL 89, 242909 (2006) </w:t>
      </w:r>
    </w:p>
    <w:p>
      <w:pPr>
        <w:sectPr>
          <w:type w:val="nextColumn"/>
          <w:pgSz w:w="12240" w:h="15840"/>
          <w:pgMar w:top="726" w:right="936" w:bottom="158" w:left="630" w:header="720" w:footer="720" w:gutter="0"/>
          <w:cols w:space="720" w:num="2" w:equalWidth="0"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5266" w:val="left"/>
        </w:tabs>
        <w:autoSpaceDE w:val="0"/>
        <w:widowControl/>
        <w:spacing w:line="20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IEDM11-548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24.5.2</w:t>
      </w:r>
    </w:p>
    <w:p>
      <w:pPr>
        <w:sectPr>
          <w:type w:val="continuous"/>
          <w:pgSz w:w="12240" w:h="15840"/>
          <w:pgMar w:top="726" w:right="936" w:bottom="158" w:left="630" w:header="720" w:footer="720" w:gutter="0"/>
          <w:cols w:space="720" w:num="1" w:equalWidth="0">
            <w:col w:w="10674" w:space="0"/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0.0" w:type="dxa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>
        <w:trPr>
          <w:trHeight w:hRule="exact" w:val="1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52" w:firstLine="0"/>
              <w:jc w:val="right"/>
            </w:pPr>
            <w:r>
              <w:rPr>
                <w:w w:val="97.77356556483677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Uncapped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4" w:firstLine="0"/>
              <w:jc w:val="right"/>
            </w:pPr>
            <w:r>
              <w:rPr>
                <w:w w:val="97.77356556483677"/>
                <w:rFonts w:ascii="Arial" w:hAnsi="Arial" w:eastAsia="Arial"/>
                <w:b w:val="0"/>
                <w:i w:val="0"/>
                <w:color w:val="000000"/>
                <w:sz w:val="14"/>
              </w:rPr>
              <w:t>Capped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5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Capacitance [µF/cm²]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</w:t>
            </w:r>
          </w:p>
        </w:tc>
        <w:tc>
          <w:tcPr>
            <w:tcW w:type="dxa" w:w="2180"/>
            <w:gridSpan w:val="5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45" w:type="dxa"/>
            </w:tblPr>
            <w:tblGrid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  <w:gridCol w:w="136"/>
            </w:tblGrid>
            <w:tr>
              <w:trPr>
                <w:trHeight w:hRule="exact" w:val="72"/>
              </w:trPr>
              <w:tc>
                <w:tcPr>
                  <w:tcW w:type="dxa" w:w="136"/>
                  <w:tcBorders>
                    <w:start w:sz="6.056000232696533" w:val="single" w:color="#000000"/>
                    <w:top w:sz="6.056000232696533" w:val="single" w:color="#000000"/>
                    <w:bottom w:sz="6.056000232696533" w:val="single" w:color="#000000"/>
                  </w:tcBorders>
                </w:tcPr>
                <w:p/>
              </w:tc>
              <w:tc>
                <w:tcPr>
                  <w:tcW w:type="dxa" w:w="136"/>
                  <w:tcBorders>
                    <w:start w:sz="6.056000232696533" w:val="single" w:color="#000000"/>
                    <w:top w:sz="6.056000232696533" w:val="single" w:color="#000000"/>
                    <w:bottom w:sz="6.056000232696533" w:val="single" w:color="#000000"/>
                  </w:tcBorders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  <w:tc>
                <w:tcPr>
                  <w:tcW w:type="dxa" w:w="136"/>
                </w:tcPr>
                <w:p/>
              </w:tc>
            </w:tr>
          </w:tbl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  <w:tr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  <w:tc>
          <w:tcPr>
            <w:tcW w:type="dxa" w:w="776"/>
          </w:tcPr>
          <w:p/>
        </w:tc>
      </w:tr>
    </w:tbl>
    <w:p>
      <w:pPr>
        <w:sectPr>
          <w:pgSz w:w="12240" w:h="15840"/>
          <w:pgMar w:top="800" w:right="610" w:bottom="158" w:left="770" w:header="720" w:footer="720" w:gutter="0"/>
          <w:cols w:space="720" w:num="1" w:equalWidth="0">
            <w:col w:w="10860" w:space="0"/>
            <w:col w:w="10674" w:space="0"/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>
        <w:trPr>
          <w:trHeight w:hRule="exact" w:val="284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Id [A]@Vd=25mV</w:t>
            </w:r>
          </w:p>
        </w:tc>
        <w:tc>
          <w:tcPr>
            <w:tcW w:type="dxa" w:w="2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0" w:after="0"/>
              <w:ind w:left="290" w:right="0" w:firstLine="0"/>
              <w:jc w:val="left"/>
            </w:pPr>
            <w:r>
              <w:rPr>
                <w:w w:val="103.40589176524769"/>
                <w:rFonts w:ascii="Arial" w:hAnsi="Arial" w:eastAsia="Arial"/>
                <w:b w:val="0"/>
                <w:i w:val="0"/>
                <w:color w:val="000000"/>
                <w:sz w:val="11"/>
              </w:rPr>
              <w:t xml:space="preserve">Double Sweep 2V </w:t>
            </w:r>
            <w:r>
              <w:rPr>
                <w:w w:val="103.40589176524769"/>
                <w:rFonts w:ascii="Arial" w:hAnsi="Arial" w:eastAsia="Arial"/>
                <w:b w:val="0"/>
                <w:i w:val="0"/>
                <w:color w:val="000000"/>
                <w:sz w:val="11"/>
              </w:rPr>
              <w:t>Double Sweep 4V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38300" cy="393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97.21719301663913"/>
                <w:rFonts w:ascii="Arial" w:hAnsi="Arial" w:eastAsia="Arial"/>
                <w:b w:val="0"/>
                <w:i w:val="0"/>
                <w:color w:val="000000"/>
                <w:sz w:val="13"/>
              </w:rPr>
              <w:t>Gate Bias</w:t>
            </w:r>
          </w:p>
          <w:p>
            <w:pPr>
              <w:autoSpaceDN w:val="0"/>
              <w:autoSpaceDE w:val="0"/>
              <w:widowControl/>
              <w:spacing w:line="233" w:lineRule="auto" w:before="20" w:after="0"/>
              <w:ind w:left="0" w:right="1008" w:firstLine="0"/>
              <w:jc w:val="right"/>
            </w:pPr>
            <w:r>
              <w:rPr>
                <w:w w:val="101.12352932200712"/>
                <w:rFonts w:ascii="Arial" w:hAnsi="Arial" w:eastAsia="Arial"/>
                <w:b w:val="0"/>
                <w:i w:val="0"/>
                <w:color w:val="000000"/>
                <w:sz w:val="17"/>
              </w:rPr>
              <w:t>Hysteresis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6" w:right="0" w:firstLine="0"/>
              <w:jc w:val="left"/>
            </w:pPr>
            <w:r>
              <w:rPr>
                <w:w w:val="97.21719301663913"/>
                <w:rFonts w:ascii="Arial" w:hAnsi="Arial" w:eastAsia="Arial"/>
                <w:b w:val="0"/>
                <w:i w:val="0"/>
                <w:color w:val="000000"/>
                <w:sz w:val="13"/>
              </w:rPr>
              <w:t>Gate Bias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0" w:right="0" w:firstLine="0"/>
              <w:jc w:val="center"/>
            </w:pPr>
            <w:r>
              <w:rPr>
                <w:w w:val="103.40589176524769"/>
                <w:rFonts w:ascii="Arial" w:hAnsi="Arial" w:eastAsia="Arial"/>
                <w:b w:val="0"/>
                <w:i w:val="0"/>
                <w:color w:val="FF0000"/>
                <w:sz w:val="11"/>
              </w:rPr>
              <w:t>Program</w:t>
            </w:r>
          </w:p>
        </w:tc>
        <w:tc>
          <w:tcPr>
            <w:tcW w:type="dxa" w:w="4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0" w:right="0" w:firstLine="0"/>
              <w:jc w:val="center"/>
            </w:pPr>
            <w:r>
              <w:rPr>
                <w:w w:val="103.40589176524769"/>
                <w:rFonts w:ascii="Arial" w:hAnsi="Arial" w:eastAsia="Arial"/>
                <w:b w:val="0"/>
                <w:i w:val="0"/>
                <w:color w:val="000000"/>
                <w:sz w:val="11"/>
              </w:rPr>
              <w:t>Sense</w:t>
            </w:r>
          </w:p>
        </w:tc>
        <w:tc>
          <w:tcPr>
            <w:tcW w:type="dxa" w:w="9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w w:val="103.40589176524769"/>
                <w:rFonts w:ascii="Arial" w:hAnsi="Arial" w:eastAsia="Arial"/>
                <w:b w:val="0"/>
                <w:i w:val="0"/>
                <w:color w:val="1E487C"/>
                <w:sz w:val="11"/>
              </w:rPr>
              <w:t>Program</w:t>
            </w:r>
            <w:r>
              <w:rPr>
                <w:w w:val="103.40589176524769"/>
                <w:rFonts w:ascii="Arial" w:hAnsi="Arial" w:eastAsia="Arial"/>
                <w:b w:val="0"/>
                <w:i w:val="0"/>
                <w:color w:val="000000"/>
                <w:sz w:val="11"/>
              </w:rPr>
              <w:t xml:space="preserve"> Sense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6" w:after="0"/>
              <w:ind w:left="36" w:right="0" w:firstLine="0"/>
              <w:jc w:val="left"/>
            </w:pPr>
            <w:r>
              <w:rPr>
                <w:w w:val="97.21719301663913"/>
                <w:rFonts w:ascii="Arial" w:hAnsi="Arial" w:eastAsia="Arial"/>
                <w:b w:val="0"/>
                <w:i w:val="0"/>
                <w:color w:val="000000"/>
                <w:sz w:val="13"/>
              </w:rPr>
              <w:t>Time</w:t>
            </w:r>
          </w:p>
        </w:tc>
      </w:tr>
      <w:tr>
        <w:trPr>
          <w:trHeight w:hRule="exact" w:val="460"/>
        </w:trPr>
        <w:tc>
          <w:tcPr>
            <w:tcW w:type="dxa" w:w="764"/>
            <w:vMerge/>
            <w:tcBorders/>
          </w:tcPr>
          <w:p/>
        </w:tc>
        <w:tc>
          <w:tcPr>
            <w:tcW w:type="dxa" w:w="5348"/>
            <w:gridSpan w:val="7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124" w:firstLine="0"/>
              <w:jc w:val="right"/>
            </w:pPr>
            <w:r>
              <w:rPr>
                <w:w w:val="97.21719301663913"/>
                <w:rFonts w:ascii="Arial" w:hAnsi="Arial" w:eastAsia="Arial"/>
                <w:b w:val="0"/>
                <w:i w:val="0"/>
                <w:color w:val="FF0000"/>
                <w:sz w:val="13"/>
              </w:rPr>
              <w:t>+4V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9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172" w:right="0" w:firstLine="0"/>
              <w:jc w:val="left"/>
            </w:pPr>
            <w:r>
              <w:rPr>
                <w:w w:val="97.21719301663913"/>
                <w:rFonts w:ascii="Arial" w:hAnsi="Arial" w:eastAsia="Arial"/>
                <w:b w:val="0"/>
                <w:i w:val="0"/>
                <w:color w:val="1E487C"/>
                <w:sz w:val="13"/>
              </w:rPr>
              <w:t>-3V</w:t>
            </w:r>
          </w:p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64"/>
            <w:vMerge/>
            <w:tcBorders/>
          </w:tcPr>
          <w:p/>
        </w:tc>
        <w:tc>
          <w:tcPr>
            <w:tcW w:type="dxa" w:w="5348"/>
            <w:gridSpan w:val="7"/>
            <w:vMerge/>
            <w:tcBorders/>
          </w:tcPr>
          <w:p/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574" w:right="0" w:firstLine="0"/>
              <w:jc w:val="left"/>
            </w:pPr>
            <w:r>
              <w:rPr>
                <w:w w:val="101.12352932200712"/>
                <w:rFonts w:ascii="Arial" w:hAnsi="Arial" w:eastAsia="Arial"/>
                <w:b w:val="0"/>
                <w:i w:val="0"/>
                <w:color w:val="000000"/>
                <w:sz w:val="17"/>
              </w:rPr>
              <w:t>Program + Sweep</w:t>
            </w:r>
          </w:p>
        </w:tc>
      </w:tr>
      <w:tr>
        <w:trPr>
          <w:trHeight w:hRule="exact" w:val="64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0" w:firstLine="0"/>
              <w:jc w:val="center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25µ</w:t>
            </w:r>
          </w:p>
        </w:tc>
        <w:tc>
          <w:tcPr>
            <w:tcW w:type="dxa" w:w="27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94" w:after="0"/>
              <w:ind w:left="128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5.6mol% SiO</w:t>
            </w:r>
            <w:r>
              <w:rPr>
                <w:w w:val="103.81333033243816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4584"/>
            <w:gridSpan w:val="6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4584"/>
            <w:gridSpan w:val="6"/>
            <w:vMerge/>
            <w:tcBorders/>
          </w:tcPr>
          <w:p/>
        </w:tc>
        <w:tc>
          <w:tcPr>
            <w:tcW w:type="dxa" w:w="1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30" w:after="0"/>
              <w:ind w:left="166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5.6mol% SiO</w:t>
            </w:r>
            <w:r>
              <w:rPr>
                <w:w w:val="103.81333033243816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40" w:right="0" w:firstLine="0"/>
              <w:jc w:val="left"/>
            </w:pPr>
            <w:r>
              <w:rPr>
                <w:w w:val="97.58444892035591"/>
                <w:rFonts w:ascii="Arial" w:hAnsi="Arial" w:eastAsia="Arial"/>
                <w:b w:val="0"/>
                <w:i w:val="0"/>
                <w:color w:val="000000"/>
                <w:sz w:val="18"/>
              </w:rPr>
              <w:t>'1'</w:t>
            </w:r>
          </w:p>
        </w:tc>
      </w:tr>
      <w:tr>
        <w:trPr>
          <w:trHeight w:hRule="exact" w:val="151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20µ</w:t>
            </w:r>
          </w:p>
        </w:tc>
        <w:tc>
          <w:tcPr>
            <w:tcW w:type="dxa" w:w="27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8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AFE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Initial Vt</w:t>
            </w:r>
          </w:p>
        </w:tc>
      </w:tr>
      <w:tr>
        <w:trPr>
          <w:trHeight w:hRule="exact" w:val="157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4584"/>
            <w:gridSpan w:val="6"/>
            <w:vMerge/>
            <w:tcBorders/>
          </w:tcPr>
          <w:p/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46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Program '1' -3V</w:t>
            </w:r>
          </w:p>
        </w:tc>
      </w:tr>
      <w:tr>
        <w:trPr>
          <w:trHeight w:hRule="exact" w:val="315"/>
        </w:trPr>
        <w:tc>
          <w:tcPr>
            <w:tcW w:type="dxa" w:w="764"/>
            <w:vMerge/>
            <w:tcBorders/>
          </w:tcPr>
          <w:p/>
        </w:tc>
        <w:tc>
          <w:tcPr>
            <w:tcW w:type="dxa" w:w="2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15µ</w:t>
            </w:r>
          </w:p>
        </w:tc>
        <w:tc>
          <w:tcPr>
            <w:tcW w:type="dxa" w:w="1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4" w:firstLine="0"/>
              <w:jc w:val="righ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Program '0' +4V</w:t>
            </w:r>
          </w:p>
        </w:tc>
        <w:tc>
          <w:tcPr>
            <w:tcW w:type="dxa" w:w="3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56" w:right="0" w:firstLine="0"/>
              <w:jc w:val="left"/>
            </w:pPr>
            <w:r>
              <w:rPr>
                <w:w w:val="101.12352932200712"/>
                <w:rFonts w:ascii="Arial" w:hAnsi="Arial" w:eastAsia="Arial"/>
                <w:b w:val="0"/>
                <w:i w:val="0"/>
                <w:color w:val="000000"/>
                <w:sz w:val="17"/>
              </w:rPr>
              <w:t>'0'</w:t>
            </w:r>
          </w:p>
        </w:tc>
      </w:tr>
      <w:tr>
        <w:trPr>
          <w:trHeight w:hRule="exact" w:val="276"/>
        </w:trPr>
        <w:tc>
          <w:tcPr>
            <w:tcW w:type="dxa" w:w="764"/>
            <w:vMerge/>
            <w:tcBorders/>
          </w:tcPr>
          <w:p/>
        </w:tc>
        <w:tc>
          <w:tcPr>
            <w:tcW w:type="dxa" w:w="2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1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10µ</w:t>
            </w:r>
          </w:p>
        </w:tc>
        <w:tc>
          <w:tcPr>
            <w:tcW w:type="dxa" w:w="3056"/>
            <w:gridSpan w:val="4"/>
            <w:vMerge/>
            <w:tcBorders/>
          </w:tcPr>
          <w:p/>
        </w:tc>
        <w:tc>
          <w:tcPr>
            <w:tcW w:type="dxa" w:w="1528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righ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5µ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30" w:firstLine="0"/>
              <w:jc w:val="right"/>
            </w:pPr>
            <w:r>
              <w:rPr>
                <w:w w:val="96.5399980545044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 Hysteresis 2V</w:t>
            </w:r>
          </w:p>
        </w:tc>
        <w:tc>
          <w:tcPr>
            <w:tcW w:type="dxa" w:w="3056"/>
            <w:gridSpan w:val="4"/>
            <w:vMerge/>
            <w:tcBorders/>
          </w:tcPr>
          <w:p/>
        </w:tc>
        <w:tc>
          <w:tcPr>
            <w:tcW w:type="dxa" w:w="1528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486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Id [A]@Vd=25mV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0" w:firstLine="0"/>
              <w:jc w:val="right"/>
            </w:pPr>
            <w:r>
              <w:rPr>
                <w:w w:val="96.5399980545044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 Hysteresis 4V</w:t>
            </w:r>
          </w:p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82" w:after="0"/>
              <w:ind w:left="216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3.1mol% SiO</w:t>
            </w:r>
            <w:r>
              <w:rPr>
                <w:w w:val="103.81333033243816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</w:p>
        </w:tc>
      </w:tr>
      <w:tr>
        <w:trPr>
          <w:trHeight w:hRule="exact" w:val="252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25µ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8" w:after="0"/>
              <w:ind w:left="124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3.1mol% SiO</w:t>
            </w:r>
            <w:r>
              <w:rPr>
                <w:w w:val="103.81333033243816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4584"/>
            <w:gridSpan w:val="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20µ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4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FE</w:t>
            </w:r>
          </w:p>
        </w:tc>
        <w:tc>
          <w:tcPr>
            <w:tcW w:type="dxa" w:w="1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508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Initial Vt</w:t>
            </w:r>
            <w:r>
              <w:br/>
            </w: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Program '1' -3V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730" w:right="0" w:firstLine="0"/>
              <w:jc w:val="left"/>
            </w:pPr>
            <w:r>
              <w:rPr>
                <w:w w:val="101.12352932200712"/>
                <w:rFonts w:ascii="Arial" w:hAnsi="Arial" w:eastAsia="Arial"/>
                <w:b w:val="0"/>
                <w:i w:val="0"/>
                <w:color w:val="000000"/>
                <w:sz w:val="17"/>
              </w:rPr>
              <w:t>'0'</w:t>
            </w:r>
          </w:p>
        </w:tc>
      </w:tr>
      <w:tr>
        <w:trPr>
          <w:trHeight w:hRule="exact" w:val="280"/>
        </w:trPr>
        <w:tc>
          <w:tcPr>
            <w:tcW w:type="dxa" w:w="764"/>
            <w:vMerge/>
            <w:tcBorders/>
          </w:tcPr>
          <w:p/>
        </w:tc>
        <w:tc>
          <w:tcPr>
            <w:tcW w:type="dxa" w:w="2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15µ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08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Program '0' +4V</w:t>
            </w:r>
          </w:p>
        </w:tc>
      </w:tr>
      <w:tr>
        <w:trPr>
          <w:trHeight w:hRule="exact" w:val="280"/>
        </w:trPr>
        <w:tc>
          <w:tcPr>
            <w:tcW w:type="dxa" w:w="764"/>
            <w:vMerge/>
            <w:tcBorders/>
          </w:tcPr>
          <w:p/>
        </w:tc>
        <w:tc>
          <w:tcPr>
            <w:tcW w:type="dxa" w:w="2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" w:right="0" w:firstLine="0"/>
              <w:jc w:val="lef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10µ</w:t>
            </w:r>
          </w:p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2532" w:firstLine="0"/>
              <w:jc w:val="right"/>
            </w:pPr>
            <w:r>
              <w:rPr>
                <w:w w:val="101.12352932200712"/>
                <w:rFonts w:ascii="Arial" w:hAnsi="Arial" w:eastAsia="Arial"/>
                <w:b w:val="0"/>
                <w:i w:val="0"/>
                <w:color w:val="000000"/>
                <w:sz w:val="17"/>
              </w:rPr>
              <w:t>'1'</w:t>
            </w:r>
          </w:p>
        </w:tc>
      </w:tr>
      <w:tr>
        <w:trPr>
          <w:trHeight w:hRule="exact" w:val="260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5µ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54" w:firstLine="0"/>
              <w:jc w:val="right"/>
            </w:pPr>
            <w:r>
              <w:rPr>
                <w:w w:val="96.5399980545044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 Hysteresis 2V</w:t>
            </w:r>
          </w:p>
        </w:tc>
        <w:tc>
          <w:tcPr>
            <w:tcW w:type="dxa" w:w="4584"/>
            <w:gridSpan w:val="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76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right"/>
            </w:pPr>
            <w:r>
              <w:rPr>
                <w:w w:val="103.49384454580455"/>
                <w:rFonts w:ascii="Arial" w:hAnsi="Arial" w:eastAsia="Aria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2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54" w:firstLine="0"/>
              <w:jc w:val="right"/>
            </w:pPr>
            <w:r>
              <w:rPr>
                <w:w w:val="96.5399980545044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 Hysteresis 4V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-1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322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450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148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164"/>
        </w:trPr>
        <w:tc>
          <w:tcPr>
            <w:tcW w:type="dxa" w:w="764"/>
            <w:vMerge/>
            <w:tcBorders/>
          </w:tcPr>
          <w:p/>
        </w:tc>
        <w:tc>
          <w:tcPr>
            <w:tcW w:type="dxa" w:w="7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76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-1</w:t>
            </w:r>
          </w:p>
        </w:tc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16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0" w:right="0" w:firstLine="0"/>
              <w:jc w:val="lef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0" w:firstLine="0"/>
              <w:jc w:val="right"/>
            </w:pPr>
            <w:r>
              <w:rPr>
                <w:w w:val="102.15066909790038"/>
                <w:rFonts w:ascii="Arial" w:hAnsi="Arial" w:eastAsia="Arial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1528"/>
            <w:gridSpan w:val="2"/>
            <w:vMerge/>
            <w:tcBorders/>
          </w:tcPr>
          <w:p/>
        </w:tc>
        <w:tc>
          <w:tcPr>
            <w:tcW w:type="dxa" w:w="1528"/>
            <w:gridSpan w:val="2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764"/>
            <w:vMerge/>
            <w:tcBorders/>
          </w:tcPr>
          <w:p/>
        </w:tc>
        <w:tc>
          <w:tcPr>
            <w:tcW w:type="dxa" w:w="2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5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9"/>
              </w:rPr>
              <w:t>Vg [V]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 Vg [V]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pgSz w:w="12240" w:h="15840"/>
          <w:pgMar w:top="568" w:right="912" w:bottom="158" w:left="630" w:header="720" w:footer="720" w:gutter="0"/>
          <w:cols w:space="720" w:num="1" w:equalWidth="0">
            <w:col w:w="10698" w:space="0"/>
            <w:col w:w="10860" w:space="0"/>
            <w:col w:w="10674" w:space="0"/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286" w:right="0" w:firstLine="0"/>
        <w:jc w:val="lef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Figure 6 Characterization of transistors with gate dielectrics that showed antiferroelectric (top 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row) and ferroelectric (bottom row) behavior in capacitors. The left column shows the drain 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current for a double sweep of the gate voltage. The right column shows gate-voltage sweeps 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for devices that were programmed with discrete pulses of 1s (limited by prober). </w:t>
      </w:r>
    </w:p>
    <w:p>
      <w:pPr>
        <w:sectPr>
          <w:type w:val="continuous"/>
          <w:pgSz w:w="12240" w:h="15840"/>
          <w:pgMar w:top="568" w:right="912" w:bottom="158" w:left="630" w:header="720" w:footer="720" w:gutter="0"/>
          <w:cols w:space="720" w:num="2" w:equalWidth="0">
            <w:col w:w="6478" w:space="0"/>
            <w:col w:w="4220" w:space="0"/>
            <w:col w:w="10698" w:space="0"/>
            <w:col w:w="10860" w:space="0"/>
            <w:col w:w="10674" w:space="0"/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96"/>
        <w:ind w:left="100" w:right="432" w:firstLine="0"/>
        <w:jc w:val="lef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Figure 7 Top: transmission electron microscopy cross 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section of a short-channel transistor with FE-HfSiO. 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>Bottom: schematic representation of charge carrier trap-</w:t>
      </w:r>
      <w:r>
        <w:rPr>
          <w:rFonts w:ascii="ArialNarrow" w:hAnsi="ArialNarrow" w:eastAsia="ArialNarrow"/>
          <w:b w:val="0"/>
          <w:i w:val="0"/>
          <w:color w:val="000000"/>
          <w:sz w:val="18"/>
        </w:rPr>
        <w:t xml:space="preserve">ping and dipole switching leading to opposed Vt shifts. </w:t>
      </w:r>
    </w:p>
    <w:p>
      <w:pPr>
        <w:sectPr>
          <w:type w:val="nextColumn"/>
          <w:pgSz w:w="12240" w:h="15840"/>
          <w:pgMar w:top="568" w:right="912" w:bottom="158" w:left="630" w:header="720" w:footer="720" w:gutter="0"/>
          <w:cols w:space="720" w:num="2" w:equalWidth="0">
            <w:col w:w="6478" w:space="0"/>
            <w:col w:w="4220" w:space="0"/>
            <w:col w:w="10698" w:space="0"/>
            <w:col w:w="10860" w:space="0"/>
            <w:col w:w="10674" w:space="0"/>
            <w:col w:w="5518" w:space="0"/>
            <w:col w:w="5156" w:space="0"/>
            <w:col w:w="10674" w:space="0"/>
            <w:col w:w="5520" w:space="0"/>
            <w:col w:w="5154" w:space="0"/>
            <w:col w:w="10674" w:space="0"/>
            <w:col w:w="5516" w:space="0"/>
            <w:col w:w="5158" w:space="0"/>
            <w:col w:w="10674" w:space="0"/>
            <w:col w:w="5516" w:space="0"/>
            <w:col w:w="5158" w:space="0"/>
            <w:col w:w="10750" w:space="0"/>
            <w:col w:w="5266" w:space="0"/>
            <w:col w:w="5484" w:space="0"/>
            <w:col w:w="10750" w:space="0"/>
            <w:col w:w="5266" w:space="0"/>
            <w:col w:w="5484" w:space="0"/>
            <w:col w:w="10750" w:space="0"/>
            <w:col w:w="5236" w:space="0"/>
            <w:col w:w="5514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46"/>
        </w:trPr>
        <w:tc>
          <w:tcPr>
            <w:tcW w:type="dxa" w:w="3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1.6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</w:tblGrid>
            <w:tr>
              <w:trPr>
                <w:trHeight w:hRule="exact" w:val="98"/>
              </w:trPr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  <w:tc>
                <w:tcPr>
                  <w:tcW w:type="dxa" w:w="255"/>
                  <w:tcBorders>
                    <w:start w:sz="4.831999778747559" w:val="single" w:color="#000000"/>
                    <w:top w:sz="4.831999778747559" w:val="single" w:color="#000000"/>
                    <w:end w:sz="4.831999778747559" w:val="single" w:color="#000000"/>
                    <w:bottom w:sz="4.831999778747559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  <w:tr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  <w:tc>
          <w:tcPr>
            <w:tcW w:type="dxa" w:w="823"/>
          </w:tcPr>
          <w:p/>
        </w:tc>
      </w:tr>
    </w:tbl>
    <w:sectPr w:rsidR="00FC693F" w:rsidRPr="0006063C" w:rsidSect="00034616">
      <w:type w:val="continuous"/>
      <w:pgSz w:w="12240" w:h="15840"/>
      <w:pgMar w:top="568" w:right="912" w:bottom="158" w:left="630" w:header="720" w:footer="720" w:gutter="0"/>
      <w:cols w:space="720" w:num="1" w:equalWidth="0">
        <w:col w:w="10698" w:space="0"/>
        <w:col w:w="6478" w:space="0"/>
        <w:col w:w="4220" w:space="0"/>
        <w:col w:w="10698" w:space="0"/>
        <w:col w:w="10860" w:space="0"/>
        <w:col w:w="10674" w:space="0"/>
        <w:col w:w="5518" w:space="0"/>
        <w:col w:w="5156" w:space="0"/>
        <w:col w:w="10674" w:space="0"/>
        <w:col w:w="5520" w:space="0"/>
        <w:col w:w="5154" w:space="0"/>
        <w:col w:w="10674" w:space="0"/>
        <w:col w:w="5516" w:space="0"/>
        <w:col w:w="5158" w:space="0"/>
        <w:col w:w="10674" w:space="0"/>
        <w:col w:w="5516" w:space="0"/>
        <w:col w:w="5158" w:space="0"/>
        <w:col w:w="10750" w:space="0"/>
        <w:col w:w="5266" w:space="0"/>
        <w:col w:w="5484" w:space="0"/>
        <w:col w:w="10750" w:space="0"/>
        <w:col w:w="5266" w:space="0"/>
        <w:col w:w="5484" w:space="0"/>
        <w:col w:w="10750" w:space="0"/>
        <w:col w:w="5236" w:space="0"/>
        <w:col w:w="5514" w:space="0"/>
        <w:col w:w="10750" w:space="0"/>
        <w:col w:w="5264" w:space="0"/>
        <w:col w:w="5486" w:space="0"/>
        <w:col w:w="10750" w:space="0"/>
        <w:col w:w="5264" w:space="0"/>
        <w:col w:w="5486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