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598170</wp:posOffset>
            </wp:positionV>
            <wp:extent cx="5923280" cy="15863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58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381000</wp:posOffset>
            </wp:positionV>
            <wp:extent cx="6553200" cy="355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674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1774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42, NO. 12, DECEMBER 2021</w:t>
      </w:r>
    </w:p>
    <w:p>
      <w:pPr>
        <w:autoSpaceDN w:val="0"/>
        <w:autoSpaceDE w:val="0"/>
        <w:widowControl/>
        <w:spacing w:line="554" w:lineRule="exact" w:before="34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Demonstration of a p-Type Ferroelectric FET</w:t>
      </w:r>
    </w:p>
    <w:p>
      <w:pPr>
        <w:autoSpaceDN w:val="0"/>
        <w:autoSpaceDE w:val="0"/>
        <w:widowControl/>
        <w:spacing w:line="552" w:lineRule="exact" w:before="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With Immediate Read-After-Write Capability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Dominik Kleimaier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 Halid Mulaosm</w:t>
      </w:r>
      <w:r>
        <w:rPr>
          <w:rFonts w:ascii="Helvetica" w:hAnsi="Helvetica" w:eastAsia="Helvetica"/>
          <w:b w:val="0"/>
          <w:i w:val="0"/>
          <w:color w:val="221F1F"/>
          <w:sz w:val="22"/>
        </w:rPr>
        <w:hyperlink r:id="rId10" w:history="1">
          <w:r>
            <w:rPr>
              <w:rStyle w:val="Hyperlink"/>
            </w:rPr>
            <w:t>a</w:t>
          </w:r>
        </w:hyperlink>
      </w:r>
      <w:r>
        <w:rPr>
          <w:rFonts w:ascii="Helvetica" w:hAnsi="Helvetica" w:eastAsia="Helvetica"/>
          <w:b w:val="0"/>
          <w:i w:val="0"/>
          <w:color w:val="221F1F"/>
          <w:sz w:val="22"/>
        </w:rPr>
        <w:t>novic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 xml:space="preserve">, Member, IEEE, </w:t>
      </w:r>
      <w:r>
        <w:rPr>
          <w:rFonts w:ascii="Helvetica" w:hAnsi="Helvetica" w:eastAsia="Helvetica"/>
          <w:b w:val="0"/>
          <w:i w:val="0"/>
          <w:color w:val="221F1F"/>
          <w:sz w:val="22"/>
        </w:rPr>
        <w:hyperlink r:id="rId12" w:history="1">
          <w:r>
            <w:rPr>
              <w:rStyle w:val="Hyperlink"/>
            </w:rPr>
            <w:t>S</w:t>
          </w:r>
        </w:hyperlink>
      </w:r>
      <w:r>
        <w:rPr>
          <w:rFonts w:ascii="Helvetica" w:hAnsi="Helvetica" w:eastAsia="Helvetica"/>
          <w:b w:val="0"/>
          <w:i w:val="0"/>
          <w:color w:val="221F1F"/>
          <w:sz w:val="22"/>
        </w:rPr>
        <w:t>tefan Dünkel, Sven Beyer, Steven Soss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</w:t>
      </w:r>
    </w:p>
    <w:p>
      <w:pPr>
        <w:autoSpaceDN w:val="0"/>
        <w:autoSpaceDE w:val="0"/>
        <w:widowControl/>
        <w:spacing w:line="240" w:lineRule="auto" w:before="0" w:after="934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Stefan Slesazeck</w:t>
      </w:r>
      <w:r>
        <w:drawing>
          <wp:inline xmlns:a="http://schemas.openxmlformats.org/drawingml/2006/main" xmlns:pic="http://schemas.openxmlformats.org/drawingml/2006/picture">
            <wp:extent cx="114300" cy="1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 and Thomas Mikolajick</w:t>
      </w:r>
      <w:r>
        <w:drawing>
          <wp:inline xmlns:a="http://schemas.openxmlformats.org/drawingml/2006/main" xmlns:pic="http://schemas.openxmlformats.org/drawingml/2006/picture">
            <wp:extent cx="114300" cy="1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 Senior Member, IEEE</w:t>
      </w:r>
    </w:p>
    <w:p>
      <w:pPr>
        <w:sectPr>
          <w:pgSz w:w="12240" w:h="15840"/>
          <w:pgMar w:top="366" w:right="954" w:bottom="66" w:left="980" w:header="720" w:footer="720" w:gutter="0"/>
          <w:cols w:space="720" w:num="1" w:equalWidth="0"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12" w:after="0"/>
        <w:ind w:left="0" w:right="114" w:firstLine="190"/>
        <w:jc w:val="both"/>
      </w:pPr>
      <w:r>
        <w:rPr>
          <w:rFonts w:ascii="Helvetica" w:hAnsi="Helvetica" w:eastAsia="Helvetica"/>
          <w:b/>
          <w:i/>
          <w:color w:val="D9272D"/>
          <w:sz w:val="18"/>
        </w:rPr>
        <w:t>Abstract—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In this letter, p-type ferroelectric field-effect-</w:t>
      </w:r>
      <w:r>
        <w:rPr>
          <w:rFonts w:ascii="Helvetica" w:hAnsi="Helvetica" w:eastAsia="Helvetica"/>
          <w:b/>
          <w:i/>
          <w:color w:val="221F1F"/>
          <w:sz w:val="18"/>
        </w:rPr>
        <w:t>transistors (FeFETs) based on HfO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and embedded in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GlobalFoundries 28 nm bulk high-k metal gate (HKMG)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technology (28SLPe) are systematically investigated and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compared to their n-type counterparts. We show that the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two device types, based on Si channel, exhibit a symmetric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memory window (MW) and very similar switching behavior,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yet profoundly different trapping kinetics. In contrast to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n-FeFETs, p-FeFETs display a full MW immediately after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the write operation and apparently no parasitic electron </w:t>
      </w:r>
      <w:r>
        <w:rPr>
          <w:rFonts w:ascii="Helvetica" w:hAnsi="Helvetica" w:eastAsia="Helvetica"/>
          <w:b/>
          <w:i/>
          <w:color w:val="221F1F"/>
          <w:sz w:val="18"/>
        </w:rPr>
        <w:t>trapping. Based on this, we demonstrate an immediate read-</w:t>
      </w:r>
      <w:r>
        <w:rPr>
          <w:rFonts w:ascii="Helvetica" w:hAnsi="Helvetica" w:eastAsia="Helvetica"/>
          <w:b/>
          <w:i/>
          <w:color w:val="221F1F"/>
          <w:sz w:val="18"/>
        </w:rPr>
        <w:t>after-write operation. Finally, we illustrate how slight struc-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tural changes of the gate stack, such as the introduction of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the SiGe channel material, can enhance charge trapping and </w:t>
      </w:r>
      <w:r>
        <w:rPr>
          <w:rFonts w:ascii="Helvetica" w:hAnsi="Helvetica" w:eastAsia="Helvetica"/>
          <w:b/>
          <w:i/>
          <w:color w:val="221F1F"/>
          <w:sz w:val="18"/>
        </w:rPr>
        <w:t>nullify the above-mentioned advantages.</w:t>
      </w:r>
    </w:p>
    <w:p>
      <w:pPr>
        <w:autoSpaceDN w:val="0"/>
        <w:tabs>
          <w:tab w:pos="190" w:val="left"/>
          <w:tab w:pos="922" w:val="left"/>
          <w:tab w:pos="3022" w:val="left"/>
          <w:tab w:pos="4194" w:val="left"/>
        </w:tabs>
        <w:autoSpaceDE w:val="0"/>
        <w:widowControl/>
        <w:spacing w:line="198" w:lineRule="exact" w:before="128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/>
          <w:i/>
          <w:color w:val="D9272D"/>
          <w:sz w:val="18"/>
        </w:rPr>
        <w:t xml:space="preserve">Index </w:t>
      </w:r>
      <w:r>
        <w:tab/>
      </w:r>
      <w:r>
        <w:rPr>
          <w:rFonts w:ascii="Helvetica" w:hAnsi="Helvetica" w:eastAsia="Helvetica"/>
          <w:b/>
          <w:i/>
          <w:color w:val="D9272D"/>
          <w:sz w:val="18"/>
        </w:rPr>
        <w:t>Terms—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Ferroelectric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field-effect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transistor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(FeFET), hafnium oxide, charge trapping, ferroelectric </w:t>
      </w:r>
      <w:r>
        <w:rPr>
          <w:rFonts w:ascii="Helvetica" w:hAnsi="Helvetica" w:eastAsia="Helvetica"/>
          <w:b/>
          <w:i/>
          <w:color w:val="221F1F"/>
          <w:sz w:val="18"/>
        </w:rPr>
        <w:t>memories, n-FeFET, p-FeFET.</w:t>
      </w:r>
    </w:p>
    <w:p>
      <w:pPr>
        <w:autoSpaceDN w:val="0"/>
        <w:tabs>
          <w:tab w:pos="378" w:val="left"/>
          <w:tab w:pos="1724" w:val="left"/>
        </w:tabs>
        <w:autoSpaceDE w:val="0"/>
        <w:widowControl/>
        <w:spacing w:line="276" w:lineRule="exact" w:before="206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I. I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221F1F"/>
          <w:sz w:val="58"/>
        </w:rPr>
        <w:t xml:space="preserve">F </w:t>
      </w:r>
      <w:r>
        <w:rPr>
          <w:rFonts w:ascii="Times" w:hAnsi="Times" w:eastAsia="Times"/>
          <w:b w:val="0"/>
          <w:i w:val="0"/>
          <w:color w:val="221F1F"/>
          <w:sz w:val="20"/>
        </w:rPr>
        <w:t>on ferroelectric (FE)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[1] are promising can-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ERROELECTRIC field-effect transistors (FeFETs) based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didates for future applications ranging from non-volatile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memory [2], [3] to neuromorphic [4]–[6] and computing-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in-memory concepts [7]–[9]. FeFETs not only offer low-power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fast switching, but also are fabricated in a CMOS com-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patible process [2], [3], [10]. While prior research has mainly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focused on the n-type FeFET, little research has been reported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on CMOS compatible p-type devices [11]–[14]. To increase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versatility of the FeFET circuit design and to enable Fer-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roelectric CMOS (FeCMOS), especially in view of emerging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computing applications, also the integration of a p-type FeFET</w:t>
      </w:r>
    </w:p>
    <w:p>
      <w:pPr>
        <w:autoSpaceDN w:val="0"/>
        <w:tabs>
          <w:tab w:pos="134" w:val="left"/>
        </w:tabs>
        <w:autoSpaceDE w:val="0"/>
        <w:widowControl/>
        <w:spacing w:line="180" w:lineRule="exact" w:before="212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Manuscript received August 7, 2021; revised September 30, 2021;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accepted October 2, 2021. Date of publication October 6, 2021; date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of current version November 24, 2021. This work was supported in part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by the German Bundesministerium für Wirtschaft (BMWI) and in part by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the State of Saxony in the frame of the Important Project of Common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European Interest (IPCEI). The review of this letter was arranged by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Editor U. Ganguly. (Corresponding author: Dominik Kleimaier.)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Dominik Kleimaier, Stefan Dünkel, Sven Beyer, and Steven Soss are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with GlobalFoundries Fab1 LLC &amp; Co. KG, 01099 Dresden, Germany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(e-mail: dominikmartin.kleimaier@globalfoundries.com).</w:t>
      </w:r>
    </w:p>
    <w:p>
      <w:pPr>
        <w:autoSpaceDN w:val="0"/>
        <w:tabs>
          <w:tab w:pos="134" w:val="left"/>
        </w:tabs>
        <w:autoSpaceDE w:val="0"/>
        <w:widowControl/>
        <w:spacing w:line="178" w:lineRule="exact" w:before="6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Halid Mulaosmanovic and Stefan Slesazeck are with NaMLab gGmbH,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01187 Dresden, Germany.</w:t>
      </w:r>
    </w:p>
    <w:p>
      <w:pPr>
        <w:autoSpaceDN w:val="0"/>
        <w:autoSpaceDE w:val="0"/>
        <w:widowControl/>
        <w:spacing w:line="180" w:lineRule="exact" w:before="4" w:after="0"/>
        <w:ind w:left="0" w:right="122" w:firstLine="134"/>
        <w:jc w:val="both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Thomas Mikolajick is with NaMLab gGmbH, 01187 Dresden, Germany,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and also with the Institute of Semiconductors and Microsystems,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TU Dresden, 01062 Dresden, Germany.</w:t>
      </w:r>
    </w:p>
    <w:p>
      <w:pPr>
        <w:autoSpaceDN w:val="0"/>
        <w:tabs>
          <w:tab w:pos="134" w:val="left"/>
        </w:tabs>
        <w:autoSpaceDE w:val="0"/>
        <w:widowControl/>
        <w:spacing w:line="180" w:lineRule="exact" w:before="6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Color versions of one or more figures in this letter are available at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https://doi.org/10.1109/LED.2021.3118645.</w:t>
      </w:r>
    </w:p>
    <w:p>
      <w:pPr>
        <w:autoSpaceDN w:val="0"/>
        <w:autoSpaceDE w:val="0"/>
        <w:widowControl/>
        <w:spacing w:line="186" w:lineRule="exact" w:before="0" w:after="0"/>
        <w:ind w:left="134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Digital Object Identifier 10.1109/LED.2021.3118645</w:t>
      </w:r>
    </w:p>
    <w:p>
      <w:pPr>
        <w:sectPr>
          <w:type w:val="continuous"/>
          <w:pgSz w:w="12240" w:h="15840"/>
          <w:pgMar w:top="366" w:right="954" w:bottom="66" w:left="980" w:header="720" w:footer="720" w:gutter="0"/>
          <w:cols w:space="720" w:num="2" w:equalWidth="0"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116" w:right="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highly required. Both n-type and p-type devices essentially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the same field-effect induced by a FE layer in the 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stack which can have two different but stable polarization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states. As a result, two logic states can be distinguished by </w:t>
      </w:r>
      <w:r>
        <w:rPr>
          <w:rFonts w:ascii="Times" w:hAnsi="Times" w:eastAsia="Times"/>
          <w:b w:val="0"/>
          <w:i w:val="0"/>
          <w:color w:val="221F1F"/>
          <w:sz w:val="20"/>
        </w:rPr>
        <w:t>a shift in the threshold voltage (</w:t>
      </w:r>
      <w:r>
        <w:rPr>
          <w:rFonts w:ascii="Times" w:hAnsi="Times" w:eastAsia="Times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/>
          <w:color w:val="221F1F"/>
          <w:sz w:val="15"/>
        </w:rPr>
        <w:t>T</w:t>
      </w:r>
      <w:r>
        <w:rPr>
          <w:rFonts w:ascii="RBLMI" w:hAnsi="RBLMI" w:eastAsia="RBLMI"/>
          <w:b w:val="0"/>
          <w:i/>
          <w:color w:val="221F1F"/>
          <w:sz w:val="20"/>
        </w:rPr>
        <w:t xml:space="preserve"> 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transistor.</w:t>
      </w:r>
    </w:p>
    <w:p>
      <w:pPr>
        <w:autoSpaceDN w:val="0"/>
        <w:autoSpaceDE w:val="0"/>
        <w:widowControl/>
        <w:spacing w:line="238" w:lineRule="exact" w:before="0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parasitic charge trapping is one of the challenges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FeFET is currently facing. Positive gate voltages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write operations induce electron trapping in proximity to the </w:t>
      </w:r>
      <w:r>
        <w:rPr>
          <w:rFonts w:ascii="Times" w:hAnsi="Times" w:eastAsia="Times"/>
          <w:b w:val="0"/>
          <w:i w:val="0"/>
          <w:color w:val="221F1F"/>
          <w:sz w:val="20"/>
        </w:rPr>
        <w:t>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-SiO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interface, which results in a shifted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/>
          <w:color w:val="221F1F"/>
          <w:sz w:val="15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severely reduced memory window (MW) directly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write operation. This is caused by the electrons screening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FE polarization and its effect onto the channel. The MW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recovers only gradually in time as the trapped electrons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released from the gate stack [15]–[17]. Hence a delay of a few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hundreds of milliseconds between write and read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>is necessary to clearly distinguish the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/>
          <w:color w:val="221F1F"/>
          <w:sz w:val="15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states. Although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de-trapping time and the consequent read latency can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significantly accelerated by suitable de-trapping electrical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pulses [18], it is desirable to reduce parasitic charge trapping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first place. This would enable a minimized read latency, </w:t>
      </w:r>
      <w:r>
        <w:rPr>
          <w:rFonts w:ascii="Times" w:hAnsi="Times" w:eastAsia="Times"/>
          <w:b w:val="0"/>
          <w:i w:val="0"/>
          <w:color w:val="221F1F"/>
          <w:sz w:val="20"/>
        </w:rPr>
        <w:t>essential for fast and real-time computation with FeFETs.</w:t>
      </w:r>
    </w:p>
    <w:p>
      <w:pPr>
        <w:autoSpaceDN w:val="0"/>
        <w:autoSpaceDE w:val="0"/>
        <w:widowControl/>
        <w:spacing w:line="240" w:lineRule="exact" w:before="0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letter, the immediate read-after-write in p-type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FeFETs on Si substrate is demonstrated. The comparison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n-type FeFET conterparts in terms of trapping kinetics,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MW and switching performance is explored. The impact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variations in device fabrication, such as the introduction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CMOS compatible SiGe substrate and its detrimental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read delay, is revealed for both p- and n-type FeFETs.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Finally, a stable data retention is demonstrated for p-FeFETs </w:t>
      </w:r>
      <w:r>
        <w:rPr>
          <w:rFonts w:ascii="Times" w:hAnsi="Times" w:eastAsia="Times"/>
          <w:b w:val="0"/>
          <w:i w:val="0"/>
          <w:color w:val="221F1F"/>
          <w:sz w:val="20"/>
        </w:rPr>
        <w:t>on Si substrate.</w:t>
      </w:r>
    </w:p>
    <w:p>
      <w:pPr>
        <w:autoSpaceDN w:val="0"/>
        <w:autoSpaceDE w:val="0"/>
        <w:widowControl/>
        <w:spacing w:line="230" w:lineRule="exact" w:before="220" w:after="0"/>
        <w:ind w:left="1198" w:right="0" w:firstLine="0"/>
        <w:jc w:val="lef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II. E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XPERIMENTS AND</w:t>
      </w:r>
      <w:r>
        <w:rPr>
          <w:rFonts w:ascii="Helvetica" w:hAnsi="Helvetica" w:eastAsia="Helvetica"/>
          <w:b w:val="0"/>
          <w:i w:val="0"/>
          <w:color w:val="004392"/>
          <w:sz w:val="20"/>
        </w:rPr>
        <w:t xml:space="preserve"> 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ESULTS</w:t>
      </w:r>
    </w:p>
    <w:p>
      <w:pPr>
        <w:autoSpaceDN w:val="0"/>
        <w:autoSpaceDE w:val="0"/>
        <w:widowControl/>
        <w:spacing w:line="268" w:lineRule="exact" w:before="0" w:after="0"/>
        <w:ind w:left="116" w:right="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Experiments were performed on FeFETs fabricated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GlobalFoundries in a 28 nm bulk high-k metal gate CMOS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 with a gate-first approach. The schematic structures </w:t>
      </w:r>
      <w:r>
        <w:rPr>
          <w:rFonts w:ascii="Times" w:hAnsi="Times" w:eastAsia="Times"/>
          <w:b w:val="0"/>
          <w:i w:val="0"/>
          <w:color w:val="221F1F"/>
          <w:sz w:val="20"/>
        </w:rPr>
        <w:t>of the n- and p-type FeFETs are illustrated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(b)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respectively. The gate-stack consists of a TiN gate electrode,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MTSYN" w:hAnsi="MTSYN" w:eastAsia="MTSYN"/>
          <w:b w:val="0"/>
          <w:i w:val="0"/>
          <w:color w:val="221F1F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221F1F"/>
          <w:sz w:val="20"/>
        </w:rPr>
        <w:t>10 nm thick doped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FE layer and an</w:t>
      </w:r>
      <w:r>
        <w:rPr>
          <w:rFonts w:ascii="MTSYN" w:hAnsi="MTSYN" w:eastAsia="MTSYN"/>
          <w:b w:val="0"/>
          <w:i w:val="0"/>
          <w:color w:val="221F1F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 nm thick </w:t>
      </w:r>
      <w:r>
        <w:rPr>
          <w:rFonts w:ascii="Times" w:hAnsi="Times" w:eastAsia="Times"/>
          <w:b w:val="0"/>
          <w:i w:val="0"/>
          <w:color w:val="221F1F"/>
          <w:sz w:val="20"/>
        </w:rPr>
        <w:t>SiO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interfacial layer. The Si substrate is p-doped in the n-type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FeFET and n-doped in the p-type FeFET construction. The </w:t>
      </w:r>
      <w:r>
        <w:rPr>
          <w:rFonts w:ascii="Times" w:hAnsi="Times" w:eastAsia="Times"/>
          <w:b w:val="0"/>
          <w:i w:val="0"/>
          <w:color w:val="221F1F"/>
          <w:sz w:val="20"/>
        </w:rPr>
        <w:t>channel length 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RBLMI" w:hAnsi="RBLMI" w:eastAsia="RBLMI"/>
          <w:b w:val="0"/>
          <w:i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width (</w:t>
      </w:r>
      <w:r>
        <w:rPr>
          <w:rFonts w:ascii="Times" w:hAnsi="Times" w:eastAsia="Times"/>
          <w:b w:val="0"/>
          <w:i/>
          <w:color w:val="221F1F"/>
          <w:sz w:val="20"/>
        </w:rPr>
        <w:t>W</w:t>
      </w:r>
      <w:r>
        <w:rPr>
          <w:rFonts w:ascii="RBLMI" w:hAnsi="RBLMI" w:eastAsia="RBLMI"/>
          <w:b w:val="0"/>
          <w:i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tested devices are </w:t>
      </w:r>
      <w:r>
        <w:rPr>
          <w:rFonts w:ascii="Times" w:hAnsi="Times" w:eastAsia="Times"/>
          <w:b w:val="0"/>
          <w:i w:val="0"/>
          <w:color w:val="221F1F"/>
          <w:sz w:val="20"/>
        </w:rPr>
        <w:t>450 nm and 450 nm, respectively.</w:t>
      </w:r>
    </w:p>
    <w:p>
      <w:pPr>
        <w:autoSpaceDN w:val="0"/>
        <w:autoSpaceDE w:val="0"/>
        <w:widowControl/>
        <w:spacing w:line="240" w:lineRule="exact" w:before="0" w:after="214"/>
        <w:ind w:left="116" w:right="0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Electrical characterizations were performed at room tem-</w:t>
      </w:r>
      <w:r>
        <w:rPr>
          <w:rFonts w:ascii="Times" w:hAnsi="Times" w:eastAsia="Times"/>
          <w:b w:val="0"/>
          <w:i w:val="0"/>
          <w:color w:val="221F1F"/>
          <w:sz w:val="20"/>
        </w:rPr>
        <w:t>perature with fast pulsing measurements using a Keithley</w:t>
      </w:r>
    </w:p>
    <w:p>
      <w:pPr>
        <w:sectPr>
          <w:type w:val="nextColumn"/>
          <w:pgSz w:w="12240" w:h="15840"/>
          <w:pgMar w:top="366" w:right="954" w:bottom="66" w:left="980" w:header="720" w:footer="720" w:gutter="0"/>
          <w:cols w:space="720" w:num="2" w:equalWidth="0"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6" w:after="0"/>
        <w:ind w:left="1152" w:right="1296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0741-3106 © 2021 IEEE. Personal use is permitted, but republication/redistribution requires IEEE permission.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See https://www.ieee.org/publications/rights/index.html for more information.</w:t>
      </w:r>
    </w:p>
    <w:p>
      <w:pPr>
        <w:autoSpaceDN w:val="0"/>
        <w:autoSpaceDE w:val="0"/>
        <w:widowControl/>
        <w:spacing w:line="194" w:lineRule="exact" w:before="39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06,2022 at 05:11:49 UTC from IEEE Xplore.  Restrictions apply. </w:t>
      </w:r>
    </w:p>
    <w:p>
      <w:pPr>
        <w:sectPr>
          <w:type w:val="continuous"/>
          <w:pgSz w:w="12240" w:h="15840"/>
          <w:pgMar w:top="366" w:right="954" w:bottom="66" w:left="980" w:header="720" w:footer="720" w:gutter="0"/>
          <w:cols w:space="720" w:num="1" w:equalWidth="0"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9980" w:val="left"/>
        </w:tabs>
        <w:autoSpaceDE w:val="0"/>
        <w:widowControl/>
        <w:spacing w:line="16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KLEIMAIER et al.: DEMONSTRATION OF p-TYPE FeFET WITH IMMEDIATE READ-AFTER-WRITE CAPABILITY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1775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8"/>
        <w:sectPr>
          <w:pgSz w:w="12240" w:h="15840"/>
          <w:pgMar w:top="202" w:right="950" w:bottom="66" w:left="972" w:header="720" w:footer="720" w:gutter="0"/>
          <w:cols w:space="720" w:num="1" w:equalWidth="0"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95600" cy="711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1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1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59100" cy="990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9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788" w:val="left"/>
        </w:tabs>
        <w:autoSpaceDE w:val="0"/>
        <w:widowControl/>
        <w:spacing w:line="240" w:lineRule="auto" w:before="60" w:after="0"/>
        <w:ind w:left="14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1300" cy="114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90500" cy="101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1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1800" cy="977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77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788" w:val="left"/>
        </w:tabs>
        <w:autoSpaceDE w:val="0"/>
        <w:widowControl/>
        <w:spacing w:line="240" w:lineRule="auto" w:before="80" w:after="0"/>
        <w:ind w:left="14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1300" cy="101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90500" cy="101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44" w:val="left"/>
        </w:tabs>
        <w:autoSpaceDE w:val="0"/>
        <w:widowControl/>
        <w:spacing w:line="236" w:lineRule="exact" w:before="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Fig. 1.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Sketch of the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n-FeFET and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p-FeFET structure and its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terminals.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Gate voltage (V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) waveform for write and read operations.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Read operation is performed while applying a constant drain voltage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(V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) of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100 mV for n-type FeFETs and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 −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100 mV for p-type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FeFETs.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−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characteristics of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n- and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(e)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p-FeFETs for different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delay times and extracted corresponding threshold voltages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(f)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and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(g)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The used write pulse amplitudes are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N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 −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4.5 V and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P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4 V with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t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N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t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P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1</w:t>
      </w:r>
      <w:r>
        <w:rPr>
          <w:rFonts w:ascii="HFBRMI8" w:hAnsi="HFBRMI8" w:eastAsia="HFBRMI8"/>
          <w:b w:val="0"/>
          <w:i/>
          <w:color w:val="221F1F"/>
          <w:sz w:val="16"/>
        </w:rPr>
        <w:t xml:space="preserve"> µ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s.</w:t>
      </w:r>
    </w:p>
    <w:p>
      <w:pPr>
        <w:autoSpaceDN w:val="0"/>
        <w:autoSpaceDE w:val="0"/>
        <w:widowControl/>
        <w:spacing w:line="268" w:lineRule="exact" w:before="122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4200-SCS Semiconductor Analyzer. The write and read oper-</w:t>
      </w:r>
      <w:r>
        <w:rPr>
          <w:rFonts w:ascii="Times" w:hAnsi="Times" w:eastAsia="Times"/>
          <w:b w:val="0"/>
          <w:i w:val="0"/>
          <w:color w:val="000000"/>
          <w:sz w:val="20"/>
        </w:rPr>
        <w:t>ations are schematically displayed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During read, </w:t>
      </w:r>
      <w:r>
        <w:rPr>
          <w:rFonts w:ascii="Times" w:hAnsi="Times" w:eastAsia="Times"/>
          <w:b w:val="0"/>
          <w:i w:val="0"/>
          <w:color w:val="000000"/>
          <w:sz w:val="20"/>
        </w:rPr>
        <w:t>the drain current 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measured utilizing a fast gate voltage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sweep with a total duration of 100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s, whereas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polarity of the sweep was adjusted according to the n- or </w:t>
      </w:r>
      <w:r>
        <w:rPr>
          <w:rFonts w:ascii="Times" w:hAnsi="Times" w:eastAsia="Times"/>
          <w:b w:val="0"/>
          <w:i w:val="0"/>
          <w:color w:val="000000"/>
          <w:sz w:val="20"/>
        </w:rPr>
        <w:t>p-type device.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extracted at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100 nA. Write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are achieved by applying sufficiently large negative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N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positive gate voltages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while all other terminals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grounded, resulting in a remanent polarization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>FE pointing up or down, and a respective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shift. Due </w:t>
      </w:r>
      <w:r>
        <w:rPr>
          <w:rFonts w:ascii="Times" w:hAnsi="Times" w:eastAsia="Times"/>
          <w:b w:val="0"/>
          <w:i w:val="0"/>
          <w:color w:val="000000"/>
          <w:sz w:val="20"/>
        </w:rPr>
        <w:t>to the devices differing polarity these two differing polar-</w:t>
      </w:r>
      <w:r>
        <w:rPr>
          <w:rFonts w:ascii="Times" w:hAnsi="Times" w:eastAsia="Times"/>
          <w:b w:val="0"/>
          <w:i w:val="0"/>
          <w:color w:val="000000"/>
          <w:sz w:val="20"/>
        </w:rPr>
        <w:t>ization states define the high-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(HVT) and low-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(LVT)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states of the n-FeFET while yielding the LVT and HVT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states of the p-FeFET, respectively. The MW is calculated as </w:t>
      </w:r>
      <w:r>
        <w:rPr>
          <w:rFonts w:ascii="Times" w:hAnsi="Times" w:eastAsia="Times"/>
          <w:b w:val="0"/>
          <w:i w:val="0"/>
          <w:color w:val="000000"/>
          <w:sz w:val="20"/>
        </w:rPr>
        <w:t>MW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 |</w:t>
      </w:r>
      <w:r>
        <w:rPr>
          <w:rFonts w:ascii="Times" w:hAnsi="Times" w:eastAsia="Times"/>
          <w:b w:val="0"/>
          <w:i w:val="0"/>
          <w:color w:val="000000"/>
          <w:sz w:val="20"/>
        </w:rPr>
        <w:t>HVT - LVT</w:t>
      </w:r>
      <w:r>
        <w:rPr>
          <w:rFonts w:ascii="MTSYN" w:hAnsi="MTSYN" w:eastAsia="MTSYN"/>
          <w:b w:val="0"/>
          <w:i w:val="0"/>
          <w:color w:val="000000"/>
          <w:sz w:val="20"/>
        </w:rPr>
        <w:t>|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study the read latency after a write pulse, a delay </w:t>
      </w:r>
      <w:r>
        <w:rPr>
          <w:rFonts w:ascii="Times" w:hAnsi="Times" w:eastAsia="Times"/>
          <w:b w:val="0"/>
          <w:i w:val="0"/>
          <w:color w:val="000000"/>
          <w:sz w:val="20"/>
        </w:rPr>
        <w:t>time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between the write and the following read is inserted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D9272D"/>
          <w:sz w:val="20"/>
        </w:rPr>
        <w:t>Fig. 1(c)</w:t>
      </w:r>
      <w:r>
        <w:rPr>
          <w:rFonts w:ascii="Times" w:hAnsi="Times" w:eastAsia="Times"/>
          <w:b w:val="0"/>
          <w:i w:val="0"/>
          <w:color w:val="000000"/>
          <w:sz w:val="20"/>
        </w:rPr>
        <w:t>) and varied from 100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s to 10 s.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(f) </w:t>
      </w:r>
      <w:r>
        <w:rPr>
          <w:rFonts w:ascii="Times" w:hAnsi="Times" w:eastAsia="Times"/>
          <w:b w:val="0"/>
          <w:i w:val="0"/>
          <w:color w:val="000000"/>
          <w:sz w:val="20"/>
        </w:rPr>
        <w:t>shows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/>
          <w:color w:val="000000"/>
          <w:sz w:val="20"/>
        </w:rPr>
        <w:t>-V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of the n-FeFET and p-FeFET,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respectively, for both states HVT (blue) and LVT (red) at </w:t>
      </w:r>
      <w:r>
        <w:rPr>
          <w:rFonts w:ascii="Times" w:hAnsi="Times" w:eastAsia="Times"/>
          <w:b w:val="0"/>
          <w:i w:val="0"/>
          <w:color w:val="000000"/>
          <w:sz w:val="20"/>
        </w:rPr>
        <w:t>different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 The dependence of the corresponding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0"/>
        </w:rPr>
        <w:t>shown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1(e)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(g)</w:t>
      </w:r>
      <w:r>
        <w:rPr>
          <w:rFonts w:ascii="Times" w:hAnsi="Times" w:eastAsia="Times"/>
          <w:b w:val="0"/>
          <w:i w:val="0"/>
          <w:color w:val="000000"/>
          <w:sz w:val="20"/>
        </w:rPr>
        <w:t>. Notably, the full MW (after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s) for both devices is approximately the same and is around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1.5 V, so that no interface adjustment is needed, contrarily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 proposed in [13]. However, the two devices exhibit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completely different behavior in terms of electron de-trapping.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n-FeFET shows the typical behavior as e.g. observed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[16], [18], [19]. While the HVT state characteristics are not </w:t>
      </w:r>
      <w:r>
        <w:rPr>
          <w:rFonts w:ascii="Times" w:hAnsi="Times" w:eastAsia="Times"/>
          <w:b w:val="0"/>
          <w:i w:val="0"/>
          <w:color w:val="000000"/>
          <w:sz w:val="20"/>
        </w:rPr>
        <w:t>influenced by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, the LVT state characteristics experience a</w:t>
      </w:r>
    </w:p>
    <w:p>
      <w:pPr>
        <w:sectPr>
          <w:type w:val="continuous"/>
          <w:pgSz w:w="12240" w:h="15840"/>
          <w:pgMar w:top="202" w:right="950" w:bottom="66" w:left="972" w:header="720" w:footer="720" w:gutter="0"/>
          <w:cols w:space="720" w:num="2" w:equalWidth="0"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4300" cy="14097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14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1300" cy="1143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60" w:val="left"/>
        </w:tabs>
        <w:autoSpaceDE w:val="0"/>
        <w:widowControl/>
        <w:spacing w:line="180" w:lineRule="exact" w:before="116" w:after="0"/>
        <w:ind w:left="116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Fig. 2. </w:t>
      </w:r>
      <w:r>
        <w:tab/>
      </w:r>
      <w:r>
        <w:rPr>
          <w:rFonts w:ascii="Helvetica" w:hAnsi="Helvetica" w:eastAsia="Helvetica"/>
          <w:b w:val="0"/>
          <w:i w:val="0"/>
          <w:color w:val="D927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Gate voltage (V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) waveforms for fast write and read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operations, measured on the falling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-edge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and as single measure-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ment points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-V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characteristics measured under different read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conditions.</w:t>
      </w:r>
    </w:p>
    <w:p>
      <w:pPr>
        <w:autoSpaceDN w:val="0"/>
        <w:autoSpaceDE w:val="0"/>
        <w:widowControl/>
        <w:spacing w:line="236" w:lineRule="exact" w:before="252" w:after="0"/>
        <w:ind w:left="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significant shift with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, so that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evolves from 1.5 V to </w:t>
      </w:r>
      <w:r>
        <w:rPr>
          <w:rFonts w:ascii="Times" w:hAnsi="Times" w:eastAsia="Times"/>
          <w:b w:val="0"/>
          <w:i w:val="0"/>
          <w:color w:val="000000"/>
          <w:sz w:val="20"/>
        </w:rPr>
        <w:t>0 V as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increases from 100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to 1 s. This originates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electrons trapped by the positive gate pulse necessary to set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LVT state. The trapped electrons require several hundreds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ms to be released from the gate stack again (de-trapping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phase), after which the fully saturated LVT state can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observed, yielding the full MW. In marked contrast to this,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p-type FeFET apparently exhibits no de-trapping phase, so that </w:t>
      </w:r>
      <w:r>
        <w:rPr>
          <w:rFonts w:ascii="Times" w:hAnsi="Times" w:eastAsia="Times"/>
          <w:b w:val="0"/>
          <w:i w:val="0"/>
          <w:color w:val="000000"/>
          <w:sz w:val="20"/>
        </w:rPr>
        <w:t>the LVT and HVT characteristics are independent of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D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D9272D"/>
          <w:sz w:val="20"/>
        </w:rPr>
        <w:t>Fig. 1(f)</w:t>
      </w:r>
      <w:r>
        <w:rPr>
          <w:rFonts w:ascii="Times" w:hAnsi="Times" w:eastAsia="Times"/>
          <w:b w:val="0"/>
          <w:i w:val="0"/>
          <w:color w:val="000000"/>
          <w:sz w:val="20"/>
        </w:rPr>
        <w:t>) and do not show any shifts of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 w:val="0"/>
          <w:color w:val="D9272D"/>
          <w:sz w:val="20"/>
        </w:rPr>
        <w:t>Fig. 1(g)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other words, the full MW is available immediately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write operation, indicating the immediate read-after-write </w:t>
      </w:r>
      <w:r>
        <w:rPr>
          <w:rFonts w:ascii="Times" w:hAnsi="Times" w:eastAsia="Times"/>
          <w:b w:val="0"/>
          <w:i w:val="0"/>
          <w:color w:val="000000"/>
          <w:sz w:val="20"/>
        </w:rPr>
        <w:t>capability.</w:t>
      </w:r>
    </w:p>
    <w:p>
      <w:pPr>
        <w:autoSpaceDN w:val="0"/>
        <w:autoSpaceDE w:val="0"/>
        <w:widowControl/>
        <w:spacing w:line="256" w:lineRule="exact" w:before="0" w:after="0"/>
        <w:ind w:left="116" w:right="24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To validate this and to exclude the possibility of any mea-</w:t>
      </w:r>
      <w:r>
        <w:rPr>
          <w:rFonts w:ascii="Times" w:hAnsi="Times" w:eastAsia="Times"/>
          <w:b w:val="0"/>
          <w:i w:val="0"/>
          <w:color w:val="000000"/>
          <w:sz w:val="20"/>
        </w:rPr>
        <w:t>surement artifacts or disturbs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D9272D"/>
          <w:sz w:val="20"/>
        </w:rPr>
        <w:t>g)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we perform two </w:t>
      </w:r>
      <w:r>
        <w:rPr>
          <w:rFonts w:ascii="Times" w:hAnsi="Times" w:eastAsia="Times"/>
          <w:b w:val="0"/>
          <w:i w:val="0"/>
          <w:color w:val="000000"/>
          <w:sz w:val="20"/>
        </w:rPr>
        <w:t>additional tests shown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order to assess the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immediately after the positive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pulse.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depicts </w:t>
      </w:r>
      <w:r>
        <w:rPr>
          <w:rFonts w:ascii="Times" w:hAnsi="Times" w:eastAsia="Times"/>
          <w:b w:val="0"/>
          <w:i w:val="0"/>
          <w:color w:val="000000"/>
          <w:sz w:val="20"/>
        </w:rPr>
        <w:t>a fast readout scheme that collects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the falling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edge of the positive gate pulse to exclude any delay between </w:t>
      </w:r>
      <w:r>
        <w:rPr>
          <w:rFonts w:ascii="Times" w:hAnsi="Times" w:eastAsia="Times"/>
          <w:b w:val="0"/>
          <w:i w:val="0"/>
          <w:color w:val="000000"/>
          <w:sz w:val="20"/>
        </w:rPr>
        <w:t>the write and read.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another delay-free readout </w:t>
      </w:r>
      <w:r>
        <w:rPr>
          <w:rFonts w:ascii="Times" w:hAnsi="Times" w:eastAsia="Times"/>
          <w:b w:val="0"/>
          <w:i w:val="0"/>
          <w:color w:val="000000"/>
          <w:sz w:val="20"/>
        </w:rPr>
        <w:t>scheme wherein a single short gate-pulse of amplitude V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20"/>
        </w:rPr>
        <w:t>with a total length of 20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is applied immediately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>write pulse rather than 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sweep. Such single point measure-</w:t>
      </w:r>
      <w:r>
        <w:rPr>
          <w:rFonts w:ascii="Times" w:hAnsi="Times" w:eastAsia="Times"/>
          <w:b w:val="0"/>
          <w:i w:val="0"/>
          <w:color w:val="000000"/>
          <w:sz w:val="20"/>
        </w:rPr>
        <w:t>ments are repeated at different V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capture the full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D9272D"/>
          <w:sz w:val="20"/>
        </w:rPr>
        <w:t>Fig. 2(c)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comparison between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curves from </w:t>
      </w:r>
      <w:r>
        <w:rPr>
          <w:rFonts w:ascii="Times" w:hAnsi="Times" w:eastAsia="Times"/>
          <w:b w:val="0"/>
          <w:i w:val="0"/>
          <w:color w:val="000000"/>
          <w:sz w:val="20"/>
        </w:rPr>
        <w:t>the measurements of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1(f)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0.1 s and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G </w:t>
      </w:r>
      <w:r>
        <w:rPr>
          <w:rFonts w:ascii="Times" w:hAnsi="Times" w:eastAsia="Times"/>
          <w:b w:val="0"/>
          <w:i w:val="0"/>
          <w:color w:val="000000"/>
          <w:sz w:val="20"/>
        </w:rPr>
        <w:t>curves from the delay-free experiments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this test yields coinciding measurement results, immediate </w:t>
      </w:r>
      <w:r>
        <w:rPr>
          <w:rFonts w:ascii="Times" w:hAnsi="Times" w:eastAsia="Times"/>
          <w:b w:val="0"/>
          <w:i w:val="0"/>
          <w:color w:val="000000"/>
          <w:sz w:val="20"/>
        </w:rPr>
        <w:t>read-after-write for p-FeFETs could be confirmed.</w:t>
      </w:r>
    </w:p>
    <w:p>
      <w:pPr>
        <w:autoSpaceDN w:val="0"/>
        <w:autoSpaceDE w:val="0"/>
        <w:widowControl/>
        <w:spacing w:line="240" w:lineRule="exact" w:before="0" w:after="0"/>
        <w:ind w:left="116" w:right="2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While the fastest read capability in this work was restricted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few tens of microseconds due to the external tester setup,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full in-chip setup can yield a much faster write and read </w:t>
      </w:r>
      <w:r>
        <w:rPr>
          <w:rFonts w:ascii="Times" w:hAnsi="Times" w:eastAsia="Times"/>
          <w:b w:val="0"/>
          <w:i w:val="0"/>
          <w:color w:val="000000"/>
          <w:sz w:val="20"/>
        </w:rPr>
        <w:t>speed in the tens of nanoseconds regime [3].</w:t>
      </w:r>
    </w:p>
    <w:p>
      <w:pPr>
        <w:autoSpaceDN w:val="0"/>
        <w:autoSpaceDE w:val="0"/>
        <w:widowControl/>
        <w:spacing w:line="268" w:lineRule="exact" w:before="0" w:after="490"/>
        <w:ind w:left="116" w:right="2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Another important metric of a FeFET is its switching kinet-</w:t>
      </w:r>
      <w:r>
        <w:rPr>
          <w:rFonts w:ascii="Times" w:hAnsi="Times" w:eastAsia="Times"/>
          <w:b w:val="0"/>
          <w:i w:val="0"/>
          <w:color w:val="000000"/>
          <w:sz w:val="20"/>
        </w:rPr>
        <w:t>ics, i.e. switching voltage and time.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3(a)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results of switching experiments performed with the write/read </w:t>
      </w:r>
      <w:r>
        <w:rPr>
          <w:rFonts w:ascii="Times" w:hAnsi="Times" w:eastAsia="Times"/>
          <w:b w:val="0"/>
          <w:i w:val="0"/>
          <w:color w:val="000000"/>
          <w:sz w:val="20"/>
        </w:rPr>
        <w:t>scheme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1(c)</w:t>
      </w:r>
      <w:r>
        <w:rPr>
          <w:rFonts w:ascii="Times" w:hAnsi="Times" w:eastAsia="Times"/>
          <w:b w:val="0"/>
          <w:i w:val="0"/>
          <w:color w:val="000000"/>
          <w:sz w:val="20"/>
        </w:rPr>
        <w:t>, where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varied while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s. It can be seen that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≈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3.5 V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≈ 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 </w:t>
      </w:r>
      <w:r>
        <w:rPr>
          <w:rFonts w:ascii="Times" w:hAnsi="Times" w:eastAsia="Times"/>
          <w:b w:val="0"/>
          <w:i w:val="0"/>
          <w:color w:val="000000"/>
          <w:sz w:val="20"/>
        </w:rPr>
        <w:t>are required for the p-FeFET to complete LVT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HVT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requires very comparable voltages for the same transitions of </w:t>
      </w:r>
      <w:r>
        <w:rPr>
          <w:rFonts w:ascii="Times" w:hAnsi="Times" w:eastAsia="Times"/>
          <w:b w:val="0"/>
          <w:i w:val="0"/>
          <w:color w:val="000000"/>
          <w:sz w:val="20"/>
        </w:rPr>
        <w:t>HVT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LVT transitions, respectively. Similarly, the n-FeFET </w:t>
      </w:r>
      <w:r>
        <w:rPr>
          <w:rFonts w:ascii="Times" w:hAnsi="Times" w:eastAsia="Times"/>
          <w:b w:val="0"/>
          <w:i w:val="0"/>
          <w:color w:val="000000"/>
          <w:sz w:val="20"/>
        </w:rPr>
        <w:t>the polarization in the FE layer. Displayed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3(c)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20"/>
        </w:rPr>
        <w:t>switching time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a function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amplitude required to</w:t>
      </w:r>
    </w:p>
    <w:p>
      <w:pPr>
        <w:sectPr>
          <w:type w:val="nextColumn"/>
          <w:pgSz w:w="12240" w:h="15840"/>
          <w:pgMar w:top="202" w:right="950" w:bottom="66" w:left="972" w:header="720" w:footer="720" w:gutter="0"/>
          <w:cols w:space="720" w:num="2" w:equalWidth="0"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06,2022 at 05:11:49 UTC from IEEE Xplore.  Restrictions apply. </w:t>
      </w:r>
    </w:p>
    <w:p>
      <w:pPr>
        <w:sectPr>
          <w:type w:val="continuous"/>
          <w:pgSz w:w="12240" w:h="15840"/>
          <w:pgMar w:top="202" w:right="950" w:bottom="66" w:left="972" w:header="720" w:footer="720" w:gutter="0"/>
          <w:cols w:space="720" w:num="1" w:equalWidth="0"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5686" w:val="left"/>
        </w:tabs>
        <w:autoSpaceDE w:val="0"/>
        <w:widowControl/>
        <w:spacing w:line="160" w:lineRule="exact" w:before="0" w:after="0"/>
        <w:ind w:left="54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1776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42, NO. 12, DECEMBER 2021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8"/>
        <w:sectPr>
          <w:pgSz w:w="12240" w:h="15840"/>
          <w:pgMar w:top="202" w:right="952" w:bottom="66" w:left="926" w:header="720" w:footer="720" w:gutter="0"/>
          <w:cols w:space="720" w:num="1" w:equalWidth="0"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5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0" cy="20193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0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600" cy="114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116" w:after="0"/>
        <w:ind w:left="54" w:right="146" w:firstLine="0"/>
        <w:jc w:val="both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>Fig. 3.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p-FeFET switching into HVT-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and LVT-state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and n-FeFET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switching into LVT-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and HVT-state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with increasing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amplitude. 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>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Switching time t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S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as a function of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amplitude required to shift the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VT by half the MW, as described in [19].</w:t>
      </w:r>
    </w:p>
    <w:p>
      <w:pPr>
        <w:autoSpaceDN w:val="0"/>
        <w:autoSpaceDE w:val="0"/>
        <w:widowControl/>
        <w:spacing w:line="236" w:lineRule="exact" w:before="246" w:after="0"/>
        <w:ind w:left="54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shift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half the full MW, procedure as described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[19]. As the transitions of both devices exhibit coinciding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values both for the switching voltage and the switching time,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indicates almost identical switching kinetics for the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device types. Therefore, these results exclude the hypothesis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differences in switching kinetics are responsible for </w:t>
      </w:r>
      <w:r>
        <w:rPr>
          <w:rFonts w:ascii="Times" w:hAnsi="Times" w:eastAsia="Times"/>
          <w:b w:val="0"/>
          <w:i w:val="0"/>
          <w:color w:val="000000"/>
          <w:sz w:val="20"/>
        </w:rPr>
        <w:t>the striking discrepancies in de-trapping behavior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Hence, the differences should be sought in dissimilar trapping </w:t>
      </w:r>
      <w:r>
        <w:rPr>
          <w:rFonts w:ascii="Times" w:hAnsi="Times" w:eastAsia="Times"/>
          <w:b w:val="0"/>
          <w:i w:val="0"/>
          <w:color w:val="000000"/>
          <w:sz w:val="20"/>
        </w:rPr>
        <w:t>probabilities for the p- and n-type gate-stacks.</w:t>
      </w:r>
    </w:p>
    <w:p>
      <w:pPr>
        <w:autoSpaceDN w:val="0"/>
        <w:autoSpaceDE w:val="0"/>
        <w:widowControl/>
        <w:spacing w:line="242" w:lineRule="exact" w:before="0" w:after="0"/>
        <w:ind w:left="54" w:right="138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Although only little attention has been dedicated to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topic, because p-type transistors are generally not exposed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positive gate stress, some previous studies on conventional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p- and n-MOSFETS have already shown that the former are </w:t>
      </w:r>
      <w:r>
        <w:rPr>
          <w:rFonts w:ascii="Times" w:hAnsi="Times" w:eastAsia="Times"/>
          <w:b w:val="0"/>
          <w:i w:val="0"/>
          <w:color w:val="000000"/>
          <w:sz w:val="20"/>
        </w:rPr>
        <w:t>much less prone to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degradation under positive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compared to the latter. </w:t>
      </w: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20"/>
        </w:rPr>
        <w:t>The main contributors of this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</w:t>
      </w:r>
      <w:r>
        <w:rPr>
          <w:shd w:val="clear" w:color="auto" w:fill="ffd100"/>
          <w:rFonts w:ascii="Times" w:hAnsi="Times" w:eastAsia="Times"/>
          <w:b w:val="0"/>
          <w:i/>
          <w:color w:val="000000"/>
          <w:sz w:val="20"/>
        </w:rPr>
        <w:t>V</w:t>
      </w:r>
      <w:r>
        <w:rPr>
          <w:shd w:val="clear" w:color="auto" w:fill="ffd100"/>
          <w:rFonts w:ascii="Times" w:hAnsi="Times" w:eastAsia="Times"/>
          <w:b w:val="0"/>
          <w:i/>
          <w:color w:val="000000"/>
          <w:sz w:val="15"/>
        </w:rPr>
        <w:t>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62"/>
      </w:tblGrid>
      <w:tr>
        <w:trPr>
          <w:trHeight w:hRule="exact" w:val="222"/>
        </w:trPr>
        <w:tc>
          <w:tcPr>
            <w:tcW w:type="dxa" w:w="5132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instability were identified as the positive charge injected from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62"/>
      </w:tblGrid>
      <w:tr>
        <w:trPr>
          <w:trHeight w:hRule="exact" w:val="222"/>
        </w:trPr>
        <w:tc>
          <w:tcPr>
            <w:tcW w:type="dxa" w:w="5130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gate side and the negative charge (electrons) injected from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62"/>
      </w:tblGrid>
      <w:tr>
        <w:trPr>
          <w:trHeight w:hRule="exact" w:val="222"/>
        </w:trPr>
        <w:tc>
          <w:tcPr>
            <w:tcW w:type="dxa" w:w="5132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substrate in the accumulation regime of the p-MOSFET.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54" w:right="1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Nevertheless, it has been found that several factors,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geometry effects, unfavorable energetic levels for electron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trapping as well as shorter emission times for already trapped </w:t>
      </w:r>
      <w:r>
        <w:rPr>
          <w:rFonts w:ascii="Times" w:hAnsi="Times" w:eastAsia="Times"/>
          <w:b w:val="0"/>
          <w:i w:val="0"/>
          <w:color w:val="000000"/>
          <w:sz w:val="20"/>
        </w:rPr>
        <w:t>electrons, give rise to a lower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degradation upon electron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trapping in p-MOSFETs [20]–[24]. It is therefore very likely </w:t>
      </w:r>
      <w:r>
        <w:rPr>
          <w:rFonts w:ascii="Times" w:hAnsi="Times" w:eastAsia="Times"/>
          <w:b w:val="0"/>
          <w:i w:val="0"/>
          <w:color w:val="000000"/>
          <w:sz w:val="20"/>
        </w:rPr>
        <w:t>that this explanation also applies to the absence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shifts </w:t>
      </w:r>
      <w:r>
        <w:rPr>
          <w:rFonts w:ascii="Times" w:hAnsi="Times" w:eastAsia="Times"/>
          <w:b w:val="0"/>
          <w:i w:val="0"/>
          <w:color w:val="000000"/>
          <w:sz w:val="20"/>
        </w:rPr>
        <w:t>for our p-FeFETs under positive write voltages.</w:t>
      </w:r>
    </w:p>
    <w:p>
      <w:pPr>
        <w:autoSpaceDN w:val="0"/>
        <w:autoSpaceDE w:val="0"/>
        <w:widowControl/>
        <w:spacing w:line="240" w:lineRule="exact" w:before="0" w:after="0"/>
        <w:ind w:left="54" w:right="144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Nevertheless, although this result indicates that p-FeFETs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might be more suitable for memory devices compared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n-FeFETs, still a great caution is needed when fabricating </w:t>
      </w:r>
      <w:r>
        <w:rPr>
          <w:rFonts w:ascii="Times" w:hAnsi="Times" w:eastAsia="Times"/>
          <w:b w:val="0"/>
          <w:i w:val="0"/>
          <w:color w:val="000000"/>
          <w:sz w:val="20"/>
        </w:rPr>
        <w:t>these devices. So far, we have presented the results with</w:t>
      </w:r>
    </w:p>
    <w:p>
      <w:pPr>
        <w:sectPr>
          <w:type w:val="continuous"/>
          <w:pgSz w:w="12240" w:h="15840"/>
          <w:pgMar w:top="202" w:right="952" w:bottom="66" w:left="926" w:header="720" w:footer="720" w:gutter="0"/>
          <w:cols w:space="720" w:num="2" w:equalWidth="0"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946400" cy="10033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00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872" w:val="left"/>
        </w:tabs>
        <w:autoSpaceDE w:val="0"/>
        <w:widowControl/>
        <w:spacing w:line="240" w:lineRule="auto" w:before="100" w:after="0"/>
        <w:ind w:left="1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7800" cy="1016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77800" cy="1016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8" w:lineRule="exact" w:before="140" w:after="0"/>
        <w:ind w:left="92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>Fig. 4.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Threshold voltages for different delay times for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n-FeFET and 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>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p-FeFET with a SiGe channel.</w:t>
      </w:r>
    </w:p>
    <w:p>
      <w:pPr>
        <w:autoSpaceDN w:val="0"/>
        <w:autoSpaceDE w:val="0"/>
        <w:widowControl/>
        <w:spacing w:line="240" w:lineRule="auto" w:before="2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32000" cy="11303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3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21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7800" cy="1143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8" w:val="left"/>
        </w:tabs>
        <w:autoSpaceDE w:val="0"/>
        <w:widowControl/>
        <w:spacing w:line="180" w:lineRule="exact" w:before="126" w:after="0"/>
        <w:ind w:left="92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Fig. 5.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Retention of the two distinct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states for p-FeFETs with a Si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channel for delay times up to 24 h.</w:t>
      </w:r>
    </w:p>
    <w:p>
      <w:pPr>
        <w:autoSpaceDN w:val="0"/>
        <w:autoSpaceDE w:val="0"/>
        <w:widowControl/>
        <w:spacing w:line="238" w:lineRule="exact" w:before="168" w:after="0"/>
        <w:ind w:left="92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slight structural and compositional changes can impair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advantages of a p-FeFET, and give rise to increased trapping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characteristics, calling for a careful device design.</w:t>
      </w:r>
    </w:p>
    <w:p>
      <w:pPr>
        <w:autoSpaceDN w:val="0"/>
        <w:autoSpaceDE w:val="0"/>
        <w:widowControl/>
        <w:spacing w:line="240" w:lineRule="exact" w:before="0" w:after="0"/>
        <w:ind w:left="92" w:right="24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addition to the abovementioned device characteristics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key figure of merit of the FeFET as an emerging memory </w:t>
      </w:r>
      <w:r>
        <w:rPr>
          <w:rFonts w:ascii="Times" w:hAnsi="Times" w:eastAsia="Times"/>
          <w:b w:val="0"/>
          <w:i w:val="0"/>
          <w:color w:val="000000"/>
          <w:sz w:val="20"/>
        </w:rPr>
        <w:t>device is its data retention.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displays the data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characteristics of the two distinct states for p-FeFETs with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 channel. We report a stable data retention for times up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24 h indicating that the studied device not only features a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MW available immediately after the write operation but also </w:t>
      </w:r>
      <w:r>
        <w:rPr>
          <w:rFonts w:ascii="Times" w:hAnsi="Times" w:eastAsia="Times"/>
          <w:b w:val="0"/>
          <w:i w:val="0"/>
          <w:color w:val="000000"/>
          <w:sz w:val="20"/>
        </w:rPr>
        <w:t>retains its state over a longer period of time.</w:t>
      </w:r>
    </w:p>
    <w:p>
      <w:pPr>
        <w:autoSpaceDN w:val="0"/>
        <w:autoSpaceDE w:val="0"/>
        <w:widowControl/>
        <w:spacing w:line="230" w:lineRule="exact" w:before="22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III. C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ONCLUSION</w:t>
      </w:r>
    </w:p>
    <w:p>
      <w:pPr>
        <w:autoSpaceDN w:val="0"/>
        <w:autoSpaceDE w:val="0"/>
        <w:widowControl/>
        <w:spacing w:line="240" w:lineRule="exact" w:before="30" w:after="6"/>
        <w:ind w:left="92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We investigated and revealed drastically different parasitic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trapping characteristics in Si-channel p- and n-type FeFETs </w:t>
      </w:r>
      <w:r>
        <w:rPr>
          <w:rFonts w:ascii="Times" w:hAnsi="Times" w:eastAsia="Times"/>
          <w:b w:val="0"/>
          <w:i w:val="0"/>
          <w:color w:val="000000"/>
          <w:sz w:val="20"/>
        </w:rPr>
        <w:t>based on FE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While the latter show typical MW screen-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ing and require hundreds of milliseconds of delay between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write and read, the former feature a full MW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write, thus yielding an immediate read-after-write.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showed that the two device types have symmetric MW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very comparable switching behavior, so that the differences </w:t>
      </w:r>
      <w:r>
        <w:rPr>
          <w:rFonts w:ascii="Times" w:hAnsi="Times" w:eastAsia="Times"/>
          <w:b w:val="0"/>
          <w:i w:val="0"/>
          <w:color w:val="000000"/>
          <w:sz w:val="20"/>
        </w:rPr>
        <w:t>in trapping behavior most likely originates from energeti-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cally unfavorable electron trapping in p-FeFETs. Nevertheless,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slight changes in interface quality, e.g. through the use of SiGe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channel material, can enhance the parasitic trapping, </w:t>
      </w:r>
      <w:r>
        <w:rPr>
          <w:rFonts w:ascii="Times" w:hAnsi="Times" w:eastAsia="Times"/>
          <w:b w:val="0"/>
          <w:i w:val="0"/>
          <w:color w:val="000000"/>
          <w:sz w:val="20"/>
        </w:rPr>
        <w:t>thus nullifying the presented advantages and calling for careful</w:t>
      </w:r>
    </w:p>
    <w:p>
      <w:pPr>
        <w:sectPr>
          <w:type w:val="nextColumn"/>
          <w:pgSz w:w="12240" w:h="15840"/>
          <w:pgMar w:top="202" w:right="952" w:bottom="66" w:left="926" w:header="720" w:footer="720" w:gutter="0"/>
          <w:cols w:space="720" w:num="2" w:equalWidth="0"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tabs>
          <w:tab w:pos="5314" w:val="left"/>
        </w:tabs>
        <w:autoSpaceDE w:val="0"/>
        <w:widowControl/>
        <w:spacing w:line="222" w:lineRule="exact" w:before="0" w:after="6"/>
        <w:ind w:left="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devices having Si as the substrate material. However,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4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device design.</w:t>
      </w:r>
    </w:p>
    <w:p>
      <w:pPr>
        <w:sectPr>
          <w:type w:val="continuous"/>
          <w:pgSz w:w="12240" w:h="15840"/>
          <w:pgMar w:top="202" w:right="952" w:bottom="66" w:left="926" w:header="720" w:footer="720" w:gutter="0"/>
          <w:cols w:space="720" w:num="1" w:equalWidth="0"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4" w:right="1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shows the same experiment of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devices having </w:t>
      </w:r>
      <w:r>
        <w:rPr>
          <w:rFonts w:ascii="Times" w:hAnsi="Times" w:eastAsia="Times"/>
          <w:b w:val="0"/>
          <w:i w:val="0"/>
          <w:color w:val="000000"/>
          <w:sz w:val="20"/>
        </w:rPr>
        <w:t>SiGe (Ge content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30%) as the channel material (as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commonly done in classical p-FETs in order to increase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hole mobility). Now, not only the n-FeFETs but also </w:t>
      </w:r>
      <w:r>
        <w:rPr>
          <w:rFonts w:ascii="Times" w:hAnsi="Times" w:eastAsia="Times"/>
          <w:b w:val="0"/>
          <w:i w:val="0"/>
          <w:color w:val="000000"/>
          <w:sz w:val="20"/>
        </w:rPr>
        <w:t>p-FeFETs exhibit a significant dependence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 very pronounced de-trapping phase. This observation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be explained by the increased defect density due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lower quality of the interface layer grown on SiGe and the </w:t>
      </w:r>
      <w:r>
        <w:rPr>
          <w:rFonts w:ascii="Times" w:hAnsi="Times" w:eastAsia="Times"/>
          <w:b w:val="0"/>
          <w:i w:val="0"/>
          <w:color w:val="000000"/>
          <w:sz w:val="20"/>
        </w:rPr>
        <w:t>therefore increased trap density [25]–[27]. Hence, even such</w:t>
      </w:r>
    </w:p>
    <w:p>
      <w:pPr>
        <w:sectPr>
          <w:type w:val="continuous"/>
          <w:pgSz w:w="12240" w:h="15840"/>
          <w:pgMar w:top="202" w:right="952" w:bottom="66" w:left="926" w:header="720" w:footer="720" w:gutter="0"/>
          <w:cols w:space="720" w:num="2" w:equalWidth="0"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1764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EFERENCES</w:t>
      </w:r>
    </w:p>
    <w:p>
      <w:pPr>
        <w:autoSpaceDN w:val="0"/>
        <w:autoSpaceDE w:val="0"/>
        <w:widowControl/>
        <w:spacing w:line="180" w:lineRule="exact" w:before="64" w:after="0"/>
        <w:ind w:left="442" w:right="0" w:hanging="28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T. S. Böscke, J. Müller, D. Bräuhaus, U. Schröder, and U. Böttger,</w:t>
      </w:r>
      <w:r>
        <w:rPr>
          <w:rFonts w:ascii="Times" w:hAnsi="Times" w:eastAsia="Times"/>
          <w:b w:val="0"/>
          <w:i w:val="0"/>
          <w:color w:val="000000"/>
          <w:sz w:val="16"/>
        </w:rPr>
        <w:t>“Ferroelectricity in hafnium oxide thin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99,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55" w:type="dxa"/>
      </w:tblPr>
      <w:tblGrid>
        <w:gridCol w:w="1036"/>
        <w:gridCol w:w="1036"/>
        <w:gridCol w:w="1036"/>
        <w:gridCol w:w="1036"/>
        <w:gridCol w:w="1036"/>
        <w:gridCol w:w="1036"/>
        <w:gridCol w:w="1036"/>
        <w:gridCol w:w="1036"/>
        <w:gridCol w:w="1036"/>
        <w:gridCol w:w="1036"/>
      </w:tblGrid>
      <w:tr>
        <w:trPr>
          <w:trHeight w:hRule="exact" w:val="180"/>
        </w:trPr>
        <w:tc>
          <w:tcPr>
            <w:tcW w:type="dxa" w:w="44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10, Sep. 2011, Art. no. 102903, doi: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36" w:history="1">
                <w:r>
                  <w:rPr>
                    <w:rStyle w:val="Hyperlink"/>
                  </w:rPr>
                  <w:t>10.1063/1.3634052</w:t>
                </w:r>
              </w:hyperlink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>.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Reimer,</w:t>
            </w:r>
          </w:p>
        </w:tc>
      </w:tr>
      <w:tr>
        <w:trPr>
          <w:trHeight w:hRule="exact" w:val="18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[2]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Trentzsch,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Flachowsky,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Richter,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Paul,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B.</w:t>
            </w:r>
          </w:p>
        </w:tc>
        <w:tc>
          <w:tcPr>
            <w:tcW w:type="dxa" w:w="10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528"/>
        <w:ind w:left="442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D. Utess, S. Jansen, H. Mulaosmanovic, S. Müller, S. Slesazeck,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Ocker, M. Noack, J. Müller, P. Polakowski, J. Schreiter, S. Beyer, </w:t>
      </w:r>
      <w:r>
        <w:rPr>
          <w:rFonts w:ascii="Times" w:hAnsi="Times" w:eastAsia="Times"/>
          <w:b w:val="0"/>
          <w:i w:val="0"/>
          <w:color w:val="000000"/>
          <w:sz w:val="16"/>
        </w:rPr>
        <w:t>T. Mikolajick, and B. Rice, “A 28 nm HKMG super low power embed-</w:t>
      </w:r>
      <w:r>
        <w:rPr>
          <w:rFonts w:ascii="Times" w:hAnsi="Times" w:eastAsia="Times"/>
          <w:b w:val="0"/>
          <w:i w:val="0"/>
          <w:color w:val="000000"/>
          <w:sz w:val="16"/>
        </w:rPr>
        <w:t>ded NVM technology based on ferroelectric FETs,”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Dec. 2016, pp. 11.5.1–11.5.4,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7" w:history="1">
          <w:r>
            <w:rPr>
              <w:rStyle w:val="Hyperlink"/>
            </w:rPr>
            <w:t>10.1109/IEDM.2016.7838397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nextColumn"/>
          <w:pgSz w:w="12240" w:h="15840"/>
          <w:pgMar w:top="202" w:right="952" w:bottom="66" w:left="926" w:header="720" w:footer="720" w:gutter="0"/>
          <w:cols w:space="720" w:num="2" w:equalWidth="0"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06,2022 at 05:11:49 UTC from IEEE Xplore.  Restrictions apply. </w:t>
      </w:r>
    </w:p>
    <w:p>
      <w:pPr>
        <w:sectPr>
          <w:type w:val="continuous"/>
          <w:pgSz w:w="12240" w:h="15840"/>
          <w:pgMar w:top="202" w:right="952" w:bottom="66" w:left="926" w:header="720" w:footer="720" w:gutter="0"/>
          <w:cols w:space="720" w:num="1" w:equalWidth="0"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997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KLEIMAIER et al.: DEMONSTRATION OF p-TYPE FeFET WITH IMMEDIATE READ-AFTER-WRITE CAPABILITY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1777</w:t>
      </w:r>
    </w:p>
    <w:p>
      <w:pPr>
        <w:autoSpaceDN w:val="0"/>
        <w:autoSpaceDE w:val="0"/>
        <w:widowControl/>
        <w:spacing w:line="240" w:lineRule="auto" w:before="50" w:after="486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>
        <w:trPr>
          <w:trHeight w:hRule="exact" w:val="2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[3]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Dünkel,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FeFET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based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super-low-power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ultra-fast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embed-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[16]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K. Ni, P. Sharma, J. Zhang, M. Jerry, J. A. Smith, K. Tapily,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pgSz w:w="12240" w:h="15840"/>
          <w:pgMar w:top="202" w:right="958" w:bottom="66" w:left="978" w:header="720" w:footer="720" w:gutter="0"/>
          <w:cols w:space="720" w:num="1" w:equalWidth="0"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366" w:right="3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ded NVM technology for 22 nm FDSOI and beyond,”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</w:t>
      </w:r>
      <w:r>
        <w:rPr>
          <w:rFonts w:ascii="Times" w:hAnsi="Times" w:eastAsia="Times"/>
          <w:b w:val="0"/>
          <w:i/>
          <w:color w:val="000000"/>
          <w:sz w:val="16"/>
        </w:rPr>
        <w:t>Tech. Dig.</w:t>
      </w:r>
      <w:r>
        <w:rPr>
          <w:rFonts w:ascii="Times" w:hAnsi="Times" w:eastAsia="Times"/>
          <w:b w:val="0"/>
          <w:i w:val="0"/>
          <w:color w:val="000000"/>
          <w:sz w:val="16"/>
        </w:rPr>
        <w:t>, Jan. 2018, pp. 19.7.1–19.7.4,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8" w:history="1">
          <w:r>
            <w:rPr>
              <w:rStyle w:val="Hyperlink"/>
            </w:rPr>
            <w:t xml:space="preserve">10.1109/IEDM.2017.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8" w:history="1">
          <w:r>
            <w:rPr>
              <w:rStyle w:val="Hyperlink"/>
            </w:rPr>
            <w:t>8268425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2" w:equalWidth="0"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2"/>
        <w:ind w:left="30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R. Clark, S. Mahapatra, and S. Datta, “Critical role of interlayer in </w:t>
      </w:r>
      <w:r>
        <w:rPr>
          <w:rFonts w:ascii="Times" w:hAnsi="Times" w:eastAsia="Times"/>
          <w:b w:val="0"/>
          <w:i w:val="0"/>
          <w:color w:val="000000"/>
          <w:sz w:val="16"/>
        </w:rPr>
        <w:t>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ferroelectric FET nonvolatile memory performance,”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</w:t>
      </w:r>
      <w:r>
        <w:rPr>
          <w:rFonts w:ascii="Times" w:hAnsi="Times" w:eastAsia="Times"/>
          <w:b w:val="0"/>
          <w:i/>
          <w:color w:val="000000"/>
          <w:sz w:val="16"/>
        </w:rPr>
        <w:t>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>, vol. 65, no. 6, pp. 2461–2469, Jun. 2018, doi:</w:t>
      </w:r>
    </w:p>
    <w:p>
      <w:pPr>
        <w:sectPr>
          <w:type w:val="nextColumn"/>
          <w:pgSz w:w="12240" w:h="15840"/>
          <w:pgMar w:top="202" w:right="958" w:bottom="66" w:left="978" w:header="720" w:footer="720" w:gutter="0"/>
          <w:cols w:space="720" w:num="2" w:equalWidth="0"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15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[4]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H. Mulaosmanovic,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 Ocker,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 Müller,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M. Noack,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 Müller,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39" w:history="1">
                <w:r>
                  <w:rPr>
                    <w:rStyle w:val="Hyperlink"/>
                  </w:rPr>
                  <w:t>10.1109/TED.2018.2829122</w:t>
                </w:r>
              </w:hyperlink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1" w:equalWidth="0"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366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P. Polakowski, T. Mikolajick, and S. Slesazeck, “Novel ferroelec-</w:t>
      </w:r>
      <w:r>
        <w:rPr>
          <w:rFonts w:ascii="Times" w:hAnsi="Times" w:eastAsia="Times"/>
          <w:b w:val="0"/>
          <w:i w:val="0"/>
          <w:color w:val="000000"/>
          <w:sz w:val="16"/>
        </w:rPr>
        <w:t>tric FET based synapse for neuromorphic systems,”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</w:t>
      </w:r>
      <w:r>
        <w:rPr>
          <w:rFonts w:ascii="Times" w:hAnsi="Times" w:eastAsia="Times"/>
          <w:b w:val="0"/>
          <w:i/>
          <w:color w:val="000000"/>
          <w:sz w:val="16"/>
        </w:rPr>
        <w:t>VLSI Technol.</w:t>
      </w:r>
      <w:r>
        <w:rPr>
          <w:rFonts w:ascii="Times" w:hAnsi="Times" w:eastAsia="Times"/>
          <w:b w:val="0"/>
          <w:i w:val="0"/>
          <w:color w:val="000000"/>
          <w:sz w:val="16"/>
        </w:rPr>
        <w:t>, 2017, pp. T176–T177,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0" w:history="1">
          <w:r>
            <w:rPr>
              <w:rStyle w:val="Hyperlink"/>
            </w:rPr>
            <w:t>10.23919/VLSIT.2017.</w:t>
          </w:r>
        </w:hyperlink>
      </w: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2" w:equalWidth="0"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54" w:lineRule="exact" w:before="50" w:after="0"/>
        <w:ind w:left="484" w:right="0" w:hanging="36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N. Gong and T. -P. Ma, “A study of endurance issues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-based </w:t>
      </w:r>
      <w:r>
        <w:rPr>
          <w:rFonts w:ascii="Times" w:hAnsi="Times" w:eastAsia="Times"/>
          <w:b w:val="0"/>
          <w:i w:val="0"/>
          <w:color w:val="000000"/>
          <w:sz w:val="16"/>
        </w:rPr>
        <w:t>ferroelectric field effect transistors: Charge trapping and trap generation,”</w:t>
      </w:r>
    </w:p>
    <w:p>
      <w:pPr>
        <w:autoSpaceDN w:val="0"/>
        <w:autoSpaceDE w:val="0"/>
        <w:widowControl/>
        <w:spacing w:line="178" w:lineRule="exact" w:before="0" w:after="2"/>
        <w:ind w:left="48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39, no. 1, pp. 15–18, Jan. 2018, doi:</w:t>
      </w:r>
    </w:p>
    <w:p>
      <w:pPr>
        <w:sectPr>
          <w:type w:val="nextColumn"/>
          <w:pgSz w:w="12240" w:h="15840"/>
          <w:pgMar w:top="202" w:right="958" w:bottom="66" w:left="978" w:header="720" w:footer="720" w:gutter="0"/>
          <w:cols w:space="720" w:num="2" w:equalWidth="0"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178" w:lineRule="exact" w:before="0" w:after="2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40" w:history="1">
          <w:r>
            <w:rPr>
              <w:rStyle w:val="Hyperlink"/>
            </w:rPr>
            <w:t>7998165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1" w:history="1">
          <w:r>
            <w:rPr>
              <w:rStyle w:val="Hyperlink"/>
            </w:rPr>
            <w:t>10.1109/LED.2017.2776263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1" w:equalWidth="0">
            <w:col w:w="10304" w:space="0"/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366" w:right="0" w:hanging="286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[5]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Mulaosmanovic, E. Chicca, M. Bertele, T. Mikolajick, and </w:t>
      </w:r>
      <w:r>
        <w:rPr>
          <w:rFonts w:ascii="Times" w:hAnsi="Times" w:eastAsia="Times"/>
          <w:b w:val="0"/>
          <w:i w:val="0"/>
          <w:color w:val="000000"/>
          <w:sz w:val="16"/>
        </w:rPr>
        <w:t>S. Slesazeck, “Mimicking biological neurons with a nanoscale ferroelec-</w:t>
      </w:r>
      <w:r>
        <w:rPr>
          <w:rFonts w:ascii="Times" w:hAnsi="Times" w:eastAsia="Times"/>
          <w:b w:val="0"/>
          <w:i w:val="0"/>
          <w:color w:val="000000"/>
          <w:sz w:val="16"/>
        </w:rPr>
        <w:t>tric transistor,”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Nanoscale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10, no. 46, pp. 21755–21763, Nov. 2018,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2" w:history="1">
          <w:r>
            <w:rPr>
              <w:rStyle w:val="Hyperlink"/>
            </w:rPr>
            <w:t>10.1039/c8nr07135g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20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[6]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Oh, H. Hwang, and I. K. Yoo, “Ferroelectric materials for neuromor-</w:t>
      </w:r>
      <w:r>
        <w:rPr>
          <w:rFonts w:ascii="Times" w:hAnsi="Times" w:eastAsia="Times"/>
          <w:b w:val="0"/>
          <w:i w:val="0"/>
          <w:color w:val="000000"/>
          <w:sz w:val="16"/>
        </w:rPr>
        <w:t>phic computing,”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APL Mater.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7, no. 9, Sep. 2019, Art. no. 091109,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3" w:history="1">
          <w:r>
            <w:rPr>
              <w:rStyle w:val="Hyperlink"/>
            </w:rPr>
            <w:t>10.1063/1.5108562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366" w:right="120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D. Reis, M. Niemier, and X. S. Hu, “Computing in memory with </w:t>
      </w:r>
      <w:r>
        <w:rPr>
          <w:rFonts w:ascii="Times" w:hAnsi="Times" w:eastAsia="Times"/>
          <w:b w:val="0"/>
          <w:i w:val="0"/>
          <w:color w:val="000000"/>
          <w:sz w:val="16"/>
        </w:rPr>
        <w:t>FeFETs,”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Int. Symp. Low Power Electron. Design (ISLPED)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2018, pp. 1–6,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4" w:history="1">
          <w:r>
            <w:rPr>
              <w:rStyle w:val="Hyperlink"/>
            </w:rPr>
            <w:t>10.1145/3218603.3218640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20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[8]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X. Yin, X. Chen, M. Niemier, and X. S. Hu, “Ferroelectric FETs-based </w:t>
      </w:r>
      <w:r>
        <w:rPr>
          <w:rFonts w:ascii="Times" w:hAnsi="Times" w:eastAsia="Times"/>
          <w:b w:val="0"/>
          <w:i w:val="0"/>
          <w:color w:val="000000"/>
          <w:sz w:val="16"/>
        </w:rPr>
        <w:t>nonvolatile logic-in-memory circuits,”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Very Large Scale </w:t>
      </w:r>
      <w:r>
        <w:rPr>
          <w:rFonts w:ascii="Times" w:hAnsi="Times" w:eastAsia="Times"/>
          <w:b w:val="0"/>
          <w:i/>
          <w:color w:val="000000"/>
          <w:sz w:val="16"/>
        </w:rPr>
        <w:t>Integr. (VLSI) Syst.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27, no. 1, pp. 159–172, Jan. 2019,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5" w:history="1">
          <w:r>
            <w:rPr>
              <w:rStyle w:val="Hyperlink"/>
            </w:rPr>
            <w:t>10.1109/TVLSI.2018.2871119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20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[9]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E. T. Breyer, H. Mulaosmanovic, J. Trommer, T. Melde, S. Dünkel,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Trentzsch, S. Beyer, S. Slesazeck, and T. Mikolajick, “Compact </w:t>
      </w:r>
      <w:r>
        <w:rPr>
          <w:rFonts w:ascii="Times" w:hAnsi="Times" w:eastAsia="Times"/>
          <w:b w:val="0"/>
          <w:i w:val="0"/>
          <w:color w:val="000000"/>
          <w:sz w:val="16"/>
        </w:rPr>
        <w:t>FeFET circuit building blocks for fast and efficient nonvolatile logic-</w:t>
      </w:r>
      <w:r>
        <w:rPr>
          <w:rFonts w:ascii="Times" w:hAnsi="Times" w:eastAsia="Times"/>
          <w:b w:val="0"/>
          <w:i w:val="0"/>
          <w:color w:val="000000"/>
          <w:sz w:val="16"/>
        </w:rPr>
        <w:t>in-memory,”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J. Electron Devices Soc.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8, pp. 748–756, </w:t>
      </w:r>
      <w:r>
        <w:rPr>
          <w:rFonts w:ascii="Times" w:hAnsi="Times" w:eastAsia="Times"/>
          <w:b w:val="0"/>
          <w:i w:val="0"/>
          <w:color w:val="000000"/>
          <w:sz w:val="16"/>
        </w:rPr>
        <w:t>Apr. 2020,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6" w:history="1">
          <w:r>
            <w:rPr>
              <w:rStyle w:val="Hyperlink"/>
            </w:rPr>
            <w:t>10.1109/JEDS.2020.2987084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0" w:hanging="36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[10]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Beyer, S. Dünkelm, M. Trentzsch, J. Müller, A. Hellmich, D. Utess, </w:t>
      </w:r>
      <w:r>
        <w:rPr>
          <w:rFonts w:ascii="Times" w:hAnsi="Times" w:eastAsia="Times"/>
          <w:b w:val="0"/>
          <w:i w:val="0"/>
          <w:color w:val="000000"/>
          <w:sz w:val="16"/>
        </w:rPr>
        <w:t>J. Paul, D. Kleimaier, J. Pellerin, S. Müller, J. Ocker, A. Benoist,</w:t>
      </w: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2" w:equalWidth="0">
            <w:col w:w="5144" w:space="0"/>
            <w:col w:w="5160" w:space="0"/>
            <w:col w:w="10304" w:space="0"/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tabs>
          <w:tab w:pos="482" w:val="left"/>
          <w:tab w:pos="1378" w:val="left"/>
          <w:tab w:pos="1788" w:val="left"/>
          <w:tab w:pos="2390" w:val="left"/>
          <w:tab w:pos="3100" w:val="left"/>
          <w:tab w:pos="3404" w:val="left"/>
          <w:tab w:pos="4358" w:val="left"/>
        </w:tabs>
        <w:autoSpaceDE w:val="0"/>
        <w:widowControl/>
        <w:spacing w:line="178" w:lineRule="exact" w:before="0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[18]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Mulaosmanovic, E. T. Breyer, T. Mikolajick, and S. Slesazeck,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“Switching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trapping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ferroelectric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FETs: An overview and potential applications,”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4th IEEE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Electron Devices Technol. Manuf. Conf. (EDTM)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Apr. 2020, pp. 1–4,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7" w:history="1">
          <w:r>
            <w:rPr>
              <w:rStyle w:val="Hyperlink"/>
            </w:rPr>
            <w:t>10.1109/EDTM47692.2020.9118005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[19]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Mulaosmanovic, F. Müller, M. Lederer, T. Ali, R. Hoffmann,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K. Seidel, H. Zhou, J. Ocker, S. Mueller, S. Dünkel, D. Kleimaier,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Müller, M. Trentzsch, S. Beyer, E. T. Breyer, T. Mikolajick, and </w:t>
      </w:r>
      <w:r>
        <w:rPr>
          <w:rFonts w:ascii="Times" w:hAnsi="Times" w:eastAsia="Times"/>
          <w:b w:val="0"/>
          <w:i w:val="0"/>
          <w:color w:val="000000"/>
          <w:sz w:val="16"/>
        </w:rPr>
        <w:t>S. Slesazeck, “Interplay between switching and retention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-based </w:t>
      </w:r>
      <w:r>
        <w:rPr>
          <w:rFonts w:ascii="Times" w:hAnsi="Times" w:eastAsia="Times"/>
          <w:b w:val="0"/>
          <w:i w:val="0"/>
          <w:color w:val="000000"/>
          <w:sz w:val="16"/>
        </w:rPr>
        <w:t>ferroelectric FETs,”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67, no. 8, </w:t>
      </w:r>
      <w:r>
        <w:rPr>
          <w:rFonts w:ascii="Times" w:hAnsi="Times" w:eastAsia="Times"/>
          <w:b w:val="0"/>
          <w:i w:val="0"/>
          <w:color w:val="000000"/>
          <w:sz w:val="16"/>
        </w:rPr>
        <w:t>pp. 3466–3471, Aug. 2020,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8" w:history="1">
          <w:r>
            <w:rPr>
              <w:rStyle w:val="Hyperlink"/>
            </w:rPr>
            <w:t>10.1109/TED.2020.3004033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482" w:val="left"/>
          <w:tab w:pos="2312" w:val="left"/>
          <w:tab w:pos="4316" w:val="left"/>
        </w:tabs>
        <w:autoSpaceDE w:val="0"/>
        <w:widowControl/>
        <w:spacing w:line="180" w:lineRule="exact" w:before="0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[20]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K. Rott, H. Reisingera,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Aresua, C. Schlündera,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K. Kölpina,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W. Gustina, and T. Grasser, “New insights on the PBTI phenom-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 in SiON pMOSFETs,”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Microelectron.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52, nos. 9–10,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pp. 1891–1894, 2012,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9" w:history="1">
          <w:r>
            <w:rPr>
              <w:rStyle w:val="Hyperlink"/>
            </w:rPr>
            <w:t>10.1016/j.microrel.2012.06.015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Denais, V. Huard, C. Parthasarathy, G. Ribes, F. Perrier, N. Revil,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A. Bravaix, “Interface trap generation and hole trapping under NBTI </w:t>
      </w:r>
      <w:r>
        <w:rPr>
          <w:rFonts w:ascii="Times" w:hAnsi="Times" w:eastAsia="Times"/>
          <w:b w:val="0"/>
          <w:i w:val="0"/>
          <w:color w:val="000000"/>
          <w:sz w:val="16"/>
        </w:rPr>
        <w:t>and PBTI in advanced CMOS technology with a 2-nm gate oxide,”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</w:t>
      </w:r>
      <w:r>
        <w:rPr>
          <w:rFonts w:ascii="Times" w:hAnsi="Times" w:eastAsia="Times"/>
          <w:b w:val="0"/>
          <w:i/>
          <w:color w:val="000000"/>
          <w:sz w:val="16"/>
        </w:rPr>
        <w:t>Trans. Device Mater.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4, no. 4, pp. 715–722, Dec. 2004,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0" w:history="1">
          <w:r>
            <w:rPr>
              <w:rStyle w:val="Hyperlink"/>
            </w:rPr>
            <w:t>10.1109/TDMR.2004.840856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2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[22]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A. Kerber and E. A. Cartier, “Reliability challenges for CMOS tech-</w:t>
      </w:r>
    </w:p>
    <w:p>
      <w:pPr>
        <w:sectPr>
          <w:type w:val="nextColumn"/>
          <w:pgSz w:w="12240" w:h="15840"/>
          <w:pgMar w:top="202" w:right="958" w:bottom="66" w:left="978" w:header="720" w:footer="720" w:gutter="0"/>
          <w:cols w:space="720" w:num="2" w:equalWidth="0">
            <w:col w:w="5144" w:space="0"/>
            <w:col w:w="5160" w:space="0"/>
            <w:col w:w="10304" w:space="0"/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03" w:type="dxa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15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Zhou,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Mennenga,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Schuster,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Tassan,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Noack,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nology qualifications with hafnium oxide/titanium nitride gate stacks,”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1" w:equalWidth="0">
            <w:col w:w="10304" w:space="0"/>
            <w:col w:w="5144" w:space="0"/>
            <w:col w:w="5160" w:space="0"/>
            <w:col w:w="10304" w:space="0"/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tabs>
          <w:tab w:pos="1604" w:val="left"/>
          <w:tab w:pos="1850" w:val="left"/>
          <w:tab w:pos="2452" w:val="left"/>
          <w:tab w:pos="2764" w:val="left"/>
          <w:tab w:pos="3424" w:val="left"/>
          <w:tab w:pos="3682" w:val="left"/>
          <w:tab w:pos="4056" w:val="left"/>
          <w:tab w:pos="4332" w:val="left"/>
        </w:tabs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Pourkeramati,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Müller,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Lederer,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Hoffmann,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T. Kämpfe, K. Seidel, H. Mulaosmanovic, E. T. Breyer, T. Mikolajick,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S. Slesazeck, “FeFET: A versatile CMOS compatible device with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game-changing potential,”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Int. Memory Workshop (IMW)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2020, pp. 1–4,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1" w:history="1">
          <w:r>
            <w:rPr>
              <w:rStyle w:val="Hyperlink"/>
            </w:rPr>
            <w:t>10.1109/IMW48823.2020.9108150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C. -H. Cheng and A. Chin, “Low-leakage-current DRAM-like memory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using a one-transistor ferroelectric MOSFET with a Hf-based gate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dielectric,”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35, no. 1, pp. 138–140,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Jan. 2014,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2" w:history="1">
          <w:r>
            <w:rPr>
              <w:rStyle w:val="Hyperlink"/>
            </w:rPr>
            <w:t>10.1109/LED.2013.2290117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[12]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F. Winkler, M. Peši´c, C. Richter, M. Hoffmann, T. Mikolajick, and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J. W. Bartha, “Demonstration and endurance improvement of p-channel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hafnia-based ferroelectric field effect transistors,”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Device</w:t>
      </w: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2" w:equalWidth="0">
            <w:col w:w="5144" w:space="0"/>
            <w:col w:w="5160" w:space="0"/>
            <w:col w:w="10304" w:space="0"/>
            <w:col w:w="5144" w:space="0"/>
            <w:col w:w="5160" w:space="0"/>
            <w:col w:w="10304" w:space="0"/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4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IEEE Trans. Device Mater.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9, no. 2, pp. 147–162, Jun. 2009,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3" w:history="1">
          <w:r>
            <w:rPr>
              <w:rStyle w:val="Hyperlink"/>
            </w:rPr>
            <w:t>10.1109/TDMR.2009.2016954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Cho, J.-D. Lee, M. Aoulaiche, B. Kaczer, P. Roussel, T. Kauerauf,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R. Degraeve, J. Franco, L.-Å. Ragnarsson, and G. Groeseneken, “Insight </w:t>
      </w:r>
      <w:r>
        <w:rPr>
          <w:rFonts w:ascii="Times" w:hAnsi="Times" w:eastAsia="Times"/>
          <w:b w:val="0"/>
          <w:i w:val="0"/>
          <w:color w:val="000000"/>
          <w:sz w:val="16"/>
        </w:rPr>
        <w:t>into N/PBTI mechanisms in sub-1-nm-EOT devices,”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</w:t>
      </w:r>
    </w:p>
    <w:p>
      <w:pPr>
        <w:autoSpaceDN w:val="0"/>
        <w:autoSpaceDE w:val="0"/>
        <w:widowControl/>
        <w:spacing w:line="180" w:lineRule="exact" w:before="0" w:after="0"/>
        <w:ind w:left="4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59, no. 8, pp. 2042–2048, Aug. 2012,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4" w:history="1">
          <w:r>
            <w:rPr>
              <w:rStyle w:val="Hyperlink"/>
            </w:rPr>
            <w:t>10.1109/TED.2012.2199496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2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E. Cartier A. Kerber, T. Ando, M. M. Frank, K. Choi, S. Krishnan, </w:t>
      </w:r>
      <w:r>
        <w:rPr>
          <w:rFonts w:ascii="Times" w:hAnsi="Times" w:eastAsia="Times"/>
          <w:b w:val="0"/>
          <w:i w:val="0"/>
          <w:color w:val="000000"/>
          <w:sz w:val="16"/>
        </w:rPr>
        <w:t>B. Linder, K. Zhao, F. Monsieur, J. Stathis, and V. Narayanan, “Fun-</w:t>
      </w:r>
      <w:r>
        <w:rPr>
          <w:rFonts w:ascii="Times" w:hAnsi="Times" w:eastAsia="Times"/>
          <w:b w:val="0"/>
          <w:i w:val="0"/>
          <w:color w:val="000000"/>
          <w:sz w:val="16"/>
        </w:rPr>
        <w:t>damental aspects of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metal gate stack reliability </w:t>
      </w:r>
      <w:r>
        <w:rPr>
          <w:rFonts w:ascii="Times" w:hAnsi="Times" w:eastAsia="Times"/>
          <w:b w:val="0"/>
          <w:i w:val="0"/>
          <w:color w:val="000000"/>
          <w:sz w:val="16"/>
        </w:rPr>
        <w:t>and implications on tinv-scaling,”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Dec. 2011, </w:t>
      </w:r>
      <w:r>
        <w:rPr>
          <w:rFonts w:ascii="Times" w:hAnsi="Times" w:eastAsia="Times"/>
          <w:b w:val="0"/>
          <w:i w:val="0"/>
          <w:color w:val="000000"/>
          <w:sz w:val="16"/>
        </w:rPr>
        <w:t>pp. 18.4.1–18.4.4,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5" w:history="1">
          <w:r>
            <w:rPr>
              <w:rStyle w:val="Hyperlink"/>
            </w:rPr>
            <w:t>10.1109/IEDM.2011.6131579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nextColumn"/>
          <w:pgSz w:w="12240" w:h="15840"/>
          <w:pgMar w:top="202" w:right="958" w:bottom="66" w:left="978" w:header="720" w:footer="720" w:gutter="0"/>
          <w:cols w:space="720" w:num="2" w:equalWidth="0">
            <w:col w:w="5144" w:space="0"/>
            <w:col w:w="5160" w:space="0"/>
            <w:col w:w="10304" w:space="0"/>
            <w:col w:w="5144" w:space="0"/>
            <w:col w:w="5160" w:space="0"/>
            <w:col w:w="10304" w:space="0"/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03" w:type="dxa"/>
      </w:tblPr>
      <w:tblGrid>
        <w:gridCol w:w="3435"/>
        <w:gridCol w:w="3435"/>
        <w:gridCol w:w="3435"/>
      </w:tblGrid>
      <w:tr>
        <w:trPr>
          <w:trHeight w:hRule="exact" w:val="17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Res. Conf. (DRC)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2019, pp. 51–52, doi: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56" w:history="1">
                <w:r>
                  <w:rPr>
                    <w:rStyle w:val="Hyperlink"/>
                  </w:rPr>
                  <w:t>10.1109/DRC46940.2019.</w:t>
                </w:r>
              </w:hyperlink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[25]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P. Srinivasan, J. Fronheiser, K. Akarvardar, A. Kerber, L. F. Edge,</w:t>
            </w:r>
          </w:p>
        </w:tc>
      </w:tr>
      <w:tr>
        <w:trPr>
          <w:trHeight w:hRule="exact" w:val="1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56" w:history="1">
                <w:r>
                  <w:rPr>
                    <w:rStyle w:val="Hyperlink"/>
                  </w:rPr>
                  <w:t>9046463</w:t>
                </w:r>
              </w:hyperlink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>.</w:t>
            </w:r>
          </w:p>
        </w:tc>
        <w:tc>
          <w:tcPr>
            <w:tcW w:type="dxa" w:w="3435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5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R. G. Southwick, E. Cartier, and H. Kothari, “SiGe composition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1" w:equalWidth="0">
            <w:col w:w="10304" w:space="0"/>
            <w:col w:w="5144" w:space="0"/>
            <w:col w:w="5160" w:space="0"/>
            <w:col w:w="10304" w:space="0"/>
            <w:col w:w="5144" w:space="0"/>
            <w:col w:w="5160" w:space="0"/>
            <w:col w:w="10304" w:space="0"/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H.-K. Peng, T.-H. Kao, Y.-C. Kao, P.-J. Wu, and Y.-H. Wu, “Reduced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asymmetric memory window between Si-based n- and p-FeFETs</w:t>
      </w:r>
    </w:p>
    <w:p>
      <w:pPr>
        <w:autoSpaceDN w:val="0"/>
        <w:autoSpaceDE w:val="0"/>
        <w:widowControl/>
        <w:spacing w:line="202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 scaled ferroelectric HfZrO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x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AlON interfacial layer,”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42, no. 6, pp. 835–838, Jun. 2021, doi: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57" w:history="1">
          <w:r>
            <w:rPr>
              <w:rStyle w:val="Hyperlink"/>
            </w:rPr>
            <w:t>10.1109/LED.2021.3074434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2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Lederer, F. Müller, K. Kühnel, R. Olivo, K. Mertens, M. Trentzsch,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03" w:type="dxa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>
        <w:trPr>
          <w:trHeight w:hRule="exact" w:val="1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 Dünkel,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Müller,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Beyer,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K.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Seidel,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Kämpfe,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M. Eng, “Integration of hafnium oxide on epitaxial SiGe for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p-type ferroelectric FET application,”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vol. 41, no. 12, pp. 1762–1765, Dec. 2020,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8" w:history="1">
          <w:r>
            <w:rPr>
              <w:rStyle w:val="Hyperlink"/>
            </w:rPr>
            <w:t>10.1109/LED.2020.</w:t>
          </w:r>
        </w:hyperlink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58" w:history="1">
          <w:r>
            <w:rPr>
              <w:rStyle w:val="Hyperlink"/>
            </w:rPr>
            <w:t>3031308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[15]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E. Yurchuk, J. Müller, S. Müller, J. Paul, M. Peši´c, R. van Bentum,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U. Schroeder, and T. Mikolajick, “Charge-trapping phenomena in</w:t>
      </w:r>
    </w:p>
    <w:p>
      <w:pPr>
        <w:autoSpaceDN w:val="0"/>
        <w:autoSpaceDE w:val="0"/>
        <w:widowControl/>
        <w:spacing w:line="204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 FeFET-type nonvolatile memories,”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Elec-</w:t>
      </w:r>
    </w:p>
    <w:p>
      <w:pPr>
        <w:autoSpaceDN w:val="0"/>
        <w:tabs>
          <w:tab w:pos="756" w:val="left"/>
          <w:tab w:pos="1434" w:val="left"/>
          <w:tab w:pos="1806" w:val="left"/>
          <w:tab w:pos="2140" w:val="left"/>
          <w:tab w:pos="2472" w:val="left"/>
          <w:tab w:pos="2726" w:val="left"/>
          <w:tab w:pos="3870" w:val="left"/>
          <w:tab w:pos="4284" w:val="left"/>
          <w:tab w:pos="4774" w:val="left"/>
        </w:tabs>
        <w:autoSpaceDE w:val="0"/>
        <w:widowControl/>
        <w:spacing w:line="176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tron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63,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pp. 3501–3507,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2016,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59" w:history="1">
          <w:r>
            <w:rPr>
              <w:rStyle w:val="Hyperlink"/>
            </w:rPr>
            <w:t>10.1109/TED.2016.2588439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2" w:equalWidth="0">
            <w:col w:w="5144" w:space="0"/>
            <w:col w:w="5160" w:space="0"/>
            <w:col w:w="10304" w:space="0"/>
            <w:col w:w="5144" w:space="0"/>
            <w:col w:w="5160" w:space="0"/>
            <w:col w:w="10304" w:space="0"/>
            <w:col w:w="5144" w:space="0"/>
            <w:col w:w="5160" w:space="0"/>
            <w:col w:w="10304" w:space="0"/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48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thickness effects on NBTI in replacement metal gate/high-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technolo-</w:t>
      </w:r>
      <w:r>
        <w:rPr>
          <w:rFonts w:ascii="Times" w:hAnsi="Times" w:eastAsia="Times"/>
          <w:b w:val="0"/>
          <w:i w:val="0"/>
          <w:color w:val="000000"/>
          <w:sz w:val="16"/>
        </w:rPr>
        <w:t>gies,”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Int. Rel. Phys. Symp.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Jun. 2014, pp. 6A.3.1–6A.3.6,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0" w:history="1">
          <w:r>
            <w:rPr>
              <w:rStyle w:val="Hyperlink"/>
            </w:rPr>
            <w:t>10.1109/IRPS.2014.6861099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[26]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J. Franco, B. Kaczer, J. Mitard, M. Toledano-Luque, P. J. Roussel,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L. Witters, T. Grasser, and G. Groeseneken, “NBTI reliability of SiGe </w:t>
      </w:r>
      <w:r>
        <w:rPr>
          <w:rFonts w:ascii="Times" w:hAnsi="Times" w:eastAsia="Times"/>
          <w:b w:val="0"/>
          <w:i w:val="0"/>
          <w:color w:val="000000"/>
          <w:sz w:val="16"/>
        </w:rPr>
        <w:t>and Ge channel PMOSFETs with SiO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/HfO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dielectric stack,”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</w:t>
      </w:r>
      <w:r>
        <w:rPr>
          <w:rFonts w:ascii="Times" w:hAnsi="Times" w:eastAsia="Times"/>
          <w:b w:val="0"/>
          <w:i/>
          <w:color w:val="000000"/>
          <w:sz w:val="16"/>
        </w:rPr>
        <w:t>Trans. Device Mater.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13, no. 4, pp. 497–506, Dec. 2013,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1" w:history="1">
          <w:r>
            <w:rPr>
              <w:rStyle w:val="Hyperlink"/>
            </w:rPr>
            <w:t>10.1109/TDMR.2013.2281731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3398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F. E. Leys, R. Bonzom, B. Kaczer, T. Janssens W. Vandervorst,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B. De Jaeger, J. Van Steenbergen, K. Martens, D. Hellin, J. Rip,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Dilliway, A. Delabie, P. Zimmerman, M. Houssa, A. Theuwis,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R. Loo, M. Meuris, M. Caymax, and M. M. Heyns, “Thin epitaxial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 films as a passivation method for Ge (100): Influence of deposition </w:t>
      </w:r>
      <w:r>
        <w:rPr>
          <w:rFonts w:ascii="Times" w:hAnsi="Times" w:eastAsia="Times"/>
          <w:b w:val="0"/>
          <w:i w:val="0"/>
          <w:color w:val="000000"/>
          <w:sz w:val="16"/>
        </w:rPr>
        <w:t>temperature on Ge surface segregation and the 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/Ge interface </w:t>
      </w:r>
      <w:r>
        <w:rPr>
          <w:rFonts w:ascii="Times" w:hAnsi="Times" w:eastAsia="Times"/>
          <w:b w:val="0"/>
          <w:i w:val="0"/>
          <w:color w:val="000000"/>
          <w:sz w:val="16"/>
        </w:rPr>
        <w:t>quality,”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Mater. Sci. Semicond. Process.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9, nos. 4–5, pp. 679–684, </w:t>
      </w:r>
      <w:r>
        <w:rPr>
          <w:rFonts w:ascii="Times" w:hAnsi="Times" w:eastAsia="Times"/>
          <w:b w:val="0"/>
          <w:i w:val="0"/>
          <w:color w:val="000000"/>
          <w:sz w:val="16"/>
        </w:rPr>
        <w:t>Aug./Oct. 2006,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2" w:history="1">
          <w:r>
            <w:rPr>
              <w:rStyle w:val="Hyperlink"/>
            </w:rPr>
            <w:t>10.1016/j.mssp.2006.08.034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nextColumn"/>
          <w:pgSz w:w="12240" w:h="15840"/>
          <w:pgMar w:top="202" w:right="958" w:bottom="66" w:left="978" w:header="720" w:footer="720" w:gutter="0"/>
          <w:cols w:space="720" w:num="2" w:equalWidth="0">
            <w:col w:w="5144" w:space="0"/>
            <w:col w:w="5160" w:space="0"/>
            <w:col w:w="10304" w:space="0"/>
            <w:col w:w="5144" w:space="0"/>
            <w:col w:w="5160" w:space="0"/>
            <w:col w:w="10304" w:space="0"/>
            <w:col w:w="5144" w:space="0"/>
            <w:col w:w="5160" w:space="0"/>
            <w:col w:w="10304" w:space="0"/>
            <w:col w:w="5142" w:space="0"/>
            <w:col w:w="5162" w:space="0"/>
            <w:col w:w="10304" w:space="0"/>
            <w:col w:w="5324" w:space="0"/>
            <w:col w:w="4980" w:space="0"/>
            <w:col w:w="10304" w:space="0"/>
            <w:col w:w="10362" w:space="0"/>
            <w:col w:w="5236" w:space="0"/>
            <w:col w:w="5125" w:space="0"/>
            <w:col w:w="10362" w:space="0"/>
            <w:col w:w="5221" w:space="0"/>
            <w:col w:w="5140" w:space="0"/>
            <w:col w:w="10362" w:space="0"/>
            <w:col w:w="10318" w:space="0"/>
            <w:col w:w="5151" w:space="0"/>
            <w:col w:w="5166" w:space="0"/>
            <w:col w:w="10318" w:space="0"/>
            <w:col w:w="10306" w:space="0"/>
            <w:col w:w="5144" w:space="0"/>
            <w:col w:w="5161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06,2022 at 05:11:49 UTC from IEEE Xplore.  Restrictions apply. </w:t>
      </w:r>
    </w:p>
    <w:sectPr w:rsidR="00FC693F" w:rsidRPr="0006063C" w:rsidSect="00034616">
      <w:type w:val="continuous"/>
      <w:pgSz w:w="12240" w:h="15840"/>
      <w:pgMar w:top="202" w:right="958" w:bottom="66" w:left="978" w:header="720" w:footer="720" w:gutter="0"/>
      <w:cols w:space="720" w:num="1" w:equalWidth="0">
        <w:col w:w="10304" w:space="0"/>
        <w:col w:w="5144" w:space="0"/>
        <w:col w:w="5160" w:space="0"/>
        <w:col w:w="10304" w:space="0"/>
        <w:col w:w="5144" w:space="0"/>
        <w:col w:w="5160" w:space="0"/>
        <w:col w:w="10304" w:space="0"/>
        <w:col w:w="5144" w:space="0"/>
        <w:col w:w="5160" w:space="0"/>
        <w:col w:w="10304" w:space="0"/>
        <w:col w:w="5142" w:space="0"/>
        <w:col w:w="5162" w:space="0"/>
        <w:col w:w="10304" w:space="0"/>
        <w:col w:w="5324" w:space="0"/>
        <w:col w:w="4980" w:space="0"/>
        <w:col w:w="10304" w:space="0"/>
        <w:col w:w="10362" w:space="0"/>
        <w:col w:w="5236" w:space="0"/>
        <w:col w:w="5125" w:space="0"/>
        <w:col w:w="10362" w:space="0"/>
        <w:col w:w="5221" w:space="0"/>
        <w:col w:w="5140" w:space="0"/>
        <w:col w:w="10362" w:space="0"/>
        <w:col w:w="10318" w:space="0"/>
        <w:col w:w="5151" w:space="0"/>
        <w:col w:w="5166" w:space="0"/>
        <w:col w:w="10318" w:space="0"/>
        <w:col w:w="10306" w:space="0"/>
        <w:col w:w="5144" w:space="0"/>
        <w:col w:w="5161" w:space="0"/>
        <w:col w:w="103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orcid.org/0000-0002-0414-0321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orcid.org/0000-0003-3814-0378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hyperlink" Target="http://dx.doi.org/10.1063/1.3634052" TargetMode="External"/><Relationship Id="rId37" Type="http://schemas.openxmlformats.org/officeDocument/2006/relationships/hyperlink" Target="http://dx.doi.org/10.1109/IEDM.2016.7838397" TargetMode="External"/><Relationship Id="rId38" Type="http://schemas.openxmlformats.org/officeDocument/2006/relationships/hyperlink" Target="http://dx.doi.org/10.1109/IEDM.2017.8268425" TargetMode="External"/><Relationship Id="rId39" Type="http://schemas.openxmlformats.org/officeDocument/2006/relationships/hyperlink" Target="http://dx.doi.org/10.1109/TED.2018.2829122" TargetMode="External"/><Relationship Id="rId40" Type="http://schemas.openxmlformats.org/officeDocument/2006/relationships/hyperlink" Target="http://dx.doi.org/10.23919/VLSIT.2017.7998165" TargetMode="External"/><Relationship Id="rId41" Type="http://schemas.openxmlformats.org/officeDocument/2006/relationships/hyperlink" Target="http://dx.doi.org/10.1109/LED.2017.2776263" TargetMode="External"/><Relationship Id="rId42" Type="http://schemas.openxmlformats.org/officeDocument/2006/relationships/hyperlink" Target="http://dx.doi.org/10.1039/c8nr07135g" TargetMode="External"/><Relationship Id="rId43" Type="http://schemas.openxmlformats.org/officeDocument/2006/relationships/hyperlink" Target="http://dx.doi.org/10.1063/1.5108562" TargetMode="External"/><Relationship Id="rId44" Type="http://schemas.openxmlformats.org/officeDocument/2006/relationships/hyperlink" Target="http://dx.doi.org/10.1145/3218603.3218640" TargetMode="External"/><Relationship Id="rId45" Type="http://schemas.openxmlformats.org/officeDocument/2006/relationships/hyperlink" Target="http://dx.doi.org/10.1109/TVLSI.2018.2871119" TargetMode="External"/><Relationship Id="rId46" Type="http://schemas.openxmlformats.org/officeDocument/2006/relationships/hyperlink" Target="http://dx.doi.org/10.1109/JEDS.2020.2987084" TargetMode="External"/><Relationship Id="rId47" Type="http://schemas.openxmlformats.org/officeDocument/2006/relationships/hyperlink" Target="http://dx.doi.org/10.1109/EDTM47692.2020.9118005" TargetMode="External"/><Relationship Id="rId48" Type="http://schemas.openxmlformats.org/officeDocument/2006/relationships/hyperlink" Target="http://dx.doi.org/10.1109/TED.2020.3004033" TargetMode="External"/><Relationship Id="rId49" Type="http://schemas.openxmlformats.org/officeDocument/2006/relationships/hyperlink" Target="http://dx.doi.org/10.1016/j.microrel.2012.06.015" TargetMode="External"/><Relationship Id="rId50" Type="http://schemas.openxmlformats.org/officeDocument/2006/relationships/hyperlink" Target="http://dx.doi.org/10.1109/TDMR.2004.840856" TargetMode="External"/><Relationship Id="rId51" Type="http://schemas.openxmlformats.org/officeDocument/2006/relationships/hyperlink" Target="http://dx.doi.org/10.1109/IMW48823.2020.9108150" TargetMode="External"/><Relationship Id="rId52" Type="http://schemas.openxmlformats.org/officeDocument/2006/relationships/hyperlink" Target="http://dx.doi.org/10.1109/LED.2013.2290117" TargetMode="External"/><Relationship Id="rId53" Type="http://schemas.openxmlformats.org/officeDocument/2006/relationships/hyperlink" Target="http://dx.doi.org/10.1109/TDMR.2009.2016954" TargetMode="External"/><Relationship Id="rId54" Type="http://schemas.openxmlformats.org/officeDocument/2006/relationships/hyperlink" Target="http://dx.doi.org/10.1109/TED.2012.2199496" TargetMode="External"/><Relationship Id="rId55" Type="http://schemas.openxmlformats.org/officeDocument/2006/relationships/hyperlink" Target="http://dx.doi.org/10.1109/IEDM.2011.6131579" TargetMode="External"/><Relationship Id="rId56" Type="http://schemas.openxmlformats.org/officeDocument/2006/relationships/hyperlink" Target="http://dx.doi.org/10.1109/DRC46940.2019.9046463" TargetMode="External"/><Relationship Id="rId57" Type="http://schemas.openxmlformats.org/officeDocument/2006/relationships/hyperlink" Target="http://dx.doi.org/10.1109/LED.2021.3074434" TargetMode="External"/><Relationship Id="rId58" Type="http://schemas.openxmlformats.org/officeDocument/2006/relationships/hyperlink" Target="http://dx.doi.org/10.1109/LED.2020.3031308" TargetMode="External"/><Relationship Id="rId59" Type="http://schemas.openxmlformats.org/officeDocument/2006/relationships/hyperlink" Target="http://dx.doi.org/10.1109/TED.2016.2588439" TargetMode="External"/><Relationship Id="rId60" Type="http://schemas.openxmlformats.org/officeDocument/2006/relationships/hyperlink" Target="http://dx.doi.org/10.1109/IRPS.2014.6861099" TargetMode="External"/><Relationship Id="rId61" Type="http://schemas.openxmlformats.org/officeDocument/2006/relationships/hyperlink" Target="http://dx.doi.org/10.1109/TDMR.2013.2281731" TargetMode="External"/><Relationship Id="rId62" Type="http://schemas.openxmlformats.org/officeDocument/2006/relationships/hyperlink" Target="http://dx.doi.org/10.1016/j.mssp.2006.08.0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