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autoSpaceDN w:val="0"/>
        <w:autoSpaceDE w:val="0"/>
        <w:widowControl/>
        <w:spacing w:line="430" w:lineRule="exact" w:before="210" w:after="248"/>
        <w:ind w:left="864" w:right="100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>AFE-like Hysteresis Loops for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Field Induced Phase Change vs. Depolarization Fields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2.0" w:type="dxa"/>
      </w:tblPr>
      <w:tblGrid>
        <w:gridCol w:w="3499"/>
        <w:gridCol w:w="3499"/>
        <w:gridCol w:w="3499"/>
      </w:tblGrid>
      <w:tr>
        <w:trPr>
          <w:trHeight w:hRule="exact" w:val="406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D. Spirito, S. Gorfman </w:t>
            </w:r>
          </w:p>
        </w:tc>
        <w:tc>
          <w:tcPr>
            <w:tcW w:type="dxa" w:w="4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T. Schenk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Luxembourg Institute of Science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Belvaux, Luxembourg 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432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P. D. Lomenzo, T. Mikolajick,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U. Schroeder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NaMLab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gGmbH/TU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Dresden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Dresden, Germany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uwe.schroeder@namlab.com</w:t>
            </w:r>
          </w:p>
        </w:tc>
      </w:tr>
      <w:tr>
        <w:trPr>
          <w:trHeight w:hRule="exact" w:val="82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288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 Aviv University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 Aviv, Israel </w:t>
            </w:r>
          </w:p>
        </w:tc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90"/>
        <w:ind w:left="0" w:right="0"/>
      </w:pPr>
    </w:p>
    <w:p>
      <w:pPr>
        <w:sectPr>
          <w:pgSz w:w="12240" w:h="15840"/>
          <w:pgMar w:top="508" w:right="836" w:bottom="788" w:left="908" w:header="720" w:footer="720" w:gutter="0"/>
          <w:cols w:space="720" w:num="1" w:equalWidth="0">
            <w:col w:w="10496" w:space="0"/>
          </w:cols>
          <w:docGrid w:linePitch="360"/>
        </w:sectPr>
      </w:pPr>
    </w:p>
    <w:p>
      <w:pPr>
        <w:autoSpaceDN w:val="0"/>
        <w:tabs>
          <w:tab w:pos="270" w:val="left"/>
          <w:tab w:pos="1086" w:val="left"/>
          <w:tab w:pos="1658" w:val="left"/>
          <w:tab w:pos="2224" w:val="left"/>
          <w:tab w:pos="2440" w:val="left"/>
          <w:tab w:pos="2862" w:val="left"/>
          <w:tab w:pos="3106" w:val="left"/>
          <w:tab w:pos="3704" w:val="left"/>
          <w:tab w:pos="3850" w:val="left"/>
          <w:tab w:pos="4332" w:val="left"/>
        </w:tabs>
        <w:autoSpaceDE w:val="0"/>
        <w:widowControl/>
        <w:spacing w:line="206" w:lineRule="exact" w:before="42" w:after="0"/>
        <w:ind w:left="0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/>
          <w:color w:val="000000"/>
          <w:sz w:val="18"/>
        </w:rPr>
        <w:t>Abstract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—Most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pristine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doped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>HfO</w:t>
      </w:r>
      <w:r>
        <w:rPr>
          <w:rFonts w:ascii="TimesNewRomanPS" w:hAnsi="TimesNewRomanPS" w:eastAsia="TimesNewRomanPS"/>
          <w:b/>
          <w:i w:val="0"/>
          <w:color w:val="000000"/>
          <w:sz w:val="12"/>
        </w:rPr>
        <w:t xml:space="preserve">2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polarization-field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hysteresis loops show a pinched hysteresis and discussions are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ongoing to explain this AFE-like switching behavior. Main causes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discussed in literature are related to a field induced phase change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effects or linked to depolarization fields from non-polar phase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regions in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ferroelectric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>HfO</w:t>
      </w:r>
      <w:r>
        <w:rPr>
          <w:rFonts w:ascii="TimesNewRomanPS" w:hAnsi="TimesNewRomanPS" w:eastAsia="TimesNewRomanPS"/>
          <w:b/>
          <w:i w:val="0"/>
          <w:color w:val="000000"/>
          <w:sz w:val="12"/>
        </w:rPr>
        <w:t>2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Structural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electrical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characterization results are compared to distinguish between the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>different causes.</w:t>
      </w:r>
    </w:p>
    <w:p>
      <w:pPr>
        <w:autoSpaceDN w:val="0"/>
        <w:tabs>
          <w:tab w:pos="272" w:val="left"/>
        </w:tabs>
        <w:autoSpaceDE w:val="0"/>
        <w:widowControl/>
        <w:spacing w:line="206" w:lineRule="exact" w:before="200" w:after="0"/>
        <w:ind w:left="0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/>
          <w:color w:val="000000"/>
          <w:sz w:val="18"/>
        </w:rPr>
        <w:t>Keywords—Ferroelectric HfO</w:t>
      </w:r>
      <w:r>
        <w:rPr>
          <w:rFonts w:ascii="TimesNewRomanPS" w:hAnsi="TimesNewRomanPS" w:eastAsia="TimesNewRomanPS"/>
          <w:b/>
          <w:i/>
          <w:color w:val="000000"/>
          <w:sz w:val="12"/>
        </w:rPr>
        <w:t>2</w:t>
      </w:r>
      <w:r>
        <w:rPr>
          <w:rFonts w:ascii="TimesNewRomanPS" w:hAnsi="TimesNewRomanPS" w:eastAsia="TimesNewRomanPS"/>
          <w:b/>
          <w:i/>
          <w:color w:val="000000"/>
          <w:sz w:val="18"/>
        </w:rPr>
        <w:t xml:space="preserve">; AFE-like hysteresis, micro-spot </w:t>
      </w:r>
      <w:r>
        <w:rPr>
          <w:rFonts w:ascii="TimesNewRomanPS" w:hAnsi="TimesNewRomanPS" w:eastAsia="TimesNewRomanPS"/>
          <w:b/>
          <w:i/>
          <w:color w:val="000000"/>
          <w:sz w:val="18"/>
        </w:rPr>
        <w:t xml:space="preserve">XRD; depolarization field; wake-up cycling </w:t>
      </w:r>
    </w:p>
    <w:p>
      <w:pPr>
        <w:autoSpaceDN w:val="0"/>
        <w:tabs>
          <w:tab w:pos="576" w:val="left"/>
        </w:tabs>
        <w:autoSpaceDE w:val="0"/>
        <w:widowControl/>
        <w:spacing w:line="266" w:lineRule="exact" w:before="110" w:after="0"/>
        <w:ind w:left="1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30" w:lineRule="exact" w:before="162" w:after="0"/>
        <w:ind w:left="0" w:right="144" w:firstLine="28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Ferroelectricity in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gained a lot of interest after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first publication of results in 2011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since the ferroelectric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films are highly scalable, lead free, and CMOS compatible,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making the material very interesting for future semiconductor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applications in non-volatile memory and logic applications.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Ferroelectric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based capacitor structures are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typically formed between two metal nitride or noble metal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electrodes. Dopants in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can be selected from a wide range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dopants which are smaller (e.g. Si, Al, Ge) or larger (e.g. Y,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Sr, La) than the Hf ion itself. In all cases, remanent polarization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values of about 15 to 25 µC/cm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with a coercive field of 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 MV/cm can be reached when the physical thickness of 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layer is about 5-50 nm for most ALD, PVD, PLD, or CSD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deposited layers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For the PLD and CSD case, even higher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thickness values up to 1 µm with good FE properties can be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reached. Especially for higher doping concentrations of smaller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dopants, like Si and Al or for Zr-rich 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1-x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films, an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antiferroelectric (AFE)-like pinched hysteresis loop is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observed. AFE-like behavior was attributed to a field induced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transformation of a non-polar tetragonal to polar orthorhombic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phase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1,2,4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Within this abstract a detailed structural and electrical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 is performed to gain a more detailed inside view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this AFE-like switching behavior. </w:t>
      </w:r>
    </w:p>
    <w:p>
      <w:pPr>
        <w:autoSpaceDN w:val="0"/>
        <w:tabs>
          <w:tab w:pos="576" w:val="left"/>
        </w:tabs>
        <w:autoSpaceDE w:val="0"/>
        <w:widowControl/>
        <w:spacing w:line="266" w:lineRule="exact" w:before="124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METHODS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/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RESULTS</w:t>
      </w:r>
    </w:p>
    <w:p>
      <w:pPr>
        <w:autoSpaceDN w:val="0"/>
        <w:autoSpaceDE w:val="0"/>
        <w:widowControl/>
        <w:spacing w:line="230" w:lineRule="exact" w:before="76" w:after="0"/>
        <w:ind w:left="0" w:right="144" w:firstLine="28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Capacitor stacks consisting of an ALD deposited Si doped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mixed 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1-x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amorphous dielectrics positioned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two PVD deposited TiN electrodes on a Si substrate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are annealed to gain AFE-like properties in the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layer. Typical capacitor diameter is 100-200 µm.  The basic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film structure is determined by SEM, and GIXRD analysis.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basic polarization hysteresis characterization is performed on </w:t>
      </w:r>
    </w:p>
    <w:p>
      <w:pPr>
        <w:sectPr>
          <w:type w:val="continuous"/>
          <w:pgSz w:w="12240" w:h="15840"/>
          <w:pgMar w:top="508" w:right="836" w:bottom="788" w:left="908" w:header="720" w:footer="720" w:gutter="0"/>
          <w:cols w:space="720" w:num="2" w:equalWidth="0">
            <w:col w:w="5236" w:space="0"/>
            <w:col w:w="5260" w:space="0"/>
            <w:col w:w="1049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15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AixACCT TF Analyzer 3000. Since typical field cycling is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performed in the kHz regime, a time resolved synchrotron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based micro-spot XRD analysis is chosen to characterize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possible field induced phase changes in the ferroelectric layer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the European Synchrotron Radiation Facility in Grenoble.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few 100 nm wide rectangular X-ray beam (λ = 0.018816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nm), concentrated through a 2-dimensional lens, enabled to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characterize single contact pads during electric field cycling.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electrical field was applied using a function generator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(Rohde &amp; Schwarz HMF2550) triggered by the beamline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software. The polarization was assessed via the transient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currents determined from the voltage drop across a 50 </w:t>
      </w:r>
      <w:r>
        <w:rPr>
          <w:rFonts w:ascii="Calibri" w:hAnsi="Calibri" w:eastAsia="Calibri"/>
          <w:b w:val="0"/>
          <w:i w:val="0"/>
          <w:color w:val="000000"/>
          <w:sz w:val="20"/>
        </w:rPr>
        <w:t>Ω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shunt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resistor. This voltage drop was monitored via an oscilloscope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(LeCroy WaveSurfer 44Xs). </w:t>
      </w:r>
    </w:p>
    <w:p>
      <w:pPr>
        <w:autoSpaceDN w:val="0"/>
        <w:tabs>
          <w:tab w:pos="734" w:val="left"/>
        </w:tabs>
        <w:autoSpaceDE w:val="0"/>
        <w:widowControl/>
        <w:spacing w:line="266" w:lineRule="exact" w:before="126" w:after="0"/>
        <w:ind w:left="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DISCUSSION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/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40" w:lineRule="auto" w:before="22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346960" cy="266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66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8" w:lineRule="exact" w:before="132" w:after="0"/>
        <w:ind w:left="266" w:right="1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Fig. 1: Synchrotron based micro-spot XRD measurements 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200um sized metal/ferroelectric/metal capacitor a) with and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applied field for a 5.6 cat% Si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sample and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b) before and after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field cycles of an AFE like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Orthorhombic peaks are assigned, monoclinic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peaks are marked (*). Tungsten needle contacting pad during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in-situ field cycling measurement (⁂). </w:t>
      </w:r>
    </w:p>
    <w:p>
      <w:pPr>
        <w:autoSpaceDN w:val="0"/>
        <w:tabs>
          <w:tab w:pos="446" w:val="left"/>
        </w:tabs>
        <w:autoSpaceDE w:val="0"/>
        <w:widowControl/>
        <w:spacing w:line="218" w:lineRule="exact" w:before="124" w:after="0"/>
        <w:ind w:left="156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Synchrotron based micro-spot XRD measurements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chosen to determine the macroscopic phase change in an AFE-</w:t>
      </w:r>
    </w:p>
    <w:p>
      <w:pPr>
        <w:sectPr>
          <w:type w:val="nextColumn"/>
          <w:pgSz w:w="12240" w:h="15840"/>
          <w:pgMar w:top="508" w:right="836" w:bottom="788" w:left="908" w:header="720" w:footer="720" w:gutter="0"/>
          <w:cols w:space="720" w:num="2" w:equalWidth="0">
            <w:col w:w="5236" w:space="0"/>
            <w:col w:w="5260" w:space="0"/>
            <w:col w:w="104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0"/>
      </w:pPr>
    </w:p>
    <w:p>
      <w:pPr>
        <w:sectPr>
          <w:pgSz w:w="12240" w:h="15840"/>
          <w:pgMar w:top="522" w:right="836" w:bottom="912" w:left="908" w:header="720" w:footer="720" w:gutter="0"/>
          <w:cols w:space="720" w:num="2" w:equalWidth="0">
            <w:col w:w="5236" w:space="0"/>
            <w:col w:w="5260" w:space="0"/>
            <w:col w:w="10496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46" w:after="0"/>
        <w:ind w:left="0" w:right="15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like sample when an external field is applied similar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polarization hysteresis measurement. The clearly pinched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hysteresis loop of a 5.6 cation % Si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film is shown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Fig. 2b. Micro-spot XRD on a 200 µm sized metal/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ferroelectric/metal capacitor stack revealed no significant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 in the macroscopic XRD pattern indicating no large scale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phase change when a positive or negative field of 3 MV/cm²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applied to the structure (Fig. 1a). Independent of the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field, a polycrystalline structure with orthorhombic, tetragonal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minor monoclinic phase portions is present. Similar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measurements with a transmission electron microscope (TEM)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a pure AFE-like ZrO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sample indicated a predominately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tetragonal phase structure which showed small structural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changes on the microscopic scale when an external field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 MV/cm² is applied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Overall, the structure seems to be stable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a field is applied, but minor changes in the local phase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possible. </w:t>
      </w:r>
    </w:p>
    <w:p>
      <w:pPr>
        <w:autoSpaceDN w:val="0"/>
        <w:autoSpaceDE w:val="0"/>
        <w:widowControl/>
        <w:spacing w:line="218" w:lineRule="exact" w:before="120" w:after="0"/>
        <w:ind w:left="0" w:right="154" w:firstLine="28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Similar trends were detected for the field cycling case. Field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cycling has been postulated to lead to structural changes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which correspond to the macroscopically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measured hysteresis characteristics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Here, a 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sample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strong wake-up effects during field cycling is chosen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micro-spot XRD characterization. Again, no change in the XRD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pattern can be detected before and after field cycling (Fig. 1b).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a similar Gd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sample with strong wake-up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cycling, Hoffmann et al. reported also no phase change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during field cycling in micro-spot XRD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but TEM again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revealed structural changes on the microscopic scale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Phase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transformations of non-polar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regions to the polar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orthorhombic phase were reported.  Accordingly, discussions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were ongoing to find new explanations for the occurrence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AFE-like pinched hysteresis loop for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films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changes in the hysteresis loop during field cycling. </w:t>
      </w:r>
    </w:p>
    <w:p>
      <w:pPr>
        <w:autoSpaceDN w:val="0"/>
        <w:autoSpaceDE w:val="0"/>
        <w:widowControl/>
        <w:spacing w:line="218" w:lineRule="exact" w:before="122" w:after="0"/>
        <w:ind w:left="0" w:right="144" w:firstLine="28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Calculations of the depolarization field caused by the finite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screening length within TiN electrodes or by dead layer effects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due to non-switching interface layers in between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 layer and the metal electrode indicate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depolarization field &gt;1 MV/cm² for 10 nm thick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films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Non-polar phase regions in a ferroelectric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layer have been confirmed by TEM measurements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depolarization field value, the impact on the hysteresis loop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can be calculated. Assuming an increasing amount of the non-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polar tetragonal phase within an orthorhombic film, this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 in an increased pinching of the hysteresis loop for 10 nm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films (Fig. 2a). Similar experimental hysteresis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loops were reported for Si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(Fig. 2b)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Al doped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and 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1-x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layer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exact" w:before="114" w:after="0"/>
        <w:ind w:left="0" w:right="144" w:firstLine="28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finite screening length/dead layer model can also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applied to explain a depinching of the hysteresis loop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cycling. So far in literature, a combination of domain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depinning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a charge movement based phase transition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5,10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discussed to explain a clear change in the hysteresis loop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during field cycling. But, as discussed before, the initially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pinched hysteresis loop could arise due to depolarization fields.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reduction of the depolarization field during field cycling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could occur due to interfacial trapped screening charges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not lead to any macroscopically observable structural </w:t>
      </w:r>
    </w:p>
    <w:p>
      <w:pPr>
        <w:sectPr>
          <w:type w:val="continuous"/>
          <w:pgSz w:w="12240" w:h="15840"/>
          <w:pgMar w:top="522" w:right="836" w:bottom="912" w:left="908" w:header="720" w:footer="720" w:gutter="0"/>
          <w:cols w:space="720" w:num="2" w:equalWidth="0">
            <w:col w:w="5236" w:space="0"/>
            <w:col w:w="5260" w:space="0"/>
            <w:col w:w="5236" w:space="0"/>
            <w:col w:w="5260" w:space="0"/>
            <w:col w:w="1049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changes and is in general agreement with the previously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mentioned structural measurements. </w:t>
      </w:r>
    </w:p>
    <w:p>
      <w:pPr>
        <w:autoSpaceDN w:val="0"/>
        <w:tabs>
          <w:tab w:pos="734" w:val="left"/>
        </w:tabs>
        <w:autoSpaceDE w:val="0"/>
        <w:widowControl/>
        <w:spacing w:line="266" w:lineRule="exact" w:before="126" w:after="0"/>
        <w:ind w:left="2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ONCLUSIONS</w:t>
      </w:r>
    </w:p>
    <w:p>
      <w:pPr>
        <w:autoSpaceDN w:val="0"/>
        <w:autoSpaceDE w:val="0"/>
        <w:widowControl/>
        <w:spacing w:line="218" w:lineRule="exact" w:before="82" w:after="0"/>
        <w:ind w:left="156" w:right="0" w:firstLine="29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Structural characterization measurements indicate that AFE-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like hysteresis shapes are rather caused by depolarization fields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related to non-polar regions in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than by large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scale field induced phase changes. However, some phase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changes can be seen in microscopic TEM measurements in local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regions. Since the phase changes cannot be detected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macroscopic XRD measurements, the effects seem unlikely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occur at a large scale. </w:t>
      </w:r>
    </w:p>
    <w:p>
      <w:pPr>
        <w:autoSpaceDN w:val="0"/>
        <w:autoSpaceDE w:val="0"/>
        <w:widowControl/>
        <w:spacing w:line="240" w:lineRule="auto" w:before="170" w:after="0"/>
        <w:ind w:left="4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59100" cy="2171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10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859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140" w:after="0"/>
        <w:ind w:left="266" w:right="1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 2.: Polarization vs. applied electric field hysteresis loops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different non-polar tetragonal portions in a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orthorhombic phase for a) modelled and b) experimental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 nm Si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a capacitor structure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66" w:lineRule="exact" w:before="242" w:after="0"/>
        <w:ind w:left="0" w:right="15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CKNOWLEDGMENT </w:t>
      </w:r>
    </w:p>
    <w:p>
      <w:pPr>
        <w:autoSpaceDN w:val="0"/>
        <w:autoSpaceDE w:val="0"/>
        <w:widowControl/>
        <w:spacing w:line="220" w:lineRule="exact" w:before="80" w:after="0"/>
        <w:ind w:left="156" w:right="20" w:firstLine="29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XRD experiments were performed on beamline ID31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European Synchrotron Radiation Facility (ESRF), Grenoble,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France (proposal MA-4251). We are grateful to V. Honkimäki,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F. Russello and I. Martens at the ESRF for providing assistance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using beamline ID31. </w:t>
      </w:r>
    </w:p>
    <w:p>
      <w:pPr>
        <w:autoSpaceDN w:val="0"/>
        <w:autoSpaceDE w:val="0"/>
        <w:widowControl/>
        <w:spacing w:line="266" w:lineRule="exact" w:before="120" w:after="0"/>
        <w:ind w:left="0" w:right="19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214" w:lineRule="exact" w:before="46" w:after="0"/>
        <w:ind w:left="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T.S. Boescke, J. Müller, D. Bräuhaus, U. Schroeder, and U. Böttger, </w:t>
      </w:r>
    </w:p>
    <w:p>
      <w:pPr>
        <w:autoSpaceDN w:val="0"/>
        <w:autoSpaceDE w:val="0"/>
        <w:widowControl/>
        <w:spacing w:line="182" w:lineRule="exact" w:before="0" w:after="0"/>
        <w:ind w:left="5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„Ferroelectricity in hafnium oxide thin films“, Appl. Phys. Lett 99,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102903 (2011) </w:t>
      </w:r>
    </w:p>
    <w:p>
      <w:pPr>
        <w:autoSpaceDN w:val="0"/>
        <w:autoSpaceDE w:val="0"/>
        <w:widowControl/>
        <w:spacing w:line="178" w:lineRule="exact" w:before="54" w:after="0"/>
        <w:ind w:left="510" w:right="32" w:hanging="3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[2]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U. Schroeder, C.H. Hwang, H. Funakubo (Eds), „Ferroelectricity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Doped Hafnium Oxide“: Materials, Properties and Devices, Chapt. 3,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Elsevier Woodhead Series, 2019 </w:t>
      </w:r>
    </w:p>
    <w:p>
      <w:pPr>
        <w:autoSpaceDN w:val="0"/>
        <w:autoSpaceDE w:val="0"/>
        <w:widowControl/>
        <w:spacing w:line="178" w:lineRule="exact" w:before="56" w:after="0"/>
        <w:ind w:left="518" w:right="28" w:hanging="3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[3]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S. Lombardo, C. Nelson, K. Chae, S. Reyes-Lillo, A. Khan et al.,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“Atomic-scale imaging of polarization switching in an (anti-)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memory material: Zirconia”, VLSI 2020 submitted, Honolulu. </w:t>
      </w:r>
    </w:p>
    <w:p>
      <w:pPr>
        <w:autoSpaceDN w:val="0"/>
        <w:autoSpaceDE w:val="0"/>
        <w:widowControl/>
        <w:spacing w:line="178" w:lineRule="exact" w:before="54" w:after="0"/>
        <w:ind w:left="518" w:right="28" w:hanging="3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[4]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M. Hoffmann, U. Schroeder, T. Schenk, T. Shimizu, H. Funakubo, O.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Sakata, et al., and T. Mikolajick; ‚Stabilizing the Ferroelectric Phase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Doped Hafnium Oxide’, Journal of Applied Physics 118, 072006 (2015); </w:t>
      </w:r>
    </w:p>
    <w:p>
      <w:pPr>
        <w:autoSpaceDN w:val="0"/>
        <w:autoSpaceDE w:val="0"/>
        <w:widowControl/>
        <w:spacing w:line="180" w:lineRule="exact" w:before="52" w:after="0"/>
        <w:ind w:left="518" w:right="30" w:hanging="3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[5]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E.D. Grimley, T. Schenk, X. Sang, M. Pešic´, U. Schroeder, T.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Mikolajick, J. M. LeBeau, “Structural Changes Underlying Field-Cycling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Phenomena in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Thin Films,” Adv. Electron. Mater.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2016, 2, 1600173. </w:t>
      </w:r>
    </w:p>
    <w:p>
      <w:pPr>
        <w:sectPr>
          <w:type w:val="nextColumn"/>
          <w:pgSz w:w="12240" w:h="15840"/>
          <w:pgMar w:top="522" w:right="836" w:bottom="912" w:left="908" w:header="720" w:footer="720" w:gutter="0"/>
          <w:cols w:space="720" w:num="2" w:equalWidth="0">
            <w:col w:w="5236" w:space="0"/>
            <w:col w:w="5260" w:space="0"/>
            <w:col w:w="5236" w:space="0"/>
            <w:col w:w="5260" w:space="0"/>
            <w:col w:w="104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12240" w:h="15840"/>
          <w:pgMar w:top="528" w:right="846" w:bottom="1440" w:left="908" w:header="720" w:footer="720" w:gutter="0"/>
          <w:cols w:space="720" w:num="2" w:equalWidth="0">
            <w:col w:w="5236" w:space="0"/>
            <w:col w:w="5260" w:space="0"/>
            <w:col w:w="5236" w:space="0"/>
            <w:col w:w="5260" w:space="0"/>
            <w:col w:w="1049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38" w:after="0"/>
        <w:ind w:left="360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[6]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P.D. Lomenzo, C. Richter,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T. Mikolajick and U. Schroeder,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“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Depolarization induced antiferroelectricity and wake-up in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hafnia”, Phys. Rev B, submitted </w:t>
      </w:r>
    </w:p>
    <w:p>
      <w:pPr>
        <w:autoSpaceDN w:val="0"/>
        <w:autoSpaceDE w:val="0"/>
        <w:widowControl/>
        <w:spacing w:line="214" w:lineRule="exact" w:before="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[7]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E. Yurchuk, J. Müller, S. Knebel, J. Sundqvist, A.P. Graham, T. Melde, </w:t>
      </w:r>
    </w:p>
    <w:p>
      <w:pPr>
        <w:autoSpaceDN w:val="0"/>
        <w:autoSpaceDE w:val="0"/>
        <w:widowControl/>
        <w:spacing w:line="178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U. Schroeder, T. Mikolajick, „Impact of layer thickness on the </w:t>
      </w:r>
    </w:p>
    <w:p>
      <w:pPr>
        <w:autoSpaceDN w:val="0"/>
        <w:autoSpaceDE w:val="0"/>
        <w:widowControl/>
        <w:spacing w:line="184" w:lineRule="exact" w:before="0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ferroelectric behaviour of silicon doped hafnium oxide thin films“,Thin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Solid Films 533 (2013) 88–92 </w:t>
      </w:r>
    </w:p>
    <w:p>
      <w:pPr>
        <w:autoSpaceDN w:val="0"/>
        <w:autoSpaceDE w:val="0"/>
        <w:widowControl/>
        <w:spacing w:line="180" w:lineRule="exact" w:before="52" w:after="0"/>
        <w:ind w:left="360" w:right="16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[8]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S. Mueller, J. Mueller, A. Singh, S. Riedel, J. Sundqvist, U. Schroeder,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and T. Mikolajick, “Incipient Ferroelectricity in Al-Doped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Films”, Adv. Funct. Mater. 2012, 22, 2412–2417. </w:t>
      </w:r>
    </w:p>
    <w:p>
      <w:pPr>
        <w:sectPr>
          <w:type w:val="continuous"/>
          <w:pgSz w:w="12240" w:h="15840"/>
          <w:pgMar w:top="528" w:right="846" w:bottom="1440" w:left="908" w:header="720" w:footer="720" w:gutter="0"/>
          <w:cols w:space="720" w:num="2" w:equalWidth="0">
            <w:col w:w="5232" w:space="0"/>
            <w:col w:w="5254" w:space="0"/>
            <w:col w:w="5236" w:space="0"/>
            <w:col w:w="5260" w:space="0"/>
            <w:col w:w="5236" w:space="0"/>
            <w:col w:w="5260" w:space="0"/>
            <w:col w:w="104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36" w:after="0"/>
        <w:ind w:left="522" w:right="20" w:hanging="3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[9]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J. Mü ller, T. S. Bö scke, U. Schrö der, S. Mueller, D. Brä uhaus, U. Bö ttger,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L. Frey, and T. Mikolajick, “Ferroelectricity in Simple Binary ZrO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,” Nano Lett. 2012, 12, 4318−4323. </w:t>
      </w:r>
    </w:p>
    <w:p>
      <w:pPr>
        <w:autoSpaceDN w:val="0"/>
        <w:autoSpaceDE w:val="0"/>
        <w:widowControl/>
        <w:spacing w:line="180" w:lineRule="exact" w:before="50" w:after="0"/>
        <w:ind w:left="522" w:right="20" w:hanging="3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[10]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M. Pešic´, F.P.G. Fengler, L. Larcher, A. Padovani, T. Schenk, E.D.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Grimley, X. Sang, J. M. LeBeau, S. Slesazeck, U. Schroeder, and T.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Mikolajick, “Physical Mechanisms behind the Field-Cycling Behavior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Based Ferroelectric Capacitors,” Adv. Funct. Mater. 2016, 26,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4601–4612.</w:t>
      </w:r>
    </w:p>
    <w:sectPr w:rsidR="00FC693F" w:rsidRPr="0006063C" w:rsidSect="00034616">
      <w:type w:val="nextColumn"/>
      <w:pgSz w:w="12240" w:h="15840"/>
      <w:pgMar w:top="528" w:right="846" w:bottom="1440" w:left="908" w:header="720" w:footer="720" w:gutter="0"/>
      <w:cols w:space="720" w:num="2" w:equalWidth="0">
        <w:col w:w="5232" w:space="0"/>
        <w:col w:w="5254" w:space="0"/>
        <w:col w:w="5236" w:space="0"/>
        <w:col w:w="5260" w:space="0"/>
        <w:col w:w="5236" w:space="0"/>
        <w:col w:w="5260" w:space="0"/>
        <w:col w:w="104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