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auto" w:before="0" w:after="658"/>
        <w:ind w:left="2304" w:right="230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48"/>
        </w:rPr>
        <w:t xml:space="preserve">Ferroelectric Hafnium Oxide </w:t>
      </w:r>
      <w:r>
        <w:rPr>
          <w:rFonts w:ascii="TimesNewRoman" w:hAnsi="TimesNewRoman" w:eastAsia="TimesNewRoman"/>
          <w:b w:val="0"/>
          <w:i w:val="0"/>
          <w:color w:val="000000"/>
          <w:sz w:val="28"/>
        </w:rPr>
        <w:t xml:space="preserve">A Game Changer to FRAM?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.99999999999994" w:type="dxa"/>
      </w:tblPr>
      <w:tblGrid>
        <w:gridCol w:w="5256"/>
        <w:gridCol w:w="5256"/>
      </w:tblGrid>
      <w:tr>
        <w:trPr>
          <w:trHeight w:hRule="exact" w:val="1036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Johannes Müller, Patrick Polakowski, Stefan Riedel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152" w:right="201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Fraunhofer IPMS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Dresden, Germany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FF"/>
                <w:sz w:val="20"/>
                <w:u w:val="single"/>
              </w:rPr>
              <w:t>johannes.mueller@ieee.org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20" w:right="288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Stefan Mueller, Ekaterina Yurchuk,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 xml:space="preserve">Thomas Mikolajick </w:t>
            </w:r>
          </w:p>
          <w:p>
            <w:pPr>
              <w:autoSpaceDN w:val="0"/>
              <w:autoSpaceDE w:val="0"/>
              <w:widowControl/>
              <w:spacing w:line="245" w:lineRule="auto" w:before="50" w:after="0"/>
              <w:ind w:left="1584" w:right="1152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NaMLab gGmbH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Dresden, Germany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324"/>
        <w:ind w:left="0" w:right="0"/>
      </w:pPr>
    </w:p>
    <w:p>
      <w:pPr>
        <w:sectPr>
          <w:pgSz w:w="11904" w:h="16840"/>
          <w:pgMar w:top="548" w:right="658" w:bottom="1440" w:left="734" w:header="720" w:footer="720" w:gutter="0"/>
          <w:cols w:space="720" w:num="1" w:equalWidth="0"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8" w:firstLine="0"/>
        <w:jc w:val="both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— In this paper the potential of hafnium oxide as a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CMOS-compatible ferroelectric for future memory applications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is assessed. The high coercive field strength of ferroelectric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hafnium oxide is identified as a key parameter being crucial to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device performance. It provides the unique thickness and lateral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scaling potential of this novel ferroelectric, while at the same time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compromises its endurance properties due to large switching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fields. Considering the ambivalent nature of this parameter as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well as the emerging trade-off between retention and endurance, </w:t>
      </w: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voltage controlled operation modes and different device concepts </w:t>
      </w: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2" w:equalWidth="0"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94"/>
        <w:ind w:left="156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exceptionally high coercive field strength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preserving the memory window at reduced thickness (Figure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1b). Moreover, in the case of the capacitor based solution,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thickness scalability of ferroelectric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availability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mature thin film technologies allow for an area enhancement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third dimension (Figure 1d). In this paper we critically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review the current status of this disruptive technology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assess its future potential by exercising general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considerations and device simulations. </w:t>
      </w:r>
    </w:p>
    <w:p>
      <w:pPr>
        <w:sectPr>
          <w:type w:val="nextColumn"/>
          <w:pgSz w:w="11904" w:h="16840"/>
          <w:pgMar w:top="548" w:right="658" w:bottom="1440" w:left="734" w:header="720" w:footer="720" w:gutter="0"/>
          <w:cols w:space="720" w:num="2" w:equalWidth="0"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504"/>
        <w:gridCol w:w="3504"/>
        <w:gridCol w:w="3504"/>
      </w:tblGrid>
      <w:tr>
        <w:trPr>
          <w:trHeight w:hRule="exact" w:val="254"/>
        </w:trPr>
        <w:tc>
          <w:tcPr>
            <w:tcW w:type="dxa" w:w="48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8"/>
              </w:rPr>
              <w:t xml:space="preserve">for ferroelectric hafnium oxide are discussed.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II.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ERROELECTRICITY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AFNIUM OXIDE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32"/>
        <w:ind w:left="0" w:right="0"/>
      </w:pP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1" w:equalWidth="0"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0" w:after="0"/>
        <w:ind w:left="288" w:right="0" w:firstLine="0"/>
        <w:jc w:val="left"/>
      </w:pPr>
      <w:r>
        <w:rPr>
          <w:rFonts w:ascii="TimesNewRoman,BoldItalic" w:hAnsi="TimesNewRoman,BoldItalic" w:eastAsia="TimesNewRoman,BoldItalic"/>
          <w:b/>
          <w:i/>
          <w:color w:val="000000"/>
          <w:sz w:val="18"/>
        </w:rPr>
        <w:t xml:space="preserve">hafnium oxide; ferroelectric; FRAM; FeFET, NVM </w:t>
      </w:r>
    </w:p>
    <w:p>
      <w:pPr>
        <w:autoSpaceDN w:val="0"/>
        <w:tabs>
          <w:tab w:pos="2218" w:val="left"/>
        </w:tabs>
        <w:autoSpaceDE w:val="0"/>
        <w:widowControl/>
        <w:spacing w:line="230" w:lineRule="auto" w:before="246" w:after="0"/>
        <w:ind w:left="17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5" w:lineRule="auto" w:before="82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first research and development efforts focusing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random access memory (FRAM) were started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than 60 years ago [1]. Even though new and promising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nonvolatile device concepts have emerged since then, the right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exist for FRAM is still provided by its excellent energy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efficiency, fast rewrite speed and low voltage operation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capability. Compared to the heat induced switching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PCRAM, spin transfer in STTRAM, ion conduction in RRAM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hot electron injection in NOR-FLASH, the electron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efficiency of the polarization induced displacement current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remains unchallenged. Nevertheless, besides some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temporary upturns and the launch of a few niche products,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focus of attention has notably shifted away from FRAM.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mainly due to the challenging integration and limited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scalability of capacitor-based (1T-1C) as well as transistor-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(1T) ferroelectric memory cells [2, 3]. These issues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decisive upon the future of FRAM and can be traced back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choice of the ferroelectric itself. The commonly utilized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perovskites, e.g. PZT or SBT, do not provide the thickness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scalability and CMOS-compatibility required for cost efficient,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density 1T-1C or 1T memory solutions (Figure 1 a and c).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However, utilizing ferroelectric hafnium oxide (FE-HfO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memory devices, this scaling and integration dilemma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 be overcome [4 and references therein]. Highly scaled 1T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at the 2X nm node, as well as the possibility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DRAM-like 3D-integration of 1T-1C FRAM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demonstrated. In the case of 1T FRAM this renewed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potential compared to its perovskite contenders is provided by </w:t>
      </w:r>
    </w:p>
    <w:p>
      <w:pPr>
        <w:sectPr>
          <w:type w:val="continuous"/>
          <w:pgSz w:w="11904" w:h="16840"/>
          <w:pgMar w:top="548" w:right="658" w:bottom="1440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tabs>
          <w:tab w:pos="442" w:val="left"/>
          <w:tab w:pos="508" w:val="left"/>
          <w:tab w:pos="804" w:val="left"/>
          <w:tab w:pos="1234" w:val="left"/>
          <w:tab w:pos="1506" w:val="left"/>
          <w:tab w:pos="2152" w:val="left"/>
          <w:tab w:pos="2586" w:val="left"/>
          <w:tab w:pos="2658" w:val="left"/>
          <w:tab w:pos="2994" w:val="left"/>
          <w:tab w:pos="3866" w:val="left"/>
          <w:tab w:pos="3994" w:val="left"/>
          <w:tab w:pos="4424" w:val="left"/>
        </w:tabs>
        <w:autoSpaceDE w:val="0"/>
        <w:widowControl/>
        <w:spacing w:line="245" w:lineRule="auto" w:before="0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experimental observation of polarization hysteresis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based thin films is believed to be due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appearance of a ferroelectric phase in this system. However,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order to fulfill the criteria for genuine structural ferroelectricity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deviation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well-known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centrosymmetric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polymorphism (monoclinic-tetragonal-cubic) of 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is required. It is argued that this deviation is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stabilization of an orthorhombic and non-centrosymmetric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phase in hafnium oxide thin films. Due to the displacement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oxygen anions against the cation sub lattice a spontaneous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switchable polarization evolves. Structurally this phase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already been identified in ZrO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ceramics in 1989, but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was never tested electrically [5]. The rediscovery of this 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hafnium oxide thin films in 2011 revealed the potential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CMOS-compatible transition metal oxides as a novel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ferroelectrics.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summary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electromechanical, as well as structural evidence for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hypothesis is given in [4, 6]. </w:t>
      </w:r>
    </w:p>
    <w:p>
      <w:pPr>
        <w:autoSpaceDN w:val="0"/>
        <w:autoSpaceDE w:val="0"/>
        <w:widowControl/>
        <w:spacing w:line="245" w:lineRule="auto" w:before="118" w:after="0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shown in Figure 2, multiple dopants facilitating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stabilization of this ferroelectric phase have been identified [4].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parameters, such as e.g. grain size, can additionally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utilized to partially stabilize a ferroelectric phase in pure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well (to be published elsewhere). Depending on how well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doping level and/or process is optimized a large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phase fraction and therewith a large remanent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obtained. Values as high as 45 µC/cm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e.g. the La doped system have already been demonstrated.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switching the polarization to the opposite polarity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requires comparably large fields. The coercive field of 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oxide based system investigated so far ranges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 and 2 MV/cm. For comparison, the extrinsic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is below 100 kV/cm. </w:t>
      </w:r>
    </w:p>
    <w:p>
      <w:pPr>
        <w:sectPr>
          <w:type w:val="nextColumn"/>
          <w:pgSz w:w="11904" w:h="16840"/>
          <w:pgMar w:top="548" w:right="658" w:bottom="1440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2493010</wp:posOffset>
            </wp:positionH>
            <wp:positionV relativeFrom="page">
              <wp:posOffset>2021839</wp:posOffset>
            </wp:positionV>
            <wp:extent cx="708659" cy="55364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59" cy="5536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3248660</wp:posOffset>
            </wp:positionH>
            <wp:positionV relativeFrom="page">
              <wp:posOffset>1143000</wp:posOffset>
            </wp:positionV>
            <wp:extent cx="591819" cy="550677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19" cy="5506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3903979</wp:posOffset>
            </wp:positionH>
            <wp:positionV relativeFrom="page">
              <wp:posOffset>1554480</wp:posOffset>
            </wp:positionV>
            <wp:extent cx="220980" cy="24276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427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4688840</wp:posOffset>
            </wp:positionH>
            <wp:positionV relativeFrom="page">
              <wp:posOffset>1141730</wp:posOffset>
            </wp:positionV>
            <wp:extent cx="642620" cy="550157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55015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4107179</wp:posOffset>
            </wp:positionH>
            <wp:positionV relativeFrom="page">
              <wp:posOffset>1007110</wp:posOffset>
            </wp:positionV>
            <wp:extent cx="398780" cy="518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1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2397760</wp:posOffset>
            </wp:positionH>
            <wp:positionV relativeFrom="page">
              <wp:posOffset>951230</wp:posOffset>
            </wp:positionV>
            <wp:extent cx="808989" cy="847059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8989" cy="8470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4564380</wp:posOffset>
            </wp:positionH>
            <wp:positionV relativeFrom="page">
              <wp:posOffset>2346960</wp:posOffset>
            </wp:positionV>
            <wp:extent cx="111760" cy="384271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38427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4340860</wp:posOffset>
            </wp:positionH>
            <wp:positionV relativeFrom="page">
              <wp:posOffset>2346960</wp:posOffset>
            </wp:positionV>
            <wp:extent cx="223519" cy="380927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19" cy="38092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4104640</wp:posOffset>
            </wp:positionH>
            <wp:positionV relativeFrom="page">
              <wp:posOffset>1973580</wp:posOffset>
            </wp:positionV>
            <wp:extent cx="46989" cy="1516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151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4742180</wp:posOffset>
            </wp:positionH>
            <wp:positionV relativeFrom="page">
              <wp:posOffset>2075180</wp:posOffset>
            </wp:positionV>
            <wp:extent cx="589280" cy="72848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" cy="728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3239770</wp:posOffset>
            </wp:positionH>
            <wp:positionV relativeFrom="page">
              <wp:posOffset>2435860</wp:posOffset>
            </wp:positionV>
            <wp:extent cx="598169" cy="35707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69" cy="3570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3239770</wp:posOffset>
            </wp:positionH>
            <wp:positionV relativeFrom="page">
              <wp:posOffset>2075180</wp:posOffset>
            </wp:positionV>
            <wp:extent cx="598169" cy="36012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169" cy="36012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2197100</wp:posOffset>
            </wp:positionH>
            <wp:positionV relativeFrom="page">
              <wp:posOffset>673100</wp:posOffset>
            </wp:positionV>
            <wp:extent cx="3175000" cy="2171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71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3606800</wp:posOffset>
            </wp:positionV>
            <wp:extent cx="1955800" cy="1346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1346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6.0" w:type="dxa"/>
      </w:tblPr>
      <w:tblGrid>
        <w:gridCol w:w="1314"/>
        <w:gridCol w:w="1314"/>
        <w:gridCol w:w="1314"/>
        <w:gridCol w:w="1314"/>
        <w:gridCol w:w="1314"/>
        <w:gridCol w:w="1314"/>
        <w:gridCol w:w="1314"/>
        <w:gridCol w:w="1314"/>
      </w:tblGrid>
      <w:tr>
        <w:trPr>
          <w:trHeight w:hRule="exact" w:val="14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24" w:after="0"/>
              <w:ind w:left="18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1T FRAM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(a)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36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state of the art (perovskites)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26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(b)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6" w:firstLine="0"/>
              <w:jc w:val="righ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FE-HfO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 xml:space="preserve"> based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0" w:after="0"/>
              <w:ind w:left="36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[B]</w:t>
            </w:r>
          </w:p>
        </w:tc>
      </w:tr>
      <w:tr>
        <w:trPr>
          <w:trHeight w:hRule="exact" w:val="96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4" w:after="0"/>
              <w:ind w:left="23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260 nm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70" w:after="0"/>
              <w:ind w:left="186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28 nm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Pt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" w:after="0"/>
              <w:ind w:left="0" w:right="184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[A]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56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Poly-Si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SBT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92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200 nm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 xml:space="preserve">TiN </w:t>
            </w:r>
            <w:r>
              <w:br/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FE-HfO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97" w:lineRule="auto" w:before="102" w:after="0"/>
              <w:ind w:left="14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8 nm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" w:after="0"/>
              <w:ind w:left="29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Si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24" w:after="0"/>
              <w:ind w:left="64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1T-1C FRAM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(c)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2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2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High-k buffer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98" w:after="0"/>
              <w:ind w:left="0" w:right="0" w:firstLine="0"/>
              <w:jc w:val="center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(d)</w:t>
            </w:r>
          </w:p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390" w:after="0"/>
              <w:ind w:left="170" w:right="0" w:firstLine="0"/>
              <w:jc w:val="left"/>
            </w:pPr>
            <w:r>
              <w:rPr>
                <w:w w:val="102.44307151207556"/>
                <w:rFonts w:ascii="Symbol" w:hAnsi="Symbol" w:eastAsia="Symbol"/>
                <w:b w:val="0"/>
                <w:i w:val="0"/>
                <w:color w:val="000000"/>
                <w:sz w:val="13"/>
              </w:rPr>
              <w:t>∅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 xml:space="preserve"> 60 nm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2" w:after="0"/>
              <w:ind w:left="7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[D]</w:t>
            </w:r>
          </w:p>
        </w:tc>
      </w:tr>
      <w:tr>
        <w:trPr>
          <w:trHeight w:hRule="exact" w:val="22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" w:after="0"/>
              <w:ind w:left="0" w:right="36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350 nm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2" w:after="0"/>
              <w:ind w:left="0" w:right="198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Ref. [C]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4" w:after="0"/>
              <w:ind w:left="0" w:right="0" w:firstLine="0"/>
              <w:jc w:val="center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000000"/>
                <w:sz w:val="13"/>
              </w:rPr>
              <w:t>0.12 µm</w:t>
            </w:r>
            <w:r>
              <w:rPr>
                <w:rFonts w:ascii="Calibri,Bold" w:hAnsi="Calibri,Bold" w:eastAsia="Calibri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14" w:after="0"/>
              <w:ind w:left="302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0.12 µm</w:t>
            </w:r>
            <w:r>
              <w:rPr>
                <w:rFonts w:ascii="Calibri,Bold" w:hAnsi="Calibri,Bold" w:eastAsia="Calibri,Bold"/>
                <w:b/>
                <w:i w:val="0"/>
                <w:color w:val="FFFFFF"/>
                <w:sz w:val="9"/>
              </w:rPr>
              <w:t>2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314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" w:after="0"/>
              <w:ind w:left="0" w:right="48" w:firstLine="0"/>
              <w:jc w:val="righ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150 nm</w:t>
            </w:r>
          </w:p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80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SrRuO</w:t>
            </w:r>
            <w:r>
              <w:rPr>
                <w:rFonts w:ascii="Calibri,Bold" w:hAnsi="Calibri,Bold" w:eastAsia="Calibri,Bold"/>
                <w:b/>
                <w:i w:val="0"/>
                <w:color w:val="FFFFFF"/>
                <w:sz w:val="9"/>
              </w:rPr>
              <w:t>3</w:t>
            </w: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 xml:space="preserve"> / Ir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48" w:after="0"/>
              <w:ind w:left="32" w:right="0" w:firstLine="0"/>
              <w:jc w:val="left"/>
            </w:pPr>
            <w:r>
              <w:rPr>
                <w:w w:val="102.44307151207556"/>
                <w:rFonts w:ascii="Calibri" w:hAnsi="Calibri" w:eastAsia="Calibri"/>
                <w:b w:val="0"/>
                <w:i w:val="0"/>
                <w:color w:val="000000"/>
                <w:sz w:val="13"/>
              </w:rPr>
              <w:t>0.5 µm</w:t>
            </w:r>
          </w:p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278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PZT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338" w:right="0" w:firstLine="0"/>
              <w:jc w:val="left"/>
            </w:pPr>
            <w:r>
              <w:rPr>
                <w:w w:val="102.44307151207556"/>
                <w:rFonts w:ascii="Calibri,Bold" w:hAnsi="Calibri,Bold" w:eastAsia="Calibri,Bold"/>
                <w:b/>
                <w:i w:val="0"/>
                <w:color w:val="FFFFFF"/>
                <w:sz w:val="13"/>
              </w:rPr>
              <w:t>Ir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314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4" w:after="0"/>
              <w:ind w:left="372" w:right="0" w:firstLine="0"/>
              <w:jc w:val="left"/>
            </w:pPr>
            <w:r>
              <w:rPr>
                <w:w w:val="102.10166772206624"/>
                <w:rFonts w:ascii="Calibri,Bold" w:hAnsi="Calibri,Bold" w:eastAsia="Calibri,Bold"/>
                <w:b/>
                <w:i w:val="0"/>
                <w:color w:val="FFFFFF"/>
                <w:sz w:val="12"/>
              </w:rPr>
              <w:t>W</w:t>
            </w:r>
          </w:p>
        </w:tc>
        <w:tc>
          <w:tcPr>
            <w:tcW w:type="dxa" w:w="1314"/>
            <w:vMerge/>
            <w:tcBorders/>
          </w:tcPr>
          <w:p/>
        </w:tc>
        <w:tc>
          <w:tcPr>
            <w:tcW w:type="dxa" w:w="2628"/>
            <w:gridSpan w:val="2"/>
            <w:vMerge/>
            <w:tcBorders/>
          </w:tcPr>
          <w:p/>
        </w:tc>
        <w:tc>
          <w:tcPr>
            <w:tcW w:type="dxa" w:w="131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4" w:lineRule="auto" w:before="34" w:after="0"/>
        <w:ind w:left="0" w:right="6336" w:firstLine="0"/>
        <w:jc w:val="right"/>
      </w:pPr>
      <w:r>
        <w:rPr>
          <w:w w:val="102.44307151207556"/>
          <w:rFonts w:ascii="Calibri" w:hAnsi="Calibri" w:eastAsia="Calibri"/>
          <w:b w:val="0"/>
          <w:i w:val="0"/>
          <w:color w:val="000000"/>
          <w:sz w:val="13"/>
        </w:rPr>
        <w:t>TiAlN</w:t>
      </w:r>
    </w:p>
    <w:p>
      <w:pPr>
        <w:autoSpaceDN w:val="0"/>
        <w:autoSpaceDE w:val="0"/>
        <w:widowControl/>
        <w:spacing w:line="194" w:lineRule="auto" w:before="60" w:after="0"/>
        <w:ind w:left="0" w:right="3978" w:firstLine="0"/>
        <w:jc w:val="right"/>
      </w:pPr>
      <w:r>
        <w:rPr>
          <w:w w:val="102.44307151207556"/>
          <w:rFonts w:ascii="Calibri" w:hAnsi="Calibri" w:eastAsia="Calibri"/>
          <w:b w:val="0"/>
          <w:i w:val="0"/>
          <w:color w:val="000000"/>
          <w:sz w:val="13"/>
        </w:rPr>
        <w:t>20 nm</w:t>
      </w:r>
    </w:p>
    <w:p>
      <w:pPr>
        <w:autoSpaceDN w:val="0"/>
        <w:autoSpaceDE w:val="0"/>
        <w:widowControl/>
        <w:spacing w:line="245" w:lineRule="auto" w:before="174" w:after="0"/>
        <w:ind w:left="144" w:right="15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1. Drawn to scale schematics of state of the art perovskite based 1T (a, Ref. A [3]) and 1T-1C (c, Ref. C [2]) ferroelectric memories compared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corresponding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devices (b) and (d). For comparison the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1T cell is normalized to a theoretical memory window of about 1.5 V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given in [3], whereas the FE-HfO2 based 1T-1C cell is normalized to the capacitor area of 0.12 µm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given in [2] (at scaled thickness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PZT ≈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40" w:lineRule="auto" w:before="6" w:after="282"/>
        <w:ind w:left="14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The feasibility of these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approaches (meeting specifications even beyond these requirements) has been demonstrated in Ref B [7] and D [8].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5.99999999999994" w:type="dxa"/>
      </w:tblPr>
      <w:tblGrid>
        <w:gridCol w:w="2102"/>
        <w:gridCol w:w="2102"/>
        <w:gridCol w:w="2102"/>
        <w:gridCol w:w="2102"/>
        <w:gridCol w:w="2102"/>
      </w:tblGrid>
      <w:tr>
        <w:trPr>
          <w:trHeight w:hRule="exact" w:val="26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0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60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HfZrO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4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0" w:right="208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pure 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18" w:after="0"/>
              <w:ind w:left="24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Gd:HfO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Capacitor Based Ferroelectric Memory (1T-1C FRAM)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pgSz w:w="11904" w:h="16840"/>
          <w:pgMar w:top="570" w:right="658" w:bottom="1302" w:left="734" w:header="720" w:footer="720" w:gutter="0"/>
          <w:cols w:space="720" w:num="1" w:equalWidth="0"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102" w:right="0" w:firstLine="0"/>
        <w:jc w:val="left"/>
      </w:pPr>
      <w:r>
        <w:rPr>
          <w:w w:val="97.88949489593506"/>
          <w:rFonts w:ascii="TimesNewRoman" w:hAnsi="TimesNewRoman" w:eastAsia="TimesNewRoman"/>
          <w:b w:val="0"/>
          <w:i w:val="0"/>
          <w:color w:val="000000"/>
          <w:sz w:val="16"/>
        </w:rPr>
        <w:t>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5.99999999999994" w:type="dxa"/>
      </w:tblPr>
      <w:tblGrid>
        <w:gridCol w:w="2102"/>
        <w:gridCol w:w="2102"/>
        <w:gridCol w:w="2102"/>
        <w:gridCol w:w="2102"/>
        <w:gridCol w:w="2102"/>
      </w:tblGrid>
      <w:tr>
        <w:trPr>
          <w:trHeight w:hRule="exact" w:val="300"/>
        </w:trPr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78" w:after="0"/>
              <w:ind w:left="0" w:right="0" w:firstLine="0"/>
              <w:jc w:val="center"/>
            </w:pP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polarization (</w:t>
            </w:r>
            <w:r>
              <w:rPr>
                <w:w w:val="101.93081537882487"/>
                <w:rFonts w:ascii="Symbol" w:hAnsi="Symbol" w:eastAsia="Symbol"/>
                <w:b w:val="0"/>
                <w:i w:val="0"/>
                <w:color w:val="000000"/>
                <w:sz w:val="15"/>
              </w:rPr>
              <w:t>μ</w:t>
            </w: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C/cm</w:t>
            </w:r>
            <w:r>
              <w:rPr>
                <w:w w:val="103.58948177761502"/>
                <w:rFonts w:ascii="TimesNewRoman" w:hAnsi="TimesNewRoman" w:eastAsia="TimesNewRoman"/>
                <w:b w:val="0"/>
                <w:i w:val="0"/>
                <w:color w:val="000000"/>
                <w:sz w:val="9"/>
              </w:rPr>
              <w:t>2</w:t>
            </w:r>
            <w:r>
              <w:rPr>
                <w:w w:val="101.93081537882487"/>
                <w:rFonts w:ascii="TimesNewRoman" w:hAnsi="TimesNewRoman" w:eastAsia="TimesNewRoman"/>
                <w:b w:val="0"/>
                <w:i w:val="0"/>
                <w:color w:val="000000"/>
                <w:sz w:val="15"/>
              </w:rPr>
              <w:t>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2" w:after="0"/>
              <w:ind w:left="60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Si:HfO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4" w:after="0"/>
              <w:ind w:left="0" w:right="30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engineered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42" w:after="0"/>
              <w:ind w:left="6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Al:HfO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</w:tr>
      <w:tr>
        <w:trPr>
          <w:trHeight w:hRule="exact" w:val="228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8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512" w:after="0"/>
              <w:ind w:left="56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Y:HfO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24" w:after="0"/>
              <w:ind w:left="0" w:right="168" w:firstLine="0"/>
              <w:jc w:val="right"/>
            </w:pPr>
            <w:r>
              <w:rPr>
                <w:w w:val="98.71303333955652"/>
                <w:rFonts w:ascii="TimesNewRoman,Bold" w:hAnsi="TimesNewRoman,Bold" w:eastAsia="TimesNewRoman,Bold"/>
                <w:b/>
                <w:i w:val="0"/>
                <w:color w:val="000000"/>
                <w:sz w:val="17"/>
              </w:rPr>
              <w:t>FE-HfO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512" w:after="0"/>
              <w:ind w:left="62" w:right="0" w:firstLine="0"/>
              <w:jc w:val="lef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La:HfO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</w:tr>
      <w:tr>
        <w:trPr>
          <w:trHeight w:hRule="exact" w:val="15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0" w:after="0"/>
              <w:ind w:left="0" w:right="500" w:firstLine="0"/>
              <w:jc w:val="right"/>
            </w:pPr>
            <w:r>
              <w:rPr>
                <w:w w:val="102.55115032196045"/>
                <w:rFonts w:ascii="TimesNewRoman,Bold" w:hAnsi="TimesNewRoman,Bold" w:eastAsia="TimesNewRoman,Bold"/>
                <w:b/>
                <w:i w:val="0"/>
                <w:color w:val="000000"/>
                <w:sz w:val="12"/>
              </w:rPr>
              <w:t>Sr:HfO</w:t>
            </w:r>
            <w:r>
              <w:rPr>
                <w:w w:val="106.54659271240234"/>
                <w:rFonts w:ascii="TimesNewRoman,Bold" w:hAnsi="TimesNewRoman,Bold" w:eastAsia="TimesNewRoman,Bold"/>
                <w:b/>
                <w:i w:val="0"/>
                <w:color w:val="000000"/>
                <w:sz w:val="7"/>
              </w:rPr>
              <w:t>2</w:t>
            </w:r>
          </w:p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102"/>
            <w:vMerge/>
            <w:tcBorders/>
          </w:tcPr>
          <w:p/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46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0</w:t>
            </w:r>
          </w:p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  <w:tc>
          <w:tcPr>
            <w:tcW w:type="dxa" w:w="210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0" w:after="4"/>
        <w:ind w:left="972" w:right="0" w:firstLine="0"/>
        <w:jc w:val="left"/>
      </w:pPr>
      <w:r>
        <w:rPr>
          <w:w w:val="97.88949489593506"/>
          <w:rFonts w:ascii="TimesNewRoman" w:hAnsi="TimesNewRoman" w:eastAsia="TimesNewRoman"/>
          <w:b w:val="0"/>
          <w:i w:val="0"/>
          <w:color w:val="000000"/>
          <w:sz w:val="16"/>
        </w:rPr>
        <w:t>-50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>
        <w:trPr>
          <w:trHeight w:hRule="exact" w:val="29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54" w:firstLine="0"/>
              <w:jc w:val="righ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-4 -2 0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86" w:right="0" w:firstLine="0"/>
              <w:jc w:val="left"/>
            </w:pPr>
            <w:r>
              <w:rPr>
                <w:w w:val="97.88949489593506"/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33" w:lineRule="auto" w:before="0" w:after="0"/>
        <w:ind w:left="0" w:right="1830" w:firstLine="0"/>
        <w:jc w:val="right"/>
      </w:pPr>
      <w:r>
        <w:rPr>
          <w:w w:val="101.93081537882487"/>
          <w:rFonts w:ascii="TimesNewRoman" w:hAnsi="TimesNewRoman" w:eastAsia="TimesNewRoman"/>
          <w:b w:val="0"/>
          <w:i w:val="0"/>
          <w:color w:val="000000"/>
          <w:sz w:val="15"/>
        </w:rPr>
        <w:t>electric field (MV/cm)</w:t>
      </w:r>
    </w:p>
    <w:p>
      <w:pPr>
        <w:autoSpaceDN w:val="0"/>
        <w:tabs>
          <w:tab w:pos="2050" w:val="left"/>
          <w:tab w:pos="2390" w:val="left"/>
          <w:tab w:pos="2936" w:val="left"/>
          <w:tab w:pos="3510" w:val="left"/>
        </w:tabs>
        <w:autoSpaceDE w:val="0"/>
        <w:widowControl/>
        <w:spacing w:line="245" w:lineRule="auto" w:before="104" w:after="0"/>
        <w:ind w:left="17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2.  P-E-hystereses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based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metal-insulator-metal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capacitors reveal FE-properties for various dopants X (&lt;10 mol%)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, for the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-ZrO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solid solution as well as for undoped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processed under suitable conditions. The P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the ferroelectric films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ranges from 10 - 45 µC/cm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</w:t>
      </w:r>
    </w:p>
    <w:p>
      <w:pPr>
        <w:autoSpaceDN w:val="0"/>
        <w:tabs>
          <w:tab w:pos="1098" w:val="left"/>
        </w:tabs>
        <w:autoSpaceDE w:val="0"/>
        <w:widowControl/>
        <w:spacing w:line="233" w:lineRule="auto" w:before="174" w:after="0"/>
        <w:ind w:left="6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III.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ENEWED SCALING POTENTIAL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</w:t>
      </w:r>
    </w:p>
    <w:p>
      <w:pPr>
        <w:autoSpaceDN w:val="0"/>
        <w:autoSpaceDE w:val="0"/>
        <w:widowControl/>
        <w:spacing w:line="245" w:lineRule="auto" w:before="7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Capacitor-based FRAM has successfully claimed a niche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market, where extremely low write and read power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combination with a fast and random access based NVM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 is required. However, due to the limited scalability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challenging integration of perovskite based 1T-1C FRAM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niches must tolerate its rather large cost per bit. </w:t>
      </w:r>
    </w:p>
    <w:p>
      <w:pPr>
        <w:autoSpaceDN w:val="0"/>
        <w:tabs>
          <w:tab w:pos="288" w:val="left"/>
          <w:tab w:pos="712" w:val="left"/>
          <w:tab w:pos="1646" w:val="left"/>
          <w:tab w:pos="2270" w:val="left"/>
          <w:tab w:pos="2752" w:val="left"/>
        </w:tabs>
        <w:autoSpaceDE w:val="0"/>
        <w:widowControl/>
        <w:spacing w:line="245" w:lineRule="auto" w:before="116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FeFET concept based on perovskites faces similar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issues in terms of manufacturability and scalability.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despite numerous attempts and some clear advantages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compared to capacitor-based FRAM (e.g. nondestructive read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smaller cell size) a FeFET memory has until now not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commercialized. This is mainly due to the persistent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evolving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metal-ferroelectric-insulator-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semiconductor (MFIS) structure of this 1T FRAM as compared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metal-ferroelectric-metal (MFM) capacitor of the 1T-1C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solution [9]. </w:t>
      </w:r>
    </w:p>
    <w:p>
      <w:pPr>
        <w:autoSpaceDN w:val="0"/>
        <w:autoSpaceDE w:val="0"/>
        <w:widowControl/>
        <w:spacing w:line="245" w:lineRule="auto" w:before="116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this section the superior scaling perspective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compared to perovskite systems will be elucidated for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concepts. Ultimate scaling limits based on voltage,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material and simple geometrical considerations will be given. </w:t>
      </w:r>
    </w:p>
    <w:p>
      <w:pPr>
        <w:sectPr>
          <w:type w:val="continuous"/>
          <w:pgSz w:w="11904" w:h="16840"/>
          <w:pgMar w:top="570" w:right="658" w:bottom="1302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the lateral footprint of the MFM capacitor, while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same time maintaining a sufficiently large sensing margin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between the switching and non-switching state, remains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major challenge for high density 1T-1C FRAM. Following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pathway of the closely related DRAM by extending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capacitor into the third dimension either in a classical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horizontal [10] or a vertical [11] manner has been proven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extremely difficult. This is mainly due to an insufficient 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film technology and the large physical thickness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complicated crystal structure of perovskites severely restricting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diameter of a trench or stack capacitor. Film thickness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does not easily scale due to degrading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and a strong increase in leakage current. </w:t>
      </w:r>
    </w:p>
    <w:p>
      <w:pPr>
        <w:autoSpaceDN w:val="0"/>
        <w:autoSpaceDE w:val="0"/>
        <w:widowControl/>
        <w:spacing w:line="245" w:lineRule="auto" w:before="116" w:after="56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these scaling issues of the MFM capacitor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context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four distinct advantages of this novel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can be identified: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338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8" w:lineRule="exact" w:before="75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312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53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ALD technologies for hafnium and zirconium oxide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based systems and related metal nitride electrodes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 aspect ratio structures have proven maturity on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manufacturing level.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Stable ferroelectric properties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have been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proven for physical thicknesses down to 5 nm [6]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high band gap of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and its high conduction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band offset to nitride-based electrodes allows for low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leakage current operation at strongly reduced thickness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atypical combination of a rather large remanent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polarization and a low dielectric constant in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2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further improves the non-switching to switching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sensing margin.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proof of concept for a 3D integrated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has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recently been demonstrated in [8]. It was shown that the planar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largely preserved when integrated into deep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trench capacitors with an aspect ratio of 13:1 (see also 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1d). This minimal polarization penalty for 3D integration </w:t>
      </w:r>
    </w:p>
    <w:p>
      <w:pPr>
        <w:sectPr>
          <w:type w:val="nextColumn"/>
          <w:pgSz w:w="11904" w:h="16840"/>
          <w:pgMar w:top="570" w:right="658" w:bottom="1302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suggests that by conformal ALD coating the ferroelectric phase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can be maintained even at the sidewall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deep trench structures. With this feasibility demonstration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of the FRAM capacitor alongside advanced standalone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embedded DRAM storage nodes seems possible.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Depending on the plate line technology used, a cell size that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very close to that of state of the art DRAM appears realizable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1T-1C FRAM for the first time.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when considering the stringent voltage scaling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 of the extremely low power FRAM technology,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rather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needs to be compensated by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very thin physical thickness of the ferroelectric layer.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film thickness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5 nm shall be regarded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lower limit in the following considerations. Even though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properties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appear to be stable below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limit, leakage currents and contributions of film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 roughness become significantly enhanced when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scaling beyond. Assuming a switching field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SW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at least 3 x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for saturated and retention stable polarization reversal,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operating voltage of about 1.5 V appears to be the lower limit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1T-1C FRAM (Figure 3). Due to the very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low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perovskites, switching voltage of classical 1T-1C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FRAM technology is likely to scale even below 1 V.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considering the frequently observed increase in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decreasing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difficulty to scale polycrystalline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 below 30 nm this has yet to be demonstrated.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Figure 3 illustrates once more, scaling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a requirement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only for voltage reduction but also for obtaining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reasonable lateral dimension of a 3D capacitor structure.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then the steric boundary conditions are given to vertically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integrate the MFM layer stack into small feature sizes. </w:t>
      </w:r>
    </w:p>
    <w:p>
      <w:pPr>
        <w:autoSpaceDN w:val="0"/>
        <w:autoSpaceDE w:val="0"/>
        <w:widowControl/>
        <w:spacing w:line="240" w:lineRule="auto" w:before="110" w:after="0"/>
        <w:ind w:left="2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0360" cy="100583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0058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0" w:after="0"/>
        <w:ind w:left="144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3.  Simplified comparison of minimum switching voltage and 3D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feature size achievable with polycrystalline PZT or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.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following assumptions are made: saturated switching voltage equals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3*E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*d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; critical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PZT is reached at about 35 nm at which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equals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125 kV/cm ([12]); critical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is reached at about 5 nm at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which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equals 1 MV/cm [6]; minimum diameter of cylindrical stack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capacitors or minimum spacing betwenn pillar shaped capacitors &gt;2*d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FE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(for simplicity electrode system, plug and storage node contribution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overall layer stack thickness are neglected). </w:t>
      </w:r>
    </w:p>
    <w:p>
      <w:pPr>
        <w:autoSpaceDN w:val="0"/>
        <w:autoSpaceDE w:val="0"/>
        <w:widowControl/>
        <w:spacing w:line="245" w:lineRule="auto" w:before="140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 is interesting to note that when considering dead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effects or non-ideal interfaces the high depolarization resilience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a large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might even be required to scale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polycrystalline ferroelectrics to the single digit nanometer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[6]. The authors believe that in order to meet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demanding thickness requirements for 3D integration, a high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band gap,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ferroelectric with a simple electrode system,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as TiN/FE-HfO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appears to be the only viable solution. </w:t>
      </w:r>
    </w:p>
    <w:p>
      <w:pPr>
        <w:autoSpaceDN w:val="0"/>
        <w:autoSpaceDE w:val="0"/>
        <w:widowControl/>
        <w:spacing w:line="233" w:lineRule="auto" w:before="190" w:after="0"/>
        <w:ind w:left="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Ferroelectric Field Effect Transistor </w:t>
      </w:r>
    </w:p>
    <w:p>
      <w:pPr>
        <w:autoSpaceDN w:val="0"/>
        <w:autoSpaceDE w:val="0"/>
        <w:widowControl/>
        <w:spacing w:line="245" w:lineRule="auto" w:before="62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keep up with the CMOS and memory scaling trend,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gate length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reduction of the ferroelectric field effect </w:t>
      </w:r>
    </w:p>
    <w:p>
      <w:pPr>
        <w:sectPr>
          <w:type w:val="continuous"/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4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is required. However, due to the relationships among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,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memory window and depolarization field, the FeFET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faced with a complex scaling dilemma. At reduced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fringing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fields, short channel effect as well as manufacturability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becoming severe issues for perovskite based gate stacks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thick as 200 nm. However, a simple reduction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leads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issues that can only be solved by the introduction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suitable ferroelectric: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804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6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2" w:right="2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memory window is directly proportional to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FE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Ec. Loss of memory window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FE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can only be compensated with increasing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45" w:lineRule="auto" w:before="50" w:after="54"/>
        <w:ind w:left="802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exceptionally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allows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a reduction of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the single digit nanometer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(e.g. Figure 1b).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5256"/>
        <w:gridCol w:w="5256"/>
      </w:tblGrid>
      <w:tr>
        <w:trPr>
          <w:trHeight w:hRule="exact" w:val="79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Depolarization field increases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FE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 loss can only be compensated by increasing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either EC, interface capacitance or substrate doping.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46"/>
        <w:ind w:left="802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CMOS compatibility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allows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thin, high capacitance interfacial layer,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together with the high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reduces retention loss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scaled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752"/>
        <w:gridCol w:w="1752"/>
        <w:gridCol w:w="1752"/>
        <w:gridCol w:w="1752"/>
        <w:gridCol w:w="1752"/>
        <w:gridCol w:w="1752"/>
      </w:tblGrid>
      <w:tr>
        <w:trPr>
          <w:trHeight w:hRule="exact" w:val="28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6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properties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polycrystalline </w:t>
            </w:r>
          </w:p>
        </w:tc>
      </w:tr>
      <w:tr>
        <w:trPr>
          <w:trHeight w:hRule="exact" w:val="722"/>
        </w:trPr>
        <w:tc>
          <w:tcPr>
            <w:tcW w:type="dxa" w:w="1752"/>
            <w:vMerge/>
            <w:tcBorders/>
          </w:tcPr>
          <w:p/>
        </w:tc>
        <w:tc>
          <w:tcPr>
            <w:tcW w:type="dxa" w:w="4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2" w:right="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perovskites were found to degrade with decreasing 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FE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ferroelectric, stable with respect to thickness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reduction needs to be implemented.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Solution: The ferroelectric properties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proven stable down to film thicknesses of 5 nm. </w:t>
      </w:r>
    </w:p>
    <w:p>
      <w:pPr>
        <w:autoSpaceDN w:val="0"/>
        <w:autoSpaceDE w:val="0"/>
        <w:widowControl/>
        <w:spacing w:line="245" w:lineRule="auto" w:before="11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Utilizing these clear advantages,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been successfully implemented at the 28 nm node ([7],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1b). This demonstration of highly scaled FeFETs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closed the two orders of magnitude scaling gap between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CMOS that has prevailed ever since the introduction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concept. This memory technology is now capable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alongside CMOS, and can be considered a promising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candidate for embedded memory applications in future HKMG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technologies. </w:t>
      </w:r>
    </w:p>
    <w:p>
      <w:pPr>
        <w:autoSpaceDN w:val="0"/>
        <w:autoSpaceDE w:val="0"/>
        <w:widowControl/>
        <w:spacing w:line="245" w:lineRule="auto" w:before="118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However, for scaling beyond the 28 nm technology node,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aspects, such as memory window requirements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technology have to be considered. Especially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case of an embedded memory it is most desirable to adopt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transistor technology of the corresponding CMOS platform.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scaling considerations depicted in Figure 4 (not drawn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scale) assume a memory window of 1 V, which leads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film thickness of at least 5 nm. Short channel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effects and the actual availability of the platforms are excluded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these considerations. </w:t>
      </w:r>
    </w:p>
    <w:p>
      <w:pPr>
        <w:autoSpaceDN w:val="0"/>
        <w:autoSpaceDE w:val="0"/>
        <w:widowControl/>
        <w:spacing w:line="245" w:lineRule="auto" w:before="120" w:after="0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Given the feasibility of a gate length to stack height ratio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28 nm /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10 nm demonstrated in [7], a reduction to L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nm /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5 nm in high-k first / metal last technology (half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gate) seems possible (Figure 4a).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the spacer sidewall coverage in high-k last / metal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last technology (full replacement gate), a similar reduction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gate length is not possible (see critical dimension illustrated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Figure 4b). Without the suppression or recess of this sidewall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coverage the gate fill is no longer possible, and the full </w:t>
      </w:r>
    </w:p>
    <w:p>
      <w:pPr>
        <w:sectPr>
          <w:type w:val="nextColumn"/>
          <w:pgSz w:w="11904" w:h="16840"/>
          <w:pgMar w:top="538" w:right="658" w:bottom="1304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3987800</wp:posOffset>
            </wp:positionV>
            <wp:extent cx="1676400" cy="9271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7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3086100</wp:posOffset>
            </wp:positionV>
            <wp:extent cx="1676400" cy="7874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87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1231900</wp:posOffset>
            </wp:positionH>
            <wp:positionV relativeFrom="page">
              <wp:posOffset>2184400</wp:posOffset>
            </wp:positionV>
            <wp:extent cx="1676400" cy="7620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6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 FeFET does not fully scale beyond the 2X nm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node. A similar limitation with a different critical dimension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appears when assessing FinFET technology as a host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-based FeFETs (the 3D capability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for FinFET integration has already been summarized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the previous section). Due to the introduction of 5 nm 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the HKMG layer stack, the space between the fins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narrowed down by 10 nm. Assuming a triangular fin shape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limits fin pitch to about 4X nm and therewith complicates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beyond 1X nm FinFET technology. </w:t>
      </w: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statistical variation of gate areas as small as e.g. (1X)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nm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cannot be drawn. </w:t>
      </w:r>
    </w:p>
    <w:p>
      <w:pPr>
        <w:autoSpaceDN w:val="0"/>
        <w:autoSpaceDE w:val="0"/>
        <w:widowControl/>
        <w:spacing w:line="240" w:lineRule="auto" w:before="118" w:after="0"/>
        <w:ind w:left="45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50209" cy="914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0209" cy="91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2413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24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3682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36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4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69259" cy="3683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69259" cy="36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4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5609" cy="177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5609" cy="17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48000" cy="63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9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45790" cy="17652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6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9920" cy="48132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78" w:after="8"/>
        <w:ind w:left="2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5.  Exemplified schematic of an FeFET based embedded memory </w:t>
      </w:r>
    </w:p>
    <w:p>
      <w:pPr>
        <w:sectPr>
          <w:type w:val="nextColumn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26.0" w:type="dxa"/>
      </w:tblPr>
      <w:tblGrid>
        <w:gridCol w:w="2634"/>
        <w:gridCol w:w="2634"/>
        <w:gridCol w:w="2634"/>
        <w:gridCol w:w="2634"/>
      </w:tblGrid>
      <w:tr>
        <w:trPr>
          <w:trHeight w:hRule="exact" w:val="1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34" w:after="0"/>
              <w:ind w:left="0" w:right="158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(a)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27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2" w:after="0"/>
              <w:ind w:left="18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8300" cy="127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solution for advanced HKMG. In this flavor the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based FeFET is </w:t>
            </w:r>
          </w:p>
        </w:tc>
      </w:tr>
      <w:tr>
        <w:trPr>
          <w:trHeight w:hRule="exact" w:val="196"/>
        </w:trPr>
        <w:tc>
          <w:tcPr>
            <w:tcW w:type="dxa" w:w="2634"/>
            <w:vMerge/>
            <w:tcBorders/>
          </w:tcPr>
          <w:p/>
        </w:tc>
        <w:tc>
          <w:tcPr>
            <w:tcW w:type="dxa" w:w="2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70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scales with replacement gate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implemented as high-k first / metal last providing scalability, whereas the </w:t>
            </w:r>
          </w:p>
        </w:tc>
      </w:tr>
    </w:tbl>
    <w:p>
      <w:pPr>
        <w:autoSpaceDN w:val="0"/>
        <w:autoSpaceDE w:val="0"/>
        <w:widowControl/>
        <w:spacing w:line="230" w:lineRule="auto" w:before="2" w:after="100"/>
        <w:ind w:left="0" w:right="37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logic and periphery is realized as a contemporary full replacement gate.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1756"/>
        <w:gridCol w:w="1756"/>
        <w:gridCol w:w="1756"/>
        <w:gridCol w:w="1756"/>
        <w:gridCol w:w="1756"/>
        <w:gridCol w:w="1756"/>
      </w:tblGrid>
      <w:tr>
        <w:trPr>
          <w:trHeight w:hRule="exact" w:val="368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36" w:after="0"/>
              <w:ind w:left="0" w:right="32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(b)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36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34" w:after="0"/>
              <w:ind w:left="21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8" w:after="0"/>
              <w:ind w:left="28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1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IV.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ERFORMANCE</w:t>
            </w:r>
          </w:p>
        </w:tc>
      </w:tr>
      <w:tr>
        <w:trPr>
          <w:trHeight w:hRule="exact" w:val="42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 a direct consequence of the disruptive scaling potential </w:t>
            </w:r>
          </w:p>
        </w:tc>
      </w:tr>
      <w:tr>
        <w:trPr>
          <w:trHeight w:hRule="exact" w:val="178"/>
        </w:trPr>
        <w:tc>
          <w:tcPr>
            <w:tcW w:type="dxa" w:w="175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" w:after="0"/>
              <w:ind w:left="0" w:right="0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FF"/>
                <w:sz w:val="13"/>
              </w:rPr>
              <w:t>p-Well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1176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FFFF00"/>
                <w:sz w:val="9"/>
              </w:rPr>
              <w:t>2</w:t>
            </w:r>
          </w:p>
        </w:tc>
        <w:tc>
          <w:tcPr>
            <w:tcW w:type="dxa" w:w="3512"/>
            <w:gridSpan w:val="2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22" w:after="0"/>
              <w:ind w:left="312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scaling limitation at 2X nm L</w:t>
            </w:r>
            <w:r>
              <w:rPr>
                <w:w w:val="98.57206344604492"/>
                <w:rFonts w:ascii="Calibri,Bold" w:hAnsi="Calibri,Bold" w:eastAsia="Calibri,Bold"/>
                <w:b/>
                <w:i w:val="0"/>
                <w:color w:val="000000"/>
                <w:sz w:val="9"/>
              </w:rPr>
              <w:t>G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demonstrated in section III, FE-HfO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facing challenging </w:t>
            </w:r>
          </w:p>
        </w:tc>
      </w:tr>
      <w:tr>
        <w:trPr>
          <w:trHeight w:hRule="exact" w:val="212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reliability issues that, to some extent, are intrinsic in nature. In </w:t>
            </w:r>
          </w:p>
        </w:tc>
      </w:tr>
      <w:tr>
        <w:trPr>
          <w:trHeight w:hRule="exact" w:val="210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section these reliability concerns are critically examined </w:t>
            </w:r>
          </w:p>
        </w:tc>
      </w:tr>
      <w:tr>
        <w:trPr>
          <w:trHeight w:hRule="exact" w:val="228"/>
        </w:trPr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6" w:after="0"/>
              <w:ind w:left="0" w:right="50" w:firstLine="0"/>
              <w:jc w:val="right"/>
            </w:pPr>
            <w:r>
              <w:rPr>
                <w:w w:val="101.85599693885217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(c)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36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54" w:after="0"/>
              <w:ind w:left="21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68" w:after="0"/>
              <w:ind w:left="284" w:right="0" w:firstLine="0"/>
              <w:jc w:val="lef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n+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are being set into perspective with its perovskite </w:t>
            </w:r>
          </w:p>
        </w:tc>
      </w:tr>
      <w:tr>
        <w:trPr>
          <w:trHeight w:hRule="exact" w:val="218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contenders. Optimizing the design of the memory device as </w:t>
            </w:r>
          </w:p>
        </w:tc>
      </w:tr>
      <w:tr>
        <w:trPr>
          <w:trHeight w:hRule="exact" w:val="202"/>
        </w:trPr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1756"/>
            <w:vMerge/>
            <w:tcBorders/>
          </w:tcPr>
          <w:p/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well as enhancing memory performance on a system level is </w:t>
            </w:r>
          </w:p>
        </w:tc>
      </w:tr>
      <w:tr>
        <w:trPr>
          <w:trHeight w:hRule="exact" w:val="253"/>
        </w:trPr>
        <w:tc>
          <w:tcPr>
            <w:tcW w:type="dxa" w:w="1756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0" w:right="8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FF"/>
                <w:sz w:val="13"/>
              </w:rPr>
              <w:t>p-Well</w:t>
            </w:r>
          </w:p>
        </w:tc>
        <w:tc>
          <w:tcPr>
            <w:tcW w:type="dxa" w:w="2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176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FFFF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FFFF00"/>
                <w:sz w:val="9"/>
              </w:rPr>
              <w:t>2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further discussed to broaden the scope of application for FE-</w:t>
            </w:r>
          </w:p>
        </w:tc>
      </w:tr>
      <w:tr>
        <w:trPr>
          <w:trHeight w:hRule="exact" w:val="219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" w:after="0"/>
              <w:ind w:left="126" w:right="0" w:firstLine="0"/>
              <w:jc w:val="left"/>
            </w:pPr>
            <w:r>
              <w:rPr>
                <w:w w:val="101.85599693885217"/>
                <w:rFonts w:ascii="Calibri,Bold" w:hAnsi="Calibri,Bold" w:eastAsia="Calibri,Bold"/>
                <w:b/>
                <w:i w:val="0"/>
                <w:color w:val="000000"/>
                <w:sz w:val="13"/>
              </w:rPr>
              <w:t>scaling limitation at 4X nm fin pitch</w:t>
            </w:r>
          </w:p>
        </w:tc>
        <w:tc>
          <w:tcPr>
            <w:tcW w:type="dxa" w:w="5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8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HfO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at its current stage of development. </w:t>
            </w:r>
          </w:p>
        </w:tc>
      </w:tr>
      <w:tr>
        <w:trPr>
          <w:trHeight w:hRule="exact" w:val="146"/>
        </w:trPr>
        <w:tc>
          <w:tcPr>
            <w:tcW w:type="dxa" w:w="1756"/>
            <w:vMerge/>
            <w:tcBorders/>
          </w:tcPr>
          <w:p/>
        </w:tc>
        <w:tc>
          <w:tcPr>
            <w:tcW w:type="dxa" w:w="5268"/>
            <w:gridSpan w:val="3"/>
            <w:vMerge/>
            <w:tcBorders/>
          </w:tcPr>
          <w:p/>
        </w:tc>
        <w:tc>
          <w:tcPr>
            <w:tcW w:type="dxa" w:w="5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8" w:after="0"/>
              <w:ind w:left="81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A.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Capacitor Based Ferroelectric Memory (1T-1C FRAM) </w:t>
            </w:r>
          </w:p>
        </w:tc>
      </w:tr>
      <w:tr>
        <w:trPr>
          <w:trHeight w:hRule="exact" w:val="266"/>
        </w:trPr>
        <w:tc>
          <w:tcPr>
            <w:tcW w:type="dxa" w:w="1756"/>
            <w:vMerge/>
            <w:tcBorders/>
          </w:tcPr>
          <w:p/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16" w:after="0"/>
              <w:ind w:left="0" w:right="794" w:firstLine="0"/>
              <w:jc w:val="right"/>
            </w:pPr>
            <w:r>
              <w:rPr>
                <w:w w:val="101.85599693885217"/>
                <w:rFonts w:ascii="TimesNewRoman,Bold" w:hAnsi="TimesNewRoman,Bold" w:eastAsia="TimesNewRoman,Bold"/>
                <w:b/>
                <w:i w:val="0"/>
                <w:color w:val="000000"/>
                <w:sz w:val="13"/>
              </w:rPr>
              <w:t>FE-HfO</w:t>
            </w:r>
            <w:r>
              <w:rPr>
                <w:w w:val="98.57206344604492"/>
                <w:rFonts w:ascii="TimesNewRoman,Bold" w:hAnsi="TimesNewRoman,Bold" w:eastAsia="TimesNewRoman,Bold"/>
                <w:b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351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670"/>
        <w:ind w:left="0" w:right="0"/>
      </w:pP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1" w:equalWidth="0"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tabs>
          <w:tab w:pos="1954" w:val="left"/>
        </w:tabs>
        <w:autoSpaceDE w:val="0"/>
        <w:widowControl/>
        <w:spacing w:line="305" w:lineRule="auto" w:before="0" w:after="0"/>
        <w:ind w:left="1398" w:right="0" w:firstLine="0"/>
        <w:jc w:val="left"/>
      </w:pPr>
      <w:r>
        <w:rPr>
          <w:w w:val="101.85599693885217"/>
          <w:rFonts w:ascii="TimesNewRoman,Bold" w:hAnsi="TimesNewRoman,Bold" w:eastAsia="TimesNewRoman,Bold"/>
          <w:b/>
          <w:i w:val="0"/>
          <w:color w:val="000000"/>
          <w:sz w:val="13"/>
        </w:rPr>
        <w:t xml:space="preserve">oxide </w:t>
      </w:r>
      <w:r>
        <w:tab/>
      </w:r>
      <w:r>
        <w:rPr>
          <w:w w:val="101.85599693885217"/>
          <w:rFonts w:ascii="TimesNewRoman,Bold" w:hAnsi="TimesNewRoman,Bold" w:eastAsia="TimesNewRoman,Bold"/>
          <w:b/>
          <w:i w:val="0"/>
          <w:color w:val="FFFFFF"/>
          <w:sz w:val="13"/>
        </w:rPr>
        <w:t>Si-fin</w:t>
      </w:r>
    </w:p>
    <w:p>
      <w:pPr>
        <w:autoSpaceDN w:val="0"/>
        <w:autoSpaceDE w:val="0"/>
        <w:widowControl/>
        <w:spacing w:line="245" w:lineRule="auto" w:before="362" w:after="0"/>
        <w:ind w:left="144" w:right="29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Figure 4.  Scaling perspective of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based FeFETs assuming 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memory window of 1V, a d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of 5 nm and the standard metal gate stack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HKMG technology. The red arrows denote the critical scaling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dimensions. (a) high-k first / metal last – half replacement gate. (b) high-k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last / metal last – full replacement gate. (c) FinFET </w:t>
      </w:r>
    </w:p>
    <w:p>
      <w:pPr>
        <w:autoSpaceDN w:val="0"/>
        <w:tabs>
          <w:tab w:pos="288" w:val="left"/>
          <w:tab w:pos="726" w:val="left"/>
          <w:tab w:pos="1122" w:val="left"/>
          <w:tab w:pos="1962" w:val="left"/>
          <w:tab w:pos="2532" w:val="left"/>
          <w:tab w:pos="3312" w:val="left"/>
          <w:tab w:pos="4452" w:val="left"/>
        </w:tabs>
        <w:autoSpaceDE w:val="0"/>
        <w:widowControl/>
        <w:spacing w:line="245" w:lineRule="auto" w:before="242" w:after="0"/>
        <w:ind w:left="0" w:right="14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implementation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FeFETs as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embedded memory for HKMG CMOS technology is especially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appealing due to the large similarities of the memory and logic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transistors. Due to the high flexibility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with respect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electrode material and thermal budget (gate first/gate last),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only requirement for the memory transistor is a thicker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crystalline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Every other material or gate stack design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aspect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HKMG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remain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unchanged.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Several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combinations of CMOS and memory transistor integration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flows requiring only 1-2 additional lithographic masks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thinkable. As an example, Figure 5 shows a combination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first (half replacement gate) and CMOS last (full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replacement gate) integration. </w:t>
      </w:r>
    </w:p>
    <w:p>
      <w:pPr>
        <w:autoSpaceDN w:val="0"/>
        <w:autoSpaceDE w:val="0"/>
        <w:widowControl/>
        <w:spacing w:line="245" w:lineRule="auto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concluding remarks to this section, it should be noted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a 1X nm planar or fin-shaped RAM transistor can hardly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reached with any other technology, and could readily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applied at the 1X nm as well as, at a relaxed pitch,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succeeding CMOS technology nodes. However, due to the lack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experimental data on large array statistics, the feasibility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scaling approaches suggested here cannot be fully judged.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the piezoresponse force microscopy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presented in [4] and [13] show a homogenous distribution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FE-properties on the mesoscopic scale, final conclusions on the </w:t>
      </w:r>
    </w:p>
    <w:p>
      <w:pPr>
        <w:sectPr>
          <w:type w:val="continuous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4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failure mechanism fatigue, imprint and intrinsic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depolarization are decisive upon the potential use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in NVM technologies. Since the discovery of FE-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 2011 several of these endurance and retention relevant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have been investigated using MFM capacitors.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Even though these results were gathered on a single cell level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need to be confirmed on a larger statistical basis,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following performance characteristics can be summarized ([14,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15]):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.0" w:type="dxa"/>
      </w:tblPr>
      <w:tblGrid>
        <w:gridCol w:w="1171"/>
        <w:gridCol w:w="1171"/>
        <w:gridCol w:w="1171"/>
        <w:gridCol w:w="1171"/>
        <w:gridCol w:w="1171"/>
        <w:gridCol w:w="1171"/>
        <w:gridCol w:w="1171"/>
        <w:gridCol w:w="1171"/>
        <w:gridCol w:w="1171"/>
      </w:tblGrid>
      <w:tr>
        <w:trPr>
          <w:trHeight w:hRule="exact" w:val="288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58" w:lineRule="exact" w:before="1404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60" w:lineRule="exact" w:before="970" w:after="0"/>
              <w:ind w:left="0" w:right="12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saturated </w:t>
            </w:r>
          </w:p>
        </w:tc>
        <w:tc>
          <w:tcPr>
            <w:tcW w:type="dxa" w:w="1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hysteresis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8" w:after="0"/>
              <w:ind w:left="2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minimal </w:t>
            </w:r>
          </w:p>
        </w:tc>
      </w:tr>
      <w:tr>
        <w:trPr>
          <w:trHeight w:hRule="exact" w:val="3980"/>
        </w:trPr>
        <w:tc>
          <w:tcPr>
            <w:tcW w:type="dxa" w:w="1171"/>
            <w:vMerge/>
            <w:tcBorders/>
          </w:tcPr>
          <w:p/>
        </w:tc>
        <w:tc>
          <w:tcPr>
            <w:tcW w:type="dxa" w:w="4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degradation of the memory state was demonstrated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1000 h bake at 125°C, corresponding to 10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retention at 85°C. However, polarization sub loops 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reduced switching voltage were found to be prone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depolarization and therewith retention loss within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bake period.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Opposite state retention and therewith imprint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characteristics were found to be comparable to PZT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1000 h bake at 125°C. About 75% of the initial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was still achievable for the inverse state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testing. </w:t>
            </w:r>
          </w:p>
          <w:p>
            <w:pPr>
              <w:autoSpaceDN w:val="0"/>
              <w:autoSpaceDE w:val="0"/>
              <w:widowControl/>
              <w:spacing w:line="245" w:lineRule="auto" w:before="118" w:after="0"/>
              <w:ind w:left="142" w:right="1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At the current development stage the endurance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saturated polarization states was found to be limited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about 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switching cycles. Hard breakdown (HBD)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ferroelectric was identified as the failure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mechanism limiting endurance. For unsaturated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polarization loops about two orders of magnitude </w:t>
            </w:r>
          </w:p>
        </w:tc>
      </w:tr>
      <w:tr>
        <w:trPr>
          <w:trHeight w:hRule="exact" w:val="220"/>
        </w:trPr>
        <w:tc>
          <w:tcPr>
            <w:tcW w:type="dxa" w:w="1171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higher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endurance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onset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8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classical </w:t>
            </w:r>
          </w:p>
        </w:tc>
      </w:tr>
      <w:tr>
        <w:trPr>
          <w:trHeight w:hRule="exact" w:val="290"/>
        </w:trPr>
        <w:tc>
          <w:tcPr>
            <w:tcW w:type="dxa" w:w="1171"/>
            <w:vMerge/>
            <w:tcBorders/>
          </w:tcPr>
          <w:p/>
        </w:tc>
        <w:tc>
          <w:tcPr>
            <w:tcW w:type="dxa" w:w="4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0" w:after="0"/>
              <w:ind w:left="14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ferroelectric fatigue was observed.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154" w:right="4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Since in order to achieve sufficient retention saturated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polarization loops are required, the endurance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high switching fields needs to be improved. Due to the </w:t>
      </w:r>
    </w:p>
    <w:p>
      <w:pPr>
        <w:sectPr>
          <w:type w:val="nextColumn"/>
          <w:pgSz w:w="11904" w:h="16840"/>
          <w:pgMar w:top="522" w:right="632" w:bottom="1298" w:left="734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3911600</wp:posOffset>
            </wp:positionV>
            <wp:extent cx="5448300" cy="28702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70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38" w:right="658" w:bottom="1238" w:left="722" w:header="720" w:footer="720" w:gutter="0"/>
          <w:cols w:space="720" w:num="2" w:equalWidth="0"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56"/>
        <w:ind w:left="12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destructive read operation of classical 1T-1C FRAM this is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 for achieving read endurance beyond the currently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possible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switching cycles. Having identified HBD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failure mechanism, the comparison of switching field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breakdown field in Table I further illustrates the severe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challenge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faced with compared to its perovskite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contenders.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>
        <w:trPr>
          <w:trHeight w:hRule="exact" w:val="218"/>
        </w:trPr>
        <w:tc>
          <w:tcPr>
            <w:tcW w:type="dxa" w:w="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ROXIMITY </w:t>
            </w:r>
          </w:p>
        </w:tc>
        <w:tc>
          <w:tcPr>
            <w:tcW w:type="dxa" w:w="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OF </w:t>
            </w:r>
          </w:p>
        </w:tc>
        <w:tc>
          <w:tcPr>
            <w:tcW w:type="dxa" w:w="12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ERROELECTRIC </w:t>
            </w:r>
          </w:p>
        </w:tc>
        <w:tc>
          <w:tcPr>
            <w:tcW w:type="dxa" w:w="8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PERATING </w:t>
            </w:r>
          </w:p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EGIME </w:t>
            </w:r>
          </w:p>
        </w:tc>
        <w:tc>
          <w:tcPr>
            <w:tcW w:type="dxa" w:w="3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TO </w:t>
            </w:r>
          </w:p>
        </w:tc>
      </w:tr>
      <w:tr>
        <w:trPr>
          <w:trHeight w:hRule="exact" w:val="304"/>
        </w:trPr>
        <w:tc>
          <w:tcPr>
            <w:tcW w:type="dxa" w:w="4044"/>
            <w:gridSpan w:val="8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IELECTRIC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 xml:space="preserve">REAKDOWN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TRENGTH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176"/>
        </w:trPr>
        <w:tc>
          <w:tcPr>
            <w:tcW w:type="dxa" w:w="2684"/>
            <w:gridSpan w:val="5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2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SBT </w:t>
            </w:r>
          </w:p>
        </w:tc>
        <w:tc>
          <w:tcPr>
            <w:tcW w:type="dxa" w:w="136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44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PZT </w:t>
            </w:r>
          </w:p>
        </w:tc>
        <w:tc>
          <w:tcPr>
            <w:tcW w:type="dxa" w:w="8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FE-HfO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 xml:space="preserve">2 </w:t>
            </w:r>
          </w:p>
        </w:tc>
        <w:tc>
          <w:tcPr>
            <w:tcW w:type="dxa" w:w="30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0"/>
        </w:trPr>
        <w:tc>
          <w:tcPr>
            <w:tcW w:type="dxa" w:w="2684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11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(25 nm) </w:t>
            </w:r>
          </w:p>
        </w:tc>
        <w:tc>
          <w:tcPr>
            <w:tcW w:type="dxa" w:w="13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38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(35 nm) </w:t>
            </w:r>
          </w:p>
        </w:tc>
        <w:tc>
          <w:tcPr>
            <w:tcW w:type="dxa" w:w="1052"/>
            <w:vMerge/>
            <w:tcBorders>
              <w:top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5260"/>
            <w:gridSpan w:val="5"/>
            <w:vMerge/>
            <w:tcBorders/>
          </w:tcPr>
          <w:p/>
        </w:tc>
        <w:tc>
          <w:tcPr>
            <w:tcW w:type="dxa" w:w="3156"/>
            <w:gridSpan w:val="3"/>
            <w:vMerge/>
            <w:tcBorders/>
          </w:tcPr>
          <w:p/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9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(10 nm)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2684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24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[16] </w:t>
            </w:r>
          </w:p>
        </w:tc>
        <w:tc>
          <w:tcPr>
            <w:tcW w:type="dxa" w:w="136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2" w:after="0"/>
              <w:ind w:left="0" w:right="35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 xml:space="preserve">[12, 17] 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174"/>
        </w:trPr>
        <w:tc>
          <w:tcPr>
            <w:tcW w:type="dxa" w:w="4044"/>
            <w:gridSpan w:val="8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switching field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SW</w:t>
            </w:r>
          </w:p>
        </w:tc>
        <w:tc>
          <w:tcPr>
            <w:tcW w:type="dxa" w:w="80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 MV/cm </w:t>
            </w:r>
          </w:p>
        </w:tc>
        <w:tc>
          <w:tcPr>
            <w:tcW w:type="dxa" w:w="300"/>
            <w:vMerge w:val="restart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"/>
        </w:trPr>
        <w:tc>
          <w:tcPr>
            <w:tcW w:type="dxa" w:w="16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(saturated 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SW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~ 3*E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) </w:t>
            </w:r>
          </w:p>
        </w:tc>
        <w:tc>
          <w:tcPr>
            <w:tcW w:type="dxa" w:w="9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300 kV/cm </w:t>
            </w:r>
          </w:p>
        </w:tc>
        <w:tc>
          <w:tcPr>
            <w:tcW w:type="dxa" w:w="1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375 kV/cm </w:t>
            </w:r>
          </w:p>
        </w:tc>
        <w:tc>
          <w:tcPr>
            <w:tcW w:type="dxa" w:w="1052"/>
            <w:vMerge/>
            <w:tcBorders>
              <w:top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80"/>
        </w:trPr>
        <w:tc>
          <w:tcPr>
            <w:tcW w:type="dxa" w:w="15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break down field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BD</w:t>
            </w:r>
          </w:p>
        </w:tc>
        <w:tc>
          <w:tcPr>
            <w:tcW w:type="dxa" w:w="12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1.4 MV/cm </w:t>
            </w:r>
          </w:p>
        </w:tc>
        <w:tc>
          <w:tcPr>
            <w:tcW w:type="dxa" w:w="12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11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1.2 MV/cm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5 MV/cm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72"/>
        </w:trPr>
        <w:tc>
          <w:tcPr>
            <w:tcW w:type="dxa" w:w="404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108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percentage of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BD</w:t>
            </w:r>
          </w:p>
        </w:tc>
        <w:tc>
          <w:tcPr>
            <w:tcW w:type="dxa" w:w="80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70" w:after="0"/>
              <w:ind w:left="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60% </w:t>
            </w:r>
          </w:p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  <w:tr>
        <w:trPr>
          <w:trHeight w:hRule="exact" w:val="264"/>
        </w:trPr>
        <w:tc>
          <w:tcPr>
            <w:tcW w:type="dxa" w:w="1564"/>
            <w:gridSpan w:val="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6"/>
              </w:rPr>
              <w:t>reached during E</w:t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10"/>
              </w:rPr>
              <w:t>SW</w:t>
            </w:r>
          </w:p>
        </w:tc>
        <w:tc>
          <w:tcPr>
            <w:tcW w:type="dxa" w:w="112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21% </w:t>
            </w:r>
          </w:p>
        </w:tc>
        <w:tc>
          <w:tcPr>
            <w:tcW w:type="dxa" w:w="1360"/>
            <w:gridSpan w:val="3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~ 31% </w:t>
            </w:r>
          </w:p>
        </w:tc>
        <w:tc>
          <w:tcPr>
            <w:tcW w:type="dxa" w:w="1052"/>
            <w:vMerge/>
            <w:tcBorders>
              <w:bottom w:sz="4.0" w:val="single" w:color="#000000"/>
            </w:tcBorders>
          </w:tcPr>
          <w:p/>
        </w:tc>
        <w:tc>
          <w:tcPr>
            <w:tcW w:type="dxa" w:w="1052"/>
            <w:vMerge/>
            <w:tcBorders>
              <w:top w:sz="4.0" w:val="single" w:color="#000000"/>
              <w:bottom w:sz="4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122" w:after="0"/>
        <w:ind w:left="12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Considering this close to HBD operation mode as well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already largely optimized leakage current of state of the art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and zirconium oxide based thin films, there are only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options for improvement left. However, reducing trap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assisted tunneling by passivation of defects and improving the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TiN/FE-HfO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 quality is believed to immediately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 endurance, whereas high work function or oxidic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electrodes, responsible for solving classical fatigue issues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perovskites, are unlikely to ease the major reliability concerns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Due to the TDDB related nature of the failure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mechanism, a simple reduction of switching time and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area, possible in a fully integrated memory array, is believed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further increase endurance. </w:t>
      </w:r>
    </w:p>
    <w:p>
      <w:pPr>
        <w:autoSpaceDN w:val="0"/>
        <w:autoSpaceDE w:val="0"/>
        <w:widowControl/>
        <w:spacing w:line="245" w:lineRule="auto" w:before="238" w:after="312"/>
        <w:ind w:left="154" w:right="20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possible way to improve the memory performance of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capacitor based memory on a system level is to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use of its striking resemblance to dielectric material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electrode systems of state of the art DRAM. As describe in [6]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might yield the opportunity to operate FRAM architecture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a volatile DRAM-like mode during power on, while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accessing non-volatile FRAM mode on a store and recall basis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only when needed. In the low voltage DRAM-like mode of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1T-1C NV-DRAM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acts as a fairly linear capacitor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yielding unlimited read/write endurance and fast speed,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whereas polarization reversal at high voltage in FRAM mode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provides non-volatility on demand with reduced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requirements. </w:t>
      </w:r>
    </w:p>
    <w:p>
      <w:pPr>
        <w:sectPr>
          <w:type w:val="nextColumn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>
        <w:trPr>
          <w:trHeight w:hRule="exact" w:val="218"/>
        </w:trPr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2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0" w:right="0" w:firstLine="0"/>
              <w:jc w:val="center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FE-HfO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3"/>
              </w:rPr>
              <w:t>2</w:t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-NVM-Type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8" w:after="0"/>
              <w:ind w:left="224" w:right="0" w:firstLine="0"/>
              <w:jc w:val="lef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FE-HfO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3"/>
              </w:rPr>
              <w:t>2</w:t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-VM-Type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2162" w:lineRule="exact" w:before="0" w:after="0"/>
              <w:ind w:left="144" w:right="0" w:firstLine="0"/>
              <w:jc w:val="left"/>
            </w:pPr>
            <w:r>
              <w:tab/>
            </w: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 xml:space="preserve">c 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WF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Pt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=5.66 eV;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χ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=3.4eV;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G,SBT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r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C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=50kV/cm;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SBT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=180;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=20</w:t>
            </w:r>
          </w:p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58" w:after="0"/>
              <w:ind w:left="354" w:right="0" w:firstLine="0"/>
              <w:jc w:val="lef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FFFFFF"/>
                <w:sz w:val="20"/>
              </w:rPr>
              <w:t>SBT-NVM-Type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8" w:after="0"/>
              <w:ind w:left="0" w:right="42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G</w:t>
            </w:r>
          </w:p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4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4" w:after="0"/>
              <w:ind w:left="148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HfO</w:t>
            </w:r>
            <w:r>
              <w:rPr>
                <w:w w:val="103.74287499321832"/>
                <w:rFonts w:ascii="Calibri" w:hAnsi="Calibri" w:eastAsia="Calibri"/>
                <w:b w:val="0"/>
                <w:i w:val="0"/>
                <w:color w:val="000000"/>
                <w:sz w:val="9"/>
              </w:rPr>
              <w:t>2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4" w:after="0"/>
              <w:ind w:left="212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</w:tr>
      <w:tr>
        <w:trPr>
          <w:trHeight w:hRule="exact" w:val="11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76" w:after="0"/>
              <w:ind w:left="190" w:right="0" w:firstLine="0"/>
              <w:jc w:val="left"/>
            </w:pP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WF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TiN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=4.2 eV;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χ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=2.05eV;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G,HfO2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=5.9eV;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S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=10µC/cm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P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r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=9.5µC/cm</w:t>
            </w:r>
            <w:r>
              <w:rPr>
                <w:w w:val="104.79732240949357"/>
                <w:rFonts w:ascii="Calibri" w:hAnsi="Calibri" w:eastAsia="Calibri"/>
                <w:b w:val="0"/>
                <w:i w:val="0"/>
                <w:color w:val="000000"/>
                <w:sz w:val="7"/>
              </w:rPr>
              <w:t>2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;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E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C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=1MV/cm;</w:t>
            </w:r>
            <w:r>
              <w:rPr>
                <w:w w:val="101.55468854037197"/>
                <w:rFonts w:ascii="Symbol" w:hAnsi="Symbol" w:eastAsia="Symbol"/>
                <w:b w:val="0"/>
                <w:i w:val="0"/>
                <w:color w:val="000000"/>
                <w:sz w:val="11"/>
              </w:rPr>
              <w:t>ε</w:t>
            </w:r>
            <w:r>
              <w:rPr>
                <w:w w:val="104.79732240949357"/>
                <w:rFonts w:ascii="Calibri,Italic" w:hAnsi="Calibri,Italic" w:eastAsia="Calibri,Italic"/>
                <w:b w:val="0"/>
                <w:i/>
                <w:color w:val="000000"/>
                <w:sz w:val="7"/>
              </w:rPr>
              <w:t>FE</w:t>
            </w:r>
            <w:r>
              <w:rPr>
                <w:w w:val="101.55468854037197"/>
                <w:rFonts w:ascii="Calibri" w:hAnsi="Calibri" w:eastAsia="Calibri"/>
                <w:b w:val="0"/>
                <w:i w:val="0"/>
                <w:color w:val="000000"/>
                <w:sz w:val="11"/>
              </w:rPr>
              <w:t>=30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32" w:after="0"/>
              <w:ind w:left="0" w:right="24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TiN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95"/>
        </w:trPr>
        <w:tc>
          <w:tcPr>
            <w:tcW w:type="dxa" w:w="526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252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TiN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68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Si:HfO2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Si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656" w:firstLine="0"/>
              <w:jc w:val="righ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Zr:HfO2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14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Pt</w:t>
            </w:r>
          </w:p>
        </w:tc>
        <w:tc>
          <w:tcPr>
            <w:tcW w:type="dxa" w:w="52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SBT</w:t>
            </w:r>
          </w:p>
        </w:tc>
        <w:tc>
          <w:tcPr>
            <w:tcW w:type="dxa" w:w="5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HAO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6" w:after="0"/>
              <w:ind w:left="0" w:right="0" w:firstLine="0"/>
              <w:jc w:val="center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8" w:after="0"/>
              <w:ind w:left="0" w:right="2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" w:after="0"/>
              <w:ind w:left="0" w:right="6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28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40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-4V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0" w:after="0"/>
              <w:ind w:left="40" w:right="0" w:firstLine="0"/>
              <w:jc w:val="lef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2" w:after="0"/>
              <w:ind w:left="64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Prg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-5V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60" w:after="0"/>
              <w:ind w:left="0" w:right="0" w:firstLine="0"/>
              <w:jc w:val="center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2" w:after="0"/>
              <w:ind w:left="0" w:right="6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f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4" w:after="0"/>
              <w:ind w:left="0" w:right="58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S</w:t>
            </w:r>
          </w:p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54" w:after="0"/>
              <w:ind w:left="0" w:right="296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212" w:right="0" w:firstLine="0"/>
              <w:jc w:val="left"/>
            </w:pPr>
            <w:r>
              <w:rPr>
                <w:w w:val="98.84676252092633"/>
                <w:rFonts w:ascii="Calibri,Italic" w:hAnsi="Calibri,Italic" w:eastAsia="Calibri,Italic"/>
                <w:b w:val="0"/>
                <w:i/>
                <w:color w:val="000000"/>
                <w:sz w:val="14"/>
              </w:rPr>
              <w:t>V</w:t>
            </w:r>
            <w:r>
              <w:rPr>
                <w:w w:val="103.74287499321832"/>
                <w:rFonts w:ascii="Calibri,Italic" w:hAnsi="Calibri,Italic" w:eastAsia="Calibri,Italic"/>
                <w:b w:val="0"/>
                <w:i/>
                <w:color w:val="000000"/>
                <w:sz w:val="9"/>
              </w:rPr>
              <w:t>G</w:t>
            </w: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 xml:space="preserve"> = 3V</w:t>
            </w:r>
          </w:p>
        </w:tc>
      </w:tr>
      <w:tr>
        <w:trPr>
          <w:trHeight w:hRule="exact" w:val="20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NDRO-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Type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0" w:after="0"/>
              <w:ind w:left="0" w:right="0" w:firstLine="0"/>
              <w:jc w:val="center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WF=4eV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64" w:after="0"/>
              <w:ind w:left="0" w:right="59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</w:tr>
      <w:tr>
        <w:trPr>
          <w:trHeight w:hRule="exact" w:val="15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696" w:after="0"/>
              <w:ind w:left="0" w:right="0" w:firstLine="0"/>
              <w:jc w:val="right"/>
            </w:pPr>
            <w:r>
              <w:rPr>
                <w:w w:val="97.53950119018555"/>
                <w:rFonts w:ascii="Calibri" w:hAnsi="Calibri" w:eastAsia="Calibri"/>
                <w:b w:val="0"/>
                <w:i w:val="0"/>
                <w:color w:val="000000"/>
                <w:sz w:val="20"/>
              </w:rPr>
              <w:t>g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08" w:after="0"/>
              <w:ind w:left="36" w:right="0" w:firstLine="0"/>
              <w:jc w:val="lef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32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DRO-Type</w:t>
            </w:r>
          </w:p>
        </w:tc>
      </w:tr>
      <w:tr>
        <w:trPr>
          <w:trHeight w:hRule="exact" w:val="88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" w:after="0"/>
              <w:ind w:left="26" w:right="0" w:firstLine="0"/>
              <w:jc w:val="left"/>
            </w:pPr>
            <w:r>
              <w:rPr>
                <w:w w:val="98.84676252092633"/>
                <w:rFonts w:ascii="Calibri" w:hAnsi="Calibri" w:eastAsia="Calibri"/>
                <w:b w:val="0"/>
                <w:i w:val="0"/>
                <w:color w:val="000000"/>
                <w:sz w:val="14"/>
              </w:rPr>
              <w:t>WF=5.5eV</w:t>
            </w:r>
          </w:p>
        </w:tc>
      </w:tr>
      <w:tr>
        <w:trPr>
          <w:trHeight w:hRule="exact" w:val="664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28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40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+4V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10" w:after="0"/>
              <w:ind w:left="64" w:right="0" w:firstLine="0"/>
              <w:jc w:val="left"/>
            </w:pP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Ers at </w:t>
            </w: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  <w:r>
              <w:rPr>
                <w:w w:val="98.0798272525563"/>
                <w:rFonts w:ascii="Calibri" w:hAnsi="Calibri" w:eastAsia="Calibri"/>
                <w:b w:val="0"/>
                <w:i w:val="0"/>
                <w:color w:val="000000"/>
                <w:sz w:val="17"/>
              </w:rPr>
              <w:t xml:space="preserve"> = +5V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2" w:after="0"/>
              <w:ind w:left="96" w:right="0" w:firstLine="0"/>
              <w:jc w:val="left"/>
            </w:pPr>
            <w:r>
              <w:rPr>
                <w:w w:val="98.84676252092633"/>
                <w:rFonts w:ascii="Calibri,Italic" w:hAnsi="Calibri,Italic" w:eastAsia="Calibri,Italic"/>
                <w:b w:val="0"/>
                <w:i/>
                <w:color w:val="000000"/>
                <w:sz w:val="14"/>
              </w:rPr>
              <w:t>V</w:t>
            </w:r>
            <w:r>
              <w:rPr>
                <w:w w:val="103.74287499321832"/>
                <w:rFonts w:ascii="Calibri,Italic" w:hAnsi="Calibri,Italic" w:eastAsia="Calibri,Italic"/>
                <w:b w:val="0"/>
                <w:i/>
                <w:color w:val="000000"/>
                <w:sz w:val="9"/>
              </w:rPr>
              <w:t>Read</w:t>
            </w:r>
          </w:p>
        </w:tc>
      </w:tr>
      <w:tr>
        <w:trPr>
          <w:trHeight w:hRule="exact" w:val="25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566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41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33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48" w:after="0"/>
              <w:ind w:left="0" w:right="0" w:firstLine="0"/>
              <w:jc w:val="center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Px2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292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I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D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574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1.5V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322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0.3V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" w:after="0"/>
              <w:ind w:left="0" w:right="242" w:firstLine="0"/>
              <w:jc w:val="right"/>
            </w:pPr>
            <w:r>
              <w:rPr>
                <w:w w:val="97.816162109375"/>
                <w:rFonts w:ascii="Symbol" w:hAnsi="Symbol" w:eastAsia="Symbol"/>
                <w:b w:val="0"/>
                <w:i w:val="0"/>
                <w:color w:val="000000"/>
                <w:sz w:val="15"/>
              </w:rPr>
              <w:t>∼</w:t>
            </w:r>
            <w:r>
              <w:rPr>
                <w:w w:val="97.816162109375"/>
                <w:rFonts w:ascii="Calibri" w:hAnsi="Calibri" w:eastAsia="Calibri"/>
                <w:b w:val="0"/>
                <w:i w:val="0"/>
                <w:color w:val="000000"/>
                <w:sz w:val="15"/>
              </w:rPr>
              <w:t>0.7V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1054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824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0" w:right="78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6" w:after="0"/>
              <w:ind w:left="0" w:right="590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</w:tr>
      <w:tr>
        <w:trPr>
          <w:trHeight w:hRule="exact" w:val="254"/>
        </w:trPr>
        <w:tc>
          <w:tcPr>
            <w:tcW w:type="dxa" w:w="526"/>
            <w:vMerge/>
            <w:tcBorders/>
          </w:tcPr>
          <w:p/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8" w:firstLine="0"/>
              <w:jc w:val="right"/>
            </w:pPr>
            <w:r>
              <w:rPr>
                <w:w w:val="98.0798272525563"/>
                <w:rFonts w:ascii="Calibri,Italic" w:hAnsi="Calibri,Italic" w:eastAsia="Calibri,Italic"/>
                <w:b w:val="0"/>
                <w:i/>
                <w:color w:val="000000"/>
                <w:sz w:val="17"/>
              </w:rPr>
              <w:t>V</w:t>
            </w:r>
            <w:r>
              <w:rPr>
                <w:w w:val="101.55468854037197"/>
                <w:rFonts w:ascii="Calibri,Italic" w:hAnsi="Calibri,Italic" w:eastAsia="Calibri,Italic"/>
                <w:b w:val="0"/>
                <w:i/>
                <w:color w:val="000000"/>
                <w:sz w:val="11"/>
              </w:rPr>
              <w:t>G</w:t>
            </w:r>
          </w:p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578"/>
            <w:gridSpan w:val="3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526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  <w:tc>
          <w:tcPr>
            <w:tcW w:type="dxa" w:w="105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8" w:lineRule="exact" w:before="126" w:after="210"/>
        <w:ind w:left="156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6. Simulated program / erase characteristics of experimentally demonstrated FeFETs. Band diagrams (top), polarization- and drain current-gate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voltage characteristics (bottom) are illustrated (a-c). (a) The stack of the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-based FeFET of [7] was based on a TiN metal gate, 10 nm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ferroelectric and a 1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interfacial layer (grey shaded). Program / erase at </w:t>
      </w:r>
      <w:r>
        <w:rPr>
          <w:rFonts w:ascii="Symbol" w:hAnsi="Symbol" w:eastAsia="Symbol"/>
          <w:b w:val="0"/>
          <w:i w:val="0"/>
          <w:color w:val="000000"/>
          <w:sz w:val="16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5V leads to a memory window of </w:t>
      </w:r>
      <w:r>
        <w:rPr>
          <w:rFonts w:ascii="Symbol" w:hAnsi="Symbol" w:eastAsia="Symbol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1.5V. (b) The DRAM-type FeFET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published in [18] consists of a TaN-gate electrode, 30 nm Zr:HfO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ferroelectric and a 3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interface. Program / erase at </w:t>
      </w:r>
      <w:r>
        <w:rPr>
          <w:rFonts w:ascii="Symbol" w:hAnsi="Symbol" w:eastAsia="Symbol"/>
          <w:b w:val="0"/>
          <w:i w:val="0"/>
          <w:color w:val="000000"/>
          <w:sz w:val="16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5V leads to a memory window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</w:t>
      </w:r>
      <w:r>
        <w:rPr>
          <w:rFonts w:ascii="Symbol" w:hAnsi="Symbol" w:eastAsia="Symbol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0.3V. (c) SBT-FeFETs [19] possess a platinum gate electrode, 200 nm SBT ferroelectric, a 7 nm Al:HfO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dielectric buffer layer and a 3.5 nm SiO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interface. Material parameters that were used for simulation are shown in between/left to the illustrations (for SBT: see [17, 20]). (d) Optimized FeFET stack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of MFS type. (e) Band diagram for MFS type at 3.3V gate bias and 5.5 eV metal gate workfunction. (f) Polarization-gate voltage characteristics depending 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the metal gate workfunction (ferroelectric material parameters were chosen according to (a)). (g) Corresponding drain current-gate voltage characteristics with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read voltage for DRO-type indicated (fine solid line, for NDRO-type Vread=0V).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1" w:equalWidth="0"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1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Ferroelectric Field Effect Transistor (1T FRAM) </w:t>
      </w:r>
    </w:p>
    <w:p>
      <w:pPr>
        <w:autoSpaceDN w:val="0"/>
        <w:autoSpaceDE w:val="0"/>
        <w:widowControl/>
        <w:spacing w:line="245" w:lineRule="auto" w:before="62" w:after="0"/>
        <w:ind w:left="12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Utilizing the recently discovered ferroelectric properties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both non-volatile and volatile memory operation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FeFETs could experimentally be verified [7, 18]. For the non-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volatile memory approach, scaling of the FeFET to HKMG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nodes could finally be achieved. However,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endurance characteristics were limited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program / erase </w:t>
      </w:r>
    </w:p>
    <w:p>
      <w:pPr>
        <w:sectPr>
          <w:type w:val="continuous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154" w:right="2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cycles which was explained by the degradation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interfacial layer [21]. Considering the band diagram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 gate stack and program / erase conditions at a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voltage of </w:t>
      </w:r>
      <w:r>
        <w:rPr>
          <w:rFonts w:ascii="Symbol" w:hAnsi="Symbol" w:eastAsia="Symbol"/>
          <w:b w:val="0"/>
          <w:i w:val="0"/>
          <w:color w:val="000000"/>
          <w:sz w:val="20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5V (see Figure 6a), severe charge injection can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anticipated from Fowler-Nordheim or direct tunneling alone.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Moreover and compared to classical ferroelectrics, simulations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show that even though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is much more resilient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towards depolarization [6], still a significant reduction of </w:t>
      </w:r>
    </w:p>
    <w:p>
      <w:pPr>
        <w:sectPr>
          <w:type w:val="nextColumn"/>
          <w:pgSz w:w="11904" w:h="16840"/>
          <w:pgMar w:top="538" w:right="658" w:bottom="1238" w:left="722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58" w:bottom="1238" w:left="734" w:header="720" w:footer="720" w:gutter="0"/>
          <w:cols w:space="720" w:num="2" w:equalWidth="0"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spontaneous polarization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occurs when the gate voltage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returns to zero (see Fig. 6a bottom left). </w:t>
      </w:r>
    </w:p>
    <w:p>
      <w:pPr>
        <w:autoSpaceDN w:val="0"/>
        <w:autoSpaceDE w:val="0"/>
        <w:widowControl/>
        <w:spacing w:line="220" w:lineRule="exact" w:before="118" w:after="0"/>
        <w:ind w:left="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Recently it was demonstrated that the endurance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characteristics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-based FeFETs can indeed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improved by implementation of different gate stack geometries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operating conditions [18]. By increasing the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interfacial layer thickness to 30 nm and 3 nm respectively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operating the devices at </w:t>
      </w:r>
      <w:r>
        <w:rPr>
          <w:rFonts w:ascii="Symbol" w:hAnsi="Symbol" w:eastAsia="Symbol"/>
          <w:b w:val="0"/>
          <w:i w:val="0"/>
          <w:color w:val="000000"/>
          <w:sz w:val="20"/>
        </w:rPr>
        <w:t>±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4V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endurance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up to 10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12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cycles could be demonstrated. Assuming similar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ferroelectric properties of the utilized Zr:HfO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composition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[22] and Si:HfO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simulations reveal that charge injection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quite unlikely, which is, however, caused by the fact that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is polarized in a severe subloop state (see Figure 6b).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is also reflected in a small memory window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approximately 300 mV which coincides well with experimental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observations [18]. </w:t>
      </w:r>
    </w:p>
    <w:p>
      <w:pPr>
        <w:autoSpaceDN w:val="0"/>
        <w:autoSpaceDE w:val="0"/>
        <w:widowControl/>
        <w:spacing w:line="245" w:lineRule="auto" w:before="118" w:after="0"/>
        <w:ind w:left="0" w:right="152" w:firstLine="28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classical SBT-based FeFETs [19], the ferroelectric film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much thicker but can be operated at similar gate voltages due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low SBT coercive field of approximately 50 kV/cm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200 nm d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FE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[20]. However, also for these types of FeFETs,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depolarization has always been [9] and remains a challenge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seen by the suploop operation in Figure 6c. Consequently,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retention characteristics could be proven up to a maximum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days for SBT-based FeFETs [23]. </w:t>
      </w:r>
    </w:p>
    <w:p>
      <w:pPr>
        <w:autoSpaceDN w:val="0"/>
        <w:autoSpaceDE w:val="0"/>
        <w:widowControl/>
        <w:spacing w:line="245" w:lineRule="auto" w:before="118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give an estimate regarding the reliability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characteristics of the presented FeFET approaches (Figure 6a-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c), electron tunneling currents during erase operation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calculated based on equations from [24] (see Figure 7). As can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seen from Figure 6a-c, Fowler-Nordheim tunneling applies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NVM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cell, whereas for both other FeFET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stacks modified Fowler-Nordheim tunneling occurs. </w:t>
      </w:r>
    </w:p>
    <w:p>
      <w:pPr>
        <w:autoSpaceDN w:val="0"/>
        <w:autoSpaceDE w:val="0"/>
        <w:widowControl/>
        <w:spacing w:line="245" w:lineRule="auto" w:before="118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Comparing the non-volatile to the volatile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- or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SBT-FeFET clearly reveals severe differences: The NVM-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FeFET suffers from severe charge injection due to the very 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SiO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interface of 1 nm and an order of magnitude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electric field. This charge injection can be seen as the most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likely cause for accelerated endurance degradation. Since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band bending in Figure 6a shows that charge injection is close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Fowler-Nordheim regime, increasing the interfacial layer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thickness alone is unlikely to improve cycling characteristics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(see also [25]). Although charge trapping seems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detrimental for FeFET endurance, it brings benefit in data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retention. The higher amount of trapped charge at higher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program/erase amplitudes compensates the polarization charge,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results in a decreased depolarization field and improves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retention properties (to be published elsewhere).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presence of charge trapping most likely explains the better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retention properties of NVM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 stack [7],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10 years data retention is expected even at 200 °C [4],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contrast to both other FeFET types with a retention capability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limited to several minutes [18] and days [23]. Therefore,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MFIS-FeFET memory cell exhibits a trade-off between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endurance and retention behavior, where charge trapping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playing the key role. </w:t>
      </w:r>
    </w:p>
    <w:p>
      <w:pPr>
        <w:autoSpaceDN w:val="0"/>
        <w:autoSpaceDE w:val="0"/>
        <w:widowControl/>
        <w:spacing w:line="245" w:lineRule="auto" w:before="118" w:after="0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 way to improve the endurance characteristics of MFIS-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type FeFETs and at the same time preserve good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was presented in [26]: By lowering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ferroelectric, both the interfacial field stress as well as the </w:t>
      </w:r>
    </w:p>
    <w:p>
      <w:pPr>
        <w:sectPr>
          <w:type w:val="continuous"/>
          <w:pgSz w:w="11904" w:h="16840"/>
          <w:pgMar w:top="538" w:right="658" w:bottom="1238" w:left="734" w:header="720" w:footer="720" w:gutter="0"/>
          <w:cols w:space="720" w:num="2" w:equalWidth="0">
            <w:col w:w="5246" w:space="0"/>
            <w:col w:w="5265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depolarization field can be reduced. However, since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 xml:space="preserve">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actually represents an intrinsic material property, it remains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verified if such a low polarization might not detrimentally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affect device statistics [27]. </w:t>
      </w:r>
    </w:p>
    <w:p>
      <w:pPr>
        <w:autoSpaceDN w:val="0"/>
        <w:autoSpaceDE w:val="0"/>
        <w:widowControl/>
        <w:spacing w:line="240" w:lineRule="auto" w:before="448" w:after="0"/>
        <w:ind w:left="4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52420" cy="11404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1140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" w:after="0"/>
        <w:ind w:left="2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Figure 7.  Electron tunneling current density and electric field in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interfacial layer E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IL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versus tunneling barrier thickness for three types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FeFET cells under their typical erase conditions: non-volatile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FeFET [7], DRAM-type volatile FE-HfO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FeFET [18] and SBT-FeFET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[19]. </w:t>
      </w:r>
    </w:p>
    <w:p>
      <w:pPr>
        <w:autoSpaceDN w:val="0"/>
        <w:tabs>
          <w:tab w:pos="442" w:val="left"/>
          <w:tab w:pos="1396" w:val="left"/>
          <w:tab w:pos="1868" w:val="left"/>
          <w:tab w:pos="3810" w:val="left"/>
          <w:tab w:pos="4372" w:val="left"/>
        </w:tabs>
        <w:autoSpaceDE w:val="0"/>
        <w:widowControl/>
        <w:spacing w:line="245" w:lineRule="auto" w:before="158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improve FeFET memory characteristics without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engineering the ferroelectric itself, it might be possible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create MFS-type FeFETs in the future, i.e. eliminating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insulator between 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the silicon bulk altogether (Figure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6d). Significant progress in the field of epitactically grown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by ALD and appropriate post annealing steps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made in the past [28]. If such approaches prove viable in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future, electron injection during erase operations might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reduced due to the different band alignment of the FeFET gate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stack (Figure 6e). Moreover, in order to improve the retention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of high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</w:t>
      </w:r>
      <w:r>
        <w:rPr>
          <w:rFonts w:ascii="TimesNewRoman,Italic" w:hAnsi="TimesNewRoman,Italic" w:eastAsia="TimesNewRoman,Italic"/>
          <w:b w:val="0"/>
          <w:i/>
          <w:color w:val="000000"/>
          <w:sz w:val="13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FeFETs, creating an artificial imprint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workfunction engineering can be envisioned (Figure 6f).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approach, different FeFET types possessing either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destructive-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non-destructive-read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out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((N)DRO)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can be created. Due to the imprint created by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adjusted metal gate workfunction, a saturated and a fully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depolarized state can be stabilized which could improve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overall FeFET retention characteristics. However, from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memory architecture viewpoint also for these types of FeFETs,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write disturbs have to be eliminated by e.g. 2T cell concepts. </w:t>
      </w:r>
    </w:p>
    <w:p>
      <w:pPr>
        <w:autoSpaceDN w:val="0"/>
        <w:tabs>
          <w:tab w:pos="2432" w:val="left"/>
        </w:tabs>
        <w:autoSpaceDE w:val="0"/>
        <w:widowControl/>
        <w:spacing w:line="230" w:lineRule="auto" w:before="248" w:after="0"/>
        <w:ind w:left="19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V.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ONCLUSION</w:t>
      </w:r>
    </w:p>
    <w:p>
      <w:pPr>
        <w:autoSpaceDN w:val="0"/>
        <w:tabs>
          <w:tab w:pos="442" w:val="left"/>
          <w:tab w:pos="1384" w:val="left"/>
          <w:tab w:pos="2062" w:val="left"/>
          <w:tab w:pos="2960" w:val="left"/>
          <w:tab w:pos="3364" w:val="left"/>
          <w:tab w:pos="3690" w:val="left"/>
        </w:tabs>
        <w:autoSpaceDE w:val="0"/>
        <w:widowControl/>
        <w:spacing w:line="245" w:lineRule="auto" w:before="82" w:after="0"/>
        <w:ind w:left="154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Hafnium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oxide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emerges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CMOS-compatible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providing unique three-dimensional and lateral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scaling potential to capacitor as well as transistor based FRAM.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Due to the large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its stable ferroelectric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properties at reduced thickness, scaling of 1T FRAM alongside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HKMG and 1T-1C FRAM alongside DRAM appears possible,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yielding the potential to establish the first high density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memory technology. However, considering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necessity of a large E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to enable this drastic size reduction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intrinsic dilemma between scaling and device performance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ferroelectric memories evolves. As a consequence, the close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breakdown field operation of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based MFM capacitors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well as severe charge injection in comparable MFIS-FETs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are posing severe endurance constraints on the FE-HfO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technology in its current development stage. Nevertheless,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possibility to drastically increase endurance at the cost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retention and vice versa as well as to switch between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modes on a system level needs to be considered when assessing </w:t>
      </w:r>
    </w:p>
    <w:p>
      <w:pPr>
        <w:sectPr>
          <w:type w:val="nextColumn"/>
          <w:pgSz w:w="11904" w:h="16840"/>
          <w:pgMar w:top="538" w:right="658" w:bottom="1238" w:left="734" w:header="720" w:footer="720" w:gutter="0"/>
          <w:cols w:space="720" w:num="2" w:equalWidth="0">
            <w:col w:w="5246" w:space="0"/>
            <w:col w:w="5265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sectPr>
          <w:pgSz w:w="11904" w:h="16840"/>
          <w:pgMar w:top="538" w:right="668" w:bottom="1440" w:left="734" w:header="720" w:footer="720" w:gutter="0"/>
          <w:cols w:space="720" w:num="2" w:equalWidth="0">
            <w:col w:w="5246" w:space="0"/>
            <w:col w:w="5265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5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memory technology. Even before further device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improvements are established, this flexibility of performance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parameters already opens a broad window of potential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applications reaching from NOR-FLASH to low refresh rate 1T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DRAM. </w:t>
      </w:r>
    </w:p>
    <w:p>
      <w:pPr>
        <w:autoSpaceDN w:val="0"/>
        <w:autoSpaceDE w:val="0"/>
        <w:widowControl/>
        <w:spacing w:line="230" w:lineRule="auto" w:before="286" w:after="0"/>
        <w:ind w:left="0" w:right="19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5" w:lineRule="auto" w:before="250" w:after="0"/>
        <w:ind w:left="144" w:right="28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work for this paper was supported by funding from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Free State of Saxony (Project: ARTEMIS, FERRODITE) </w:t>
      </w:r>
    </w:p>
    <w:p>
      <w:pPr>
        <w:autoSpaceDN w:val="0"/>
        <w:autoSpaceDE w:val="0"/>
        <w:widowControl/>
        <w:spacing w:line="233" w:lineRule="auto" w:before="250" w:after="0"/>
        <w:ind w:left="0" w:right="221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245" w:lineRule="auto" w:before="84" w:after="0"/>
        <w:ind w:left="360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D. A. Buck, “Ferroelectrics for digital information storage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switching,” Master Thesis, Digital Computer Laboratory, MIT,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Massachusetts, 1952. </w:t>
      </w:r>
    </w:p>
    <w:p>
      <w:pPr>
        <w:autoSpaceDN w:val="0"/>
        <w:autoSpaceDE w:val="0"/>
        <w:widowControl/>
        <w:spacing w:line="252" w:lineRule="auto" w:before="38" w:after="2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Y. K. Hong, et al., “130 nm-technology, 0.25 μm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, 1T1C FRAM cell for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.99999999999994" w:type="dxa"/>
      </w:tblPr>
      <w:tblGrid>
        <w:gridCol w:w="2100"/>
        <w:gridCol w:w="2100"/>
        <w:gridCol w:w="2100"/>
        <w:gridCol w:w="2100"/>
        <w:gridCol w:w="2100"/>
      </w:tblGrid>
      <w:tr>
        <w:trPr>
          <w:trHeight w:hRule="exact" w:val="18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SoC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(system-on-a-chip)-friendly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applications,”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International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6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Symposium on VLSI Technology, Systems and Applications (VLSI-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TSA), 2007. </w:t>
      </w:r>
    </w:p>
    <w:p>
      <w:pPr>
        <w:autoSpaceDN w:val="0"/>
        <w:autoSpaceDE w:val="0"/>
        <w:widowControl/>
        <w:spacing w:line="245" w:lineRule="auto" w:before="54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L. V. Hai, M. Takahashi, and S. Sakai, “Downsizing of ferroelectric-gate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field-effect-transistors for ferroelectric-NAND Flash memory cells,” in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3rd IEEE International Memory Workshop (IMW), 2011, pp. 1–4. </w:t>
      </w:r>
    </w:p>
    <w:p>
      <w:pPr>
        <w:autoSpaceDN w:val="0"/>
        <w:autoSpaceDE w:val="0"/>
        <w:widowControl/>
        <w:spacing w:line="245" w:lineRule="auto" w:before="56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Müller, et al., “Ferroelectric hafnium oxide: A CMOS-compatible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highly scalable approach to future ferroelectric memories,” in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Electron Devices Meeting (IEDM), 2013, pp. 10.8.1 -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10.8.4. </w:t>
      </w:r>
    </w:p>
    <w:p>
      <w:pPr>
        <w:autoSpaceDN w:val="0"/>
        <w:autoSpaceDE w:val="0"/>
        <w:widowControl/>
        <w:spacing w:line="245" w:lineRule="auto" w:before="56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H. Kisi, C. J. Howard, and R. J. Hill, “Crystal structure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orthorhombic zirconia in partially stabilized zirconia,” J. Am. Ceram.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Soc, vol. 72, no. 9, pp. 1757–1760, 1989. </w:t>
      </w:r>
    </w:p>
    <w:p>
      <w:pPr>
        <w:autoSpaceDN w:val="0"/>
        <w:autoSpaceDE w:val="0"/>
        <w:widowControl/>
        <w:spacing w:line="245" w:lineRule="auto" w:before="54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Müller, P. Polakowski, S. Müller, and T. Mikolajick, “Ferroelectric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hafnium oxide based materials and devices: assessment of current status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future prospects,” ECS Trans, vol. 64, no. 8, pp. 159–168, 2014. </w:t>
      </w:r>
    </w:p>
    <w:p>
      <w:pPr>
        <w:autoSpaceDN w:val="0"/>
        <w:autoSpaceDE w:val="0"/>
        <w:widowControl/>
        <w:spacing w:line="245" w:lineRule="auto" w:before="52" w:after="0"/>
        <w:ind w:left="360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“Ferroelectricity in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enables nonvolatile data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storage in 28 nm HKMG,” in Symposium on VLSI Technology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(VLSIT), 2012, pp. 25–26. </w:t>
      </w:r>
    </w:p>
    <w:p>
      <w:pPr>
        <w:autoSpaceDN w:val="0"/>
        <w:autoSpaceDE w:val="0"/>
        <w:widowControl/>
        <w:spacing w:line="245" w:lineRule="auto" w:before="54" w:after="0"/>
        <w:ind w:left="360" w:right="16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P. Polakowski, et al., “Ferroelectric deep trench capacitors based on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Al:HfO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for 3D nonvolatile memory applications,” in 6th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Memory Workshop (IMW), 2014. </w:t>
      </w:r>
    </w:p>
    <w:p>
      <w:pPr>
        <w:autoSpaceDN w:val="0"/>
        <w:autoSpaceDE w:val="0"/>
        <w:widowControl/>
        <w:spacing w:line="245" w:lineRule="auto" w:before="54" w:after="0"/>
        <w:ind w:left="360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T. P. Ma and J.-P. Han, “Why is nonvolatile ferroelectric memory field-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transistor still elusive?,” IEEE Electron Device Lett, vol. 23, no. 7,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pp. 386–388, 2002. </w:t>
      </w:r>
    </w:p>
    <w:p>
      <w:pPr>
        <w:autoSpaceDN w:val="0"/>
        <w:autoSpaceDE w:val="0"/>
        <w:widowControl/>
        <w:spacing w:line="245" w:lineRule="auto" w:before="56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J.-M. Koo, et al., “Fabrication of 3D trench PZT capacitors for 256 Mbit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FRAM device application,” in IEEE International Electron Devices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Meeting (IEDM), 2005, pp. 343–347. </w:t>
      </w:r>
    </w:p>
    <w:p>
      <w:pPr>
        <w:autoSpaceDN w:val="0"/>
        <w:autoSpaceDE w:val="0"/>
        <w:widowControl/>
        <w:spacing w:line="245" w:lineRule="auto" w:before="56" w:after="0"/>
        <w:ind w:left="360" w:right="164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N. Nagel, et al., “New highly scalable 3 dimensional chain FeRAM cell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with vertical capacitor,” in Symposium on VLSI Technology (VLSIT),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2004, pp. 146–147. </w:t>
      </w:r>
    </w:p>
    <w:p>
      <w:pPr>
        <w:autoSpaceDN w:val="0"/>
        <w:autoSpaceDE w:val="0"/>
        <w:widowControl/>
        <w:spacing w:line="245" w:lineRule="auto" w:before="54" w:after="0"/>
        <w:ind w:left="360" w:right="144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T. Oikawa, H. Morioka, A. Nagai, H. Funakubo, and K. Saito,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“Thickness scaling of polycrystalline Pb(Zr,Ti)O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3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films downto 35 nm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prepared by metalorganic chemical vapor deposition having good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ferroelectric properties,” Appl. Phys. Lett, vol. 85, no. 10, pp. 1754–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1756, 2004.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" w:after="0"/>
        <w:ind w:left="0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D. Martin, et al., “Ferroelectricity in Si-doped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revealed: a binary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lead-free ferroelectric,” Adv. Mater, in press, 2014. </w:t>
      </w:r>
    </w:p>
    <w:p>
      <w:pPr>
        <w:sectPr>
          <w:type w:val="continuous"/>
          <w:pgSz w:w="11904" w:h="16840"/>
          <w:pgMar w:top="538" w:right="668" w:bottom="1440" w:left="734" w:header="720" w:footer="720" w:gutter="0"/>
          <w:cols w:space="720" w:num="2" w:equalWidth="0">
            <w:col w:w="5246" w:space="0"/>
            <w:col w:w="5255" w:space="0"/>
            <w:col w:w="5246" w:space="0"/>
            <w:col w:w="5265" w:space="0"/>
            <w:col w:w="5258" w:space="0"/>
            <w:col w:w="5265" w:space="0"/>
            <w:col w:w="10523" w:space="0"/>
            <w:col w:w="5258" w:space="0"/>
            <w:col w:w="5265" w:space="0"/>
            <w:col w:w="5246" w:space="0"/>
            <w:col w:w="5292" w:space="0"/>
            <w:col w:w="10538" w:space="0"/>
            <w:col w:w="5246" w:space="0"/>
            <w:col w:w="5292" w:space="0"/>
            <w:col w:w="5246" w:space="0"/>
            <w:col w:w="5265" w:space="0"/>
            <w:col w:w="5246" w:space="0"/>
            <w:col w:w="5265" w:space="0"/>
            <w:col w:w="10511" w:space="0"/>
            <w:col w:w="5246" w:space="0"/>
            <w:col w:w="5265" w:space="0"/>
            <w:col w:w="10511" w:space="0"/>
            <w:col w:w="5244" w:space="0"/>
            <w:col w:w="5268" w:space="0"/>
            <w:col w:w="10511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J. Müller, U. Schröder, and T. Mikolajick, “Reliability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characteristics of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thin films for memory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applications,” IEEE T. Device Mat. Re. (IEEE Transactions on Device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Materials Reliability), vol. 13, no. 1, pp. 93–97, 2013. </w:t>
      </w:r>
    </w:p>
    <w:p>
      <w:pPr>
        <w:autoSpaceDN w:val="0"/>
        <w:autoSpaceDE w:val="0"/>
        <w:widowControl/>
        <w:spacing w:line="245" w:lineRule="auto" w:before="56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S. R. Summerfelt, J. Müller, U. Schröder, and T. Mikolajick,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“Ten-nanometer ferroelectric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films for next-generation FRAM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capacitors,” IEEE Electron Dev. Lett, vol. 33, no. 9, pp. 1300–1302,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2012. </w:t>
      </w:r>
    </w:p>
    <w:p>
      <w:pPr>
        <w:autoSpaceDN w:val="0"/>
        <w:autoSpaceDE w:val="0"/>
        <w:widowControl/>
        <w:spacing w:line="245" w:lineRule="auto" w:before="56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Celinska, V. Joshi, S. Narayan, L. McMillan, and C. Paz de Araujo,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“Effects of scaling the film thickness on the ferroelectric properties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ultra thin films,” Appl. Phys. Lett, vol. 82, no. 22, pp. 3937–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3939, 2003. </w:t>
      </w:r>
    </w:p>
    <w:p>
      <w:pPr>
        <w:autoSpaceDN w:val="0"/>
        <w:tabs>
          <w:tab w:pos="514" w:val="left"/>
        </w:tabs>
        <w:autoSpaceDE w:val="0"/>
        <w:widowControl/>
        <w:spacing w:line="245" w:lineRule="auto" w:before="54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J. F. Scott, Ferroelectric Memories. Berlin / Heidelberg / New York: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Springer, 2000. </w:t>
      </w:r>
    </w:p>
    <w:p>
      <w:pPr>
        <w:autoSpaceDN w:val="0"/>
        <w:autoSpaceDE w:val="0"/>
        <w:widowControl/>
        <w:spacing w:line="245" w:lineRule="auto" w:before="52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[18]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C.-H. Cheng and A. Chin, “Low-leakage-current DRAM-like memory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using a one-transistor ferroelectric MOSFET with a Hf-based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dielectric,” IEEE Electron Device Lett, vol. 35, no. 1, pp. 138–140,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2014.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[19]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Sakai, X. Zhang, L. V. Hai, W. Zhang, and M. Takahashi,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“Downsizing and memory array integration of Pt/SrBi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/Hf-Al-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O/Si ferroelectric-gate field-effect transistors,” in 13th Non-Volatile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Memory Technology Symposium (NVMTS), Singapore, 2013, pp. 55–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59.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[20]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S. Sakai, R. Ilangovan, and M. Takahashi, “Pt/SrBi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Ta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9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/Hf-Al-O/Si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field-effect-transistor with long retention using unsaturated ferroelectric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polarization switching,” Jap. J. Apl. Phys, vol. 43, no. 11S, p. 7876,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2004. </w:t>
      </w:r>
    </w:p>
    <w:p>
      <w:pPr>
        <w:autoSpaceDN w:val="0"/>
        <w:autoSpaceDE w:val="0"/>
        <w:widowControl/>
        <w:spacing w:line="245" w:lineRule="auto" w:before="56" w:after="0"/>
        <w:ind w:left="514" w:right="2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[21]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E. Yurchuk, et al., “Origin of the endurance degradation in the novel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1T ferroelectric non-volatile memories,” in IEEE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International Reliability Physics Symposium (IRPS), 2014, pp. 2E.5.1 -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2E.5.5. </w:t>
      </w:r>
    </w:p>
    <w:p>
      <w:pPr>
        <w:autoSpaceDN w:val="0"/>
        <w:autoSpaceDE w:val="0"/>
        <w:widowControl/>
        <w:spacing w:line="245" w:lineRule="auto" w:before="56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[22]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“Ferroelectric Zr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Hf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thin films for nonvolatile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memory applications” Appl. Phys. Lett, vol. 99, no. 11, p. 112901, 2011. </w:t>
      </w:r>
    </w:p>
    <w:p>
      <w:pPr>
        <w:autoSpaceDN w:val="0"/>
        <w:autoSpaceDE w:val="0"/>
        <w:widowControl/>
        <w:spacing w:line="245" w:lineRule="auto" w:before="54" w:after="0"/>
        <w:ind w:left="514" w:right="0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[23]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K. Takahashi, K. Aizawa, B.-E. Park, and H. Ishiwara, “Thirty-day-long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data retention in ferroelectric-gate field-effect transistors with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 xml:space="preserve">2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buffer layers,” Jap. J. Apl. Phys, vol. 44, no. 8R, p. 6218, 2005. </w:t>
      </w:r>
    </w:p>
    <w:p>
      <w:pPr>
        <w:autoSpaceDN w:val="0"/>
        <w:autoSpaceDE w:val="0"/>
        <w:widowControl/>
        <w:spacing w:line="245" w:lineRule="auto" w:before="52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[24]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H. Bachhofer, H. Reisinger, E. Bertagnolli, and H. von Philipsborn,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“Transient conduction in multidielectric silicon–oxide–nitride–oxide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semiconductor structures,” J. Appl. Phys, vol. 89, no. 5, pp. 2791–2800,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2001.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[25]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J. Müller, et al., “Charge trapping in 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-based ferroelectric field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effect transistors: A fast transient characterization using pulsed Id-Vg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methodology,” in 17th Workshop on Dielectrics in Microelectronics,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Dresden, Germany, 2012. </w:t>
      </w:r>
    </w:p>
    <w:p>
      <w:pPr>
        <w:autoSpaceDN w:val="0"/>
        <w:autoSpaceDE w:val="0"/>
        <w:widowControl/>
        <w:spacing w:line="245" w:lineRule="auto" w:before="54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[26]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S. Müller, et al., “Performance Investigation and Optimization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Si:HfO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FeFETs on a 28 nm Bulk Technology,” in Applications of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Ferroelectric and Workshop on the Piezoresponse Force Microscopy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(ISAF/PFM), 2013 IEEE International Symposium on the, 2013,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248–251. </w:t>
      </w:r>
    </w:p>
    <w:p>
      <w:pPr>
        <w:autoSpaceDN w:val="0"/>
        <w:autoSpaceDE w:val="0"/>
        <w:widowControl/>
        <w:spacing w:line="245" w:lineRule="auto" w:before="56" w:after="0"/>
        <w:ind w:left="514" w:right="2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[27]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M. H. Park, H. J. Kim, Y. J. Kim, T. Moon, and C. S. Hwang, “The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effects of crystallographic orientation and strain of thin Hf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Zr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0.5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film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on its ferroelectricity,” Appl. Phys. Lett, vol. 104, no. 7, pp. 072901,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2014. </w:t>
      </w:r>
    </w:p>
    <w:p>
      <w:pPr>
        <w:autoSpaceDN w:val="0"/>
        <w:autoSpaceDE w:val="0"/>
        <w:widowControl/>
        <w:spacing w:line="245" w:lineRule="auto" w:before="56" w:after="0"/>
        <w:ind w:left="514" w:right="20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[28] Y. Morita, S. Migita, W. Mizubayashi, and H. Ota, “Extremely scaled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(</w:t>
      </w:r>
      <w:r>
        <w:rPr>
          <w:rFonts w:ascii="CambriaMath" w:hAnsi="CambriaMath" w:eastAsia="CambriaMath"/>
          <w:b w:val="0"/>
          <w:i w:val="0"/>
          <w:color w:val="000000"/>
          <w:sz w:val="16"/>
        </w:rPr>
        <w:t>∼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0.2 nm) equivalent oxide thickness of higher- k ( k = 40) HfO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gate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stacks prepared by atomic layer deposition and oxygen-controlled cap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post-deposition annealing,” Jap. J. Apl. Phys, vol. 51, no. 2S, pp.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02BA04, 2012. </w:t>
      </w:r>
    </w:p>
    <w:sectPr w:rsidR="00FC693F" w:rsidRPr="0006063C" w:rsidSect="00034616">
      <w:type w:val="nextColumn"/>
      <w:pgSz w:w="11904" w:h="16840"/>
      <w:pgMar w:top="538" w:right="668" w:bottom="1440" w:left="734" w:header="720" w:footer="720" w:gutter="0"/>
      <w:cols w:space="720" w:num="2" w:equalWidth="0">
        <w:col w:w="5246" w:space="0"/>
        <w:col w:w="5255" w:space="0"/>
        <w:col w:w="5246" w:space="0"/>
        <w:col w:w="5265" w:space="0"/>
        <w:col w:w="5258" w:space="0"/>
        <w:col w:w="5265" w:space="0"/>
        <w:col w:w="10523" w:space="0"/>
        <w:col w:w="5258" w:space="0"/>
        <w:col w:w="5265" w:space="0"/>
        <w:col w:w="5246" w:space="0"/>
        <w:col w:w="5292" w:space="0"/>
        <w:col w:w="10538" w:space="0"/>
        <w:col w:w="5246" w:space="0"/>
        <w:col w:w="5292" w:space="0"/>
        <w:col w:w="5246" w:space="0"/>
        <w:col w:w="5265" w:space="0"/>
        <w:col w:w="5246" w:space="0"/>
        <w:col w:w="5265" w:space="0"/>
        <w:col w:w="10511" w:space="0"/>
        <w:col w:w="5246" w:space="0"/>
        <w:col w:w="5265" w:space="0"/>
        <w:col w:w="10511" w:space="0"/>
        <w:col w:w="5244" w:space="0"/>
        <w:col w:w="5268" w:space="0"/>
        <w:col w:w="10511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