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326"/>
        <w:ind w:left="0" w:right="0"/>
      </w:pPr>
    </w:p>
    <w:p>
      <w:pPr>
        <w:autoSpaceDN w:val="0"/>
        <w:autoSpaceDE w:val="0"/>
        <w:widowControl/>
        <w:spacing w:line="245" w:lineRule="auto" w:before="0" w:after="0"/>
        <w:ind w:left="144" w:right="288" w:firstLine="0"/>
        <w:jc w:val="center"/>
      </w:pPr>
      <w:r>
        <w:rPr>
          <w:rFonts w:ascii="TimesNewRoman" w:hAnsi="TimesNewRoman" w:eastAsia="TimesNewRoman"/>
          <w:b w:val="0"/>
          <w:i w:val="0"/>
          <w:color w:val="000000"/>
          <w:sz w:val="48"/>
        </w:rPr>
        <w:t xml:space="preserve">Next Generation Ferroelectric Memories enabled by </w:t>
      </w:r>
      <w:r>
        <w:rPr>
          <w:rFonts w:ascii="TimesNewRoman" w:hAnsi="TimesNewRoman" w:eastAsia="TimesNewRoman"/>
          <w:b w:val="0"/>
          <w:i w:val="0"/>
          <w:color w:val="000000"/>
          <w:sz w:val="48"/>
        </w:rPr>
        <w:t xml:space="preserve">Hafnium Oxide </w:t>
      </w:r>
    </w:p>
    <w:p>
      <w:pPr>
        <w:autoSpaceDN w:val="0"/>
        <w:autoSpaceDE w:val="0"/>
        <w:widowControl/>
        <w:spacing w:line="245" w:lineRule="auto" w:before="324" w:after="0"/>
        <w:ind w:left="0" w:right="144" w:firstLine="0"/>
        <w:jc w:val="center"/>
      </w:pPr>
      <w:r>
        <w:rPr>
          <w:rFonts w:ascii="TimesNewRoman" w:hAnsi="TimesNewRoman" w:eastAsia="TimesNewRoman"/>
          <w:b w:val="0"/>
          <w:i w:val="0"/>
          <w:color w:val="000000"/>
          <w:sz w:val="22"/>
        </w:rPr>
        <w:t>T. Mikolajick</w:t>
      </w:r>
      <w:r>
        <w:rPr>
          <w:rFonts w:ascii="TimesNewRoman" w:hAnsi="TimesNewRoman" w:eastAsia="TimesNewRoman"/>
          <w:b w:val="0"/>
          <w:i w:val="0"/>
          <w:color w:val="000000"/>
          <w:sz w:val="14"/>
        </w:rPr>
        <w:t>1,2</w:t>
      </w:r>
      <w:r>
        <w:rPr>
          <w:rFonts w:ascii="TimesNewRoman" w:hAnsi="TimesNewRoman" w:eastAsia="TimesNewRoman"/>
          <w:b w:val="0"/>
          <w:i w:val="0"/>
          <w:color w:val="000000"/>
          <w:sz w:val="22"/>
        </w:rPr>
        <w:t>, U. Schroeder</w:t>
      </w:r>
      <w:r>
        <w:rPr>
          <w:rFonts w:ascii="TimesNewRoman" w:hAnsi="TimesNewRoman" w:eastAsia="TimesNewRoman"/>
          <w:b w:val="0"/>
          <w:i w:val="0"/>
          <w:color w:val="000000"/>
          <w:sz w:val="14"/>
        </w:rPr>
        <w:t>1</w:t>
      </w:r>
      <w:r>
        <w:rPr>
          <w:rFonts w:ascii="TimesNewRoman" w:hAnsi="TimesNewRoman" w:eastAsia="TimesNewRoman"/>
          <w:b w:val="0"/>
          <w:i w:val="0"/>
          <w:color w:val="000000"/>
          <w:sz w:val="22"/>
        </w:rPr>
        <w:t>, P. D. Lomenzo</w:t>
      </w:r>
      <w:r>
        <w:rPr>
          <w:rFonts w:ascii="TimesNewRoman" w:hAnsi="TimesNewRoman" w:eastAsia="TimesNewRoman"/>
          <w:b w:val="0"/>
          <w:i w:val="0"/>
          <w:color w:val="000000"/>
          <w:sz w:val="14"/>
        </w:rPr>
        <w:t>1</w:t>
      </w:r>
      <w:r>
        <w:rPr>
          <w:rFonts w:ascii="TimesNewRoman" w:hAnsi="TimesNewRoman" w:eastAsia="TimesNewRoman"/>
          <w:b w:val="0"/>
          <w:i w:val="0"/>
          <w:color w:val="000000"/>
          <w:sz w:val="22"/>
        </w:rPr>
        <w:t>, E. T. Breyer</w:t>
      </w:r>
      <w:r>
        <w:rPr>
          <w:rFonts w:ascii="TimesNewRoman" w:hAnsi="TimesNewRoman" w:eastAsia="TimesNewRoman"/>
          <w:b w:val="0"/>
          <w:i w:val="0"/>
          <w:color w:val="000000"/>
          <w:sz w:val="14"/>
        </w:rPr>
        <w:t>1</w:t>
      </w:r>
      <w:r>
        <w:rPr>
          <w:rFonts w:ascii="TimesNewRoman" w:hAnsi="TimesNewRoman" w:eastAsia="TimesNewRoman"/>
          <w:b w:val="0"/>
          <w:i w:val="0"/>
          <w:color w:val="000000"/>
          <w:sz w:val="22"/>
        </w:rPr>
        <w:t>, H. Mulaosmanovic</w:t>
      </w:r>
      <w:r>
        <w:rPr>
          <w:rFonts w:ascii="TimesNewRoman" w:hAnsi="TimesNewRoman" w:eastAsia="TimesNewRoman"/>
          <w:b w:val="0"/>
          <w:i w:val="0"/>
          <w:color w:val="000000"/>
          <w:sz w:val="14"/>
        </w:rPr>
        <w:t>1</w:t>
      </w:r>
      <w:r>
        <w:rPr>
          <w:rFonts w:ascii="TimesNewRoman" w:hAnsi="TimesNewRoman" w:eastAsia="TimesNewRoman"/>
          <w:b w:val="0"/>
          <w:i w:val="0"/>
          <w:color w:val="000000"/>
          <w:sz w:val="22"/>
        </w:rPr>
        <w:t>, M. Hoffmann</w:t>
      </w:r>
      <w:r>
        <w:rPr>
          <w:rFonts w:ascii="TimesNewRoman" w:hAnsi="TimesNewRoman" w:eastAsia="TimesNewRoman"/>
          <w:b w:val="0"/>
          <w:i w:val="0"/>
          <w:color w:val="000000"/>
          <w:sz w:val="14"/>
        </w:rPr>
        <w:t>1</w:t>
      </w:r>
      <w:r>
        <w:rPr>
          <w:rFonts w:ascii="TimesNewRoman" w:hAnsi="TimesNewRoman" w:eastAsia="TimesNewRoman"/>
          <w:b w:val="0"/>
          <w:i w:val="0"/>
          <w:color w:val="000000"/>
          <w:sz w:val="22"/>
        </w:rPr>
        <w:t>, T. Mittmann</w:t>
      </w:r>
      <w:r>
        <w:rPr>
          <w:rFonts w:ascii="TimesNewRoman" w:hAnsi="TimesNewRoman" w:eastAsia="TimesNewRoman"/>
          <w:b w:val="0"/>
          <w:i w:val="0"/>
          <w:color w:val="000000"/>
          <w:sz w:val="14"/>
        </w:rPr>
        <w:t>1</w:t>
      </w:r>
      <w:r>
        <w:rPr>
          <w:rFonts w:ascii="TimesNewRoman" w:hAnsi="TimesNewRoman" w:eastAsia="TimesNewRoman"/>
          <w:b w:val="0"/>
          <w:i w:val="0"/>
          <w:color w:val="000000"/>
          <w:sz w:val="22"/>
        </w:rPr>
        <w:t xml:space="preserve">, F. </w:t>
      </w:r>
      <w:r>
        <w:rPr>
          <w:rFonts w:ascii="TimesNewRoman" w:hAnsi="TimesNewRoman" w:eastAsia="TimesNewRoman"/>
          <w:b w:val="0"/>
          <w:i w:val="0"/>
          <w:color w:val="000000"/>
          <w:sz w:val="22"/>
        </w:rPr>
        <w:t>Mehmood</w:t>
      </w:r>
      <w:r>
        <w:rPr>
          <w:rFonts w:ascii="TimesNewRoman" w:hAnsi="TimesNewRoman" w:eastAsia="TimesNewRoman"/>
          <w:b w:val="0"/>
          <w:i w:val="0"/>
          <w:color w:val="000000"/>
          <w:sz w:val="14"/>
        </w:rPr>
        <w:t>1</w:t>
      </w:r>
      <w:r>
        <w:rPr>
          <w:rFonts w:ascii="TimesNewRoman" w:hAnsi="TimesNewRoman" w:eastAsia="TimesNewRoman"/>
          <w:b w:val="0"/>
          <w:i w:val="0"/>
          <w:color w:val="000000"/>
          <w:sz w:val="22"/>
        </w:rPr>
        <w:t>, B. Max</w:t>
      </w:r>
      <w:r>
        <w:rPr>
          <w:rFonts w:ascii="TimesNewRoman" w:hAnsi="TimesNewRoman" w:eastAsia="TimesNewRoman"/>
          <w:b w:val="0"/>
          <w:i w:val="0"/>
          <w:color w:val="000000"/>
          <w:sz w:val="14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2"/>
        </w:rPr>
        <w:t>, and S. Slesazeck</w:t>
      </w:r>
      <w:r>
        <w:rPr>
          <w:rFonts w:ascii="TimesNewRoman" w:hAnsi="TimesNewRoman" w:eastAsia="TimesNewRoman"/>
          <w:b w:val="0"/>
          <w:i w:val="0"/>
          <w:color w:val="000000"/>
          <w:sz w:val="14"/>
        </w:rPr>
        <w:t>1</w:t>
      </w:r>
    </w:p>
    <w:p>
      <w:pPr>
        <w:autoSpaceDN w:val="0"/>
        <w:autoSpaceDE w:val="0"/>
        <w:widowControl/>
        <w:spacing w:line="245" w:lineRule="auto" w:before="232" w:after="238"/>
        <w:ind w:left="720" w:right="1008" w:firstLine="0"/>
        <w:jc w:val="center"/>
      </w:pPr>
      <w:r>
        <w:rPr>
          <w:rFonts w:ascii="TimesNewRoman" w:hAnsi="TimesNewRoman" w:eastAsia="TimesNewRoman"/>
          <w:b w:val="0"/>
          <w:i w:val="0"/>
          <w:color w:val="000000"/>
          <w:sz w:val="13"/>
        </w:rPr>
        <w:t>1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NaMLab gGmbH, Noethnitzer Strasse 64 a, 01187 Dresden, Germany, email: </w:t>
      </w:r>
      <w:r>
        <w:rPr>
          <w:rFonts w:ascii="TimesNewRoman" w:hAnsi="TimesNewRoman" w:eastAsia="TimesNewRoman"/>
          <w:b w:val="0"/>
          <w:i w:val="0"/>
          <w:color w:val="0000FF"/>
          <w:sz w:val="20"/>
          <w:u w:val="single"/>
        </w:rPr>
        <w:t xml:space="preserve">thomas.mikolajick@namlab.com 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Institute of Semiconductors and Microsystems, TU Dresden, 01062 Dresden, Germany,</w:t>
      </w:r>
    </w:p>
    <w:p>
      <w:pPr>
        <w:sectPr>
          <w:pgSz w:w="12240" w:h="15840"/>
          <w:pgMar w:top="548" w:right="610" w:bottom="158" w:left="880" w:header="720" w:footer="720" w:gutter="0"/>
          <w:cols w:space="720" w:num="1" w:equalWidth="0">
            <w:col w:w="10750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0"/>
        <w:ind w:left="140" w:right="100" w:firstLine="0"/>
        <w:jc w:val="both"/>
      </w:pPr>
      <w:r>
        <w:rPr>
          <w:rFonts w:ascii="TimesNewRoman,BoldItalic" w:hAnsi="TimesNewRoman,BoldItalic" w:eastAsia="TimesNewRoman,BoldItalic"/>
          <w:b/>
          <w:i/>
          <w:color w:val="000000"/>
          <w:sz w:val="20"/>
        </w:rPr>
        <w:t>Abstract</w:t>
      </w: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>—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Ferroelectrics are theoretically an ideal solution for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low write power nonvolatile memories. However,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complexity of ferroelectric perovskites has hindered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scaling of such devices to competitive feature sizes.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discovery of ferroelectricity in hafnium oxide solved this issue.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Ferroelectric memories in three variants, capacitor based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ferroelectric RAM, ferroelectric field effect transistors and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ferroelectric tunneling junctions have become competitors for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future memory solutions again. In this paper, the basics and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current status of hafnium oxide based ferroelectric memory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devices is described and recent results are shown. </w:t>
      </w:r>
    </w:p>
    <w:p>
      <w:pPr>
        <w:autoSpaceDN w:val="0"/>
        <w:tabs>
          <w:tab w:pos="2296" w:val="left"/>
        </w:tabs>
        <w:autoSpaceDE w:val="0"/>
        <w:widowControl/>
        <w:spacing w:line="230" w:lineRule="auto" w:before="218" w:after="0"/>
        <w:ind w:left="1876" w:right="0" w:firstLine="0"/>
        <w:jc w:val="left"/>
      </w:pP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 xml:space="preserve">I. </w:t>
      </w:r>
      <w:r>
        <w:tab/>
      </w: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>I</w:t>
      </w:r>
      <w:r>
        <w:rPr>
          <w:rFonts w:ascii="TimesNewRoman,Bold" w:hAnsi="TimesNewRoman,Bold" w:eastAsia="TimesNewRoman,Bold"/>
          <w:b/>
          <w:i w:val="0"/>
          <w:color w:val="000000"/>
          <w:sz w:val="16"/>
        </w:rPr>
        <w:t>NTRODUCTION</w:t>
      </w:r>
    </w:p>
    <w:p>
      <w:pPr>
        <w:autoSpaceDN w:val="0"/>
        <w:autoSpaceDE w:val="0"/>
        <w:widowControl/>
        <w:spacing w:line="245" w:lineRule="auto" w:before="80" w:after="0"/>
        <w:ind w:left="140" w:right="98" w:firstLine="288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Ferroelectrics are materials that show a remanent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polarization that can be switched between two directions using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an electrical field. The stable nonvolatile polarization paired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with the purely field driven switching, make this class of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materials a natural choice for nonvolatile memories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overcoming the write inefficiency of most other emerging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nonvolatile memory concepts [1]. However, typically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materials that show ferroelectricity have a complex structure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with three or more compounds and in the case of oxides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normally weakly bound oxygen (see fig. 1 b). These properties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make them very hard to integrate into a state of the art CMOS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process [2]. As a result, the established ferroelectric memory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technologies are limited in scaling and therefore are only used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in niche applications. Thus, after an intense phase of research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and development between the late 1990s and the mid 2000s,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interest in ferroelectrics for memory applications diminished.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 discovery of ferroelectricity in doped hafnium oxide (see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fig. 1a) has changed that view since hafnium oxide is used as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 gate dielectric in modern transistors since 2007.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Traditionally, a 1 transistor – 1 capacitor cell (FeRAM see fig.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2a) inspired by DRAM is used in established ferroelectric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memory devices. An alternative way is to integrate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ferroelectric into the gate stack of an MOS transistor (FeFET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see fig. 2b). Finally, a resistive switching ferroelectric tunneling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junction can be achieved when the ferroelectric is made very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thin and allows for a polarization dependent tunneling current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(FTJ see fig. 2c). All three memory concepts have seen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increased activities by using hafnium oxide based ferroelectrics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rather than traditional perovskites or layered perovskites. </w:t>
      </w:r>
    </w:p>
    <w:p>
      <w:pPr>
        <w:sectPr>
          <w:type w:val="continuous"/>
          <w:pgSz w:w="12240" w:h="15840"/>
          <w:pgMar w:top="548" w:right="610" w:bottom="158" w:left="880" w:header="720" w:footer="720" w:gutter="0"/>
          <w:cols w:space="720" w:num="2" w:equalWidth="0">
            <w:col w:w="5264" w:space="0"/>
            <w:col w:w="5486" w:space="0"/>
            <w:col w:w="10750" w:space="0"/>
          </w:cols>
          <w:docGrid w:linePitch="360"/>
        </w:sectPr>
      </w:pPr>
    </w:p>
    <w:p>
      <w:pPr>
        <w:autoSpaceDN w:val="0"/>
        <w:autoSpaceDE w:val="0"/>
        <w:widowControl/>
        <w:spacing w:line="235" w:lineRule="auto" w:before="0" w:after="0"/>
        <w:ind w:left="814" w:right="0" w:firstLine="0"/>
        <w:jc w:val="left"/>
      </w:pP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>II.</w:t>
      </w: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>F</w:t>
      </w:r>
      <w:r>
        <w:rPr>
          <w:rFonts w:ascii="TimesNewRoman,Bold" w:hAnsi="TimesNewRoman,Bold" w:eastAsia="TimesNewRoman,Bold"/>
          <w:b/>
          <w:i w:val="0"/>
          <w:color w:val="000000"/>
          <w:sz w:val="16"/>
        </w:rPr>
        <w:t xml:space="preserve">ERROELECTRICITY IN </w:t>
      </w: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>H</w:t>
      </w:r>
      <w:r>
        <w:rPr>
          <w:rFonts w:ascii="TimesNewRoman,Bold" w:hAnsi="TimesNewRoman,Bold" w:eastAsia="TimesNewRoman,Bold"/>
          <w:b/>
          <w:i w:val="0"/>
          <w:color w:val="000000"/>
          <w:sz w:val="16"/>
        </w:rPr>
        <w:t>AFNIUM OXIDE</w:t>
      </w:r>
    </w:p>
    <w:p>
      <w:pPr>
        <w:autoSpaceDN w:val="0"/>
        <w:autoSpaceDE w:val="0"/>
        <w:widowControl/>
        <w:spacing w:line="245" w:lineRule="auto" w:before="80" w:after="0"/>
        <w:ind w:left="100" w:right="360" w:firstLine="288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First results were achieved using silicon as a dopant [3]. In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 following years, many dopants like Y, Al, Sr, La, Ge, N, etc.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were successfully utilized to achieve ferroelectricity. Among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 different variants, a special emphasis is on solid solutions of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hafnium and zirconium since this material system makes a wide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process window for the dopants possible, which results in an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inherently stable process and also enables rather low annealing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temperatures [4]. Since ferroelectricity is a material property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that requires a crystalline structure (see fig. 1), typically an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annealing step is carried out after the film deposition or more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frequently even after top-electrode deposition. When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comparing the properties of ferroelectric hafnium oxide with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those of perovskite based ferroelectrics (Table I), the most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striking differences are the very high coercive field and the low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relative permittivity of HfO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. </w:t>
      </w:r>
    </w:p>
    <w:p>
      <w:pPr>
        <w:autoSpaceDN w:val="0"/>
        <w:autoSpaceDE w:val="0"/>
        <w:widowControl/>
        <w:spacing w:line="245" w:lineRule="auto" w:before="126" w:after="4"/>
        <w:ind w:left="100" w:right="360" w:firstLine="216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It was confirmed in 2015 that the phase leading to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ferroelectricity in hafnium oxide is the orthorhombic Pca21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phase [5]. This phase is not stable in bulk hafnium oxide.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exact mechanism of its stabilization in thin films is still a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matter of intense research. Surface and interface energy have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been proposed to play a major role. However, although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experiments show the expected trends from such a model,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there are also some important deviations. It has been recently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6.00000000000023" w:type="dxa"/>
      </w:tblPr>
      <w:tblGrid>
        <w:gridCol w:w="1344"/>
        <w:gridCol w:w="1344"/>
        <w:gridCol w:w="1344"/>
        <w:gridCol w:w="1344"/>
        <w:gridCol w:w="1344"/>
        <w:gridCol w:w="1344"/>
        <w:gridCol w:w="1344"/>
        <w:gridCol w:w="1344"/>
      </w:tblGrid>
      <w:tr>
        <w:trPr>
          <w:trHeight w:hRule="exact" w:val="210"/>
        </w:trPr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considered, 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that 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the </w:t>
            </w:r>
          </w:p>
        </w:tc>
        <w:tc>
          <w:tcPr>
            <w:tcW w:type="dxa" w:w="8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kinetic 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106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barrier </w:t>
            </w:r>
          </w:p>
        </w:tc>
        <w:tc>
          <w:tcPr>
            <w:tcW w:type="dxa" w:w="1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214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between 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the </w:t>
            </w:r>
          </w:p>
        </w:tc>
      </w:tr>
      <w:tr>
        <w:trPr>
          <w:trHeight w:hRule="exact" w:val="248"/>
        </w:trPr>
        <w:tc>
          <w:tcPr>
            <w:tcW w:type="dxa" w:w="17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4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thermodynamically </w:t>
            </w:r>
          </w:p>
        </w:tc>
        <w:tc>
          <w:tcPr>
            <w:tcW w:type="dxa" w:w="7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4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stable </w:t>
            </w:r>
          </w:p>
        </w:tc>
        <w:tc>
          <w:tcPr>
            <w:tcW w:type="dxa" w:w="12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4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monoclinic, </w:t>
            </w:r>
          </w:p>
        </w:tc>
        <w:tc>
          <w:tcPr>
            <w:tcW w:type="dxa" w:w="1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4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tetragonal, 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4" w:after="0"/>
              <w:ind w:left="88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and </w:t>
            </w:r>
          </w:p>
        </w:tc>
      </w:tr>
    </w:tbl>
    <w:p>
      <w:pPr>
        <w:autoSpaceDN w:val="0"/>
        <w:autoSpaceDE w:val="0"/>
        <w:widowControl/>
        <w:spacing w:line="245" w:lineRule="auto" w:before="6" w:after="1766"/>
        <w:ind w:left="100" w:right="360" w:firstLine="0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orthorhombic phases is important in avoiding the monoclinic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phase, such that during cool down existing crystalline regions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can be transformed from the tetragonal to the ferroelectric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orthorhombic phase [6]. This understanding was substantiated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by results from sputter deposited layers that showed that a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higher oxygen content, leading to a higher fraction of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monoclinic grains, can suppress the ferroelectricity in pure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hafnium oxide while sputtering under oxygen deficient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conditions can even help to make undoped hafnium oxide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ferroelectric in a wide thickness range. Although these and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related experiments help to get a basic understanding of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factors that need to be controlled to receive a high ferroelectric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phase fraction, the complete understanding of the influences of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doping, stress, oxygen content, surface energy and their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interaction is still a topic of intense research. </w:t>
      </w:r>
    </w:p>
    <w:p>
      <w:pPr>
        <w:sectPr>
          <w:type w:val="nextColumn"/>
          <w:pgSz w:w="12240" w:h="15840"/>
          <w:pgMar w:top="548" w:right="610" w:bottom="158" w:left="880" w:header="720" w:footer="720" w:gutter="0"/>
          <w:cols w:space="720" w:num="2" w:equalWidth="0">
            <w:col w:w="5264" w:space="0"/>
            <w:col w:w="5486" w:space="0"/>
            <w:col w:w="1075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583"/>
        <w:gridCol w:w="3583"/>
        <w:gridCol w:w="3583"/>
      </w:tblGrid>
      <w:tr>
        <w:trPr>
          <w:trHeight w:hRule="exact" w:val="182"/>
        </w:trPr>
        <w:tc>
          <w:tcPr>
            <w:tcW w:type="dxa" w:w="4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>978-1-7281-4032-2/19/$31.00 ©2019 IEEE</w:t>
            </w:r>
          </w:p>
        </w:tc>
        <w:tc>
          <w:tcPr>
            <w:tcW w:type="dxa" w:w="3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0" w:right="2134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>15.5.1</w:t>
            </w:r>
          </w:p>
        </w:tc>
        <w:tc>
          <w:tcPr>
            <w:tcW w:type="dxa" w:w="3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0" w:right="1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>IEDM19-354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2240" w:h="15840"/>
          <w:pgMar w:top="548" w:right="610" w:bottom="158" w:left="880" w:header="720" w:footer="720" w:gutter="0"/>
          <w:cols w:space="720" w:num="1" w:equalWidth="0">
            <w:col w:w="10750" w:space="0"/>
            <w:col w:w="5264" w:space="0"/>
            <w:col w:w="5486" w:space="0"/>
            <w:col w:w="1075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10"/>
        <w:ind w:left="0" w:right="0"/>
      </w:pPr>
    </w:p>
    <w:p>
      <w:pPr>
        <w:sectPr>
          <w:pgSz w:w="12240" w:h="15840"/>
          <w:pgMar w:top="626" w:right="950" w:bottom="158" w:left="630" w:header="720" w:footer="720" w:gutter="0"/>
          <w:cols w:space="720" w:num="1" w:equalWidth="0">
            <w:col w:w="10750" w:space="0"/>
            <w:col w:w="5264" w:space="0"/>
            <w:col w:w="5486" w:space="0"/>
            <w:col w:w="10750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auto" w:before="0" w:after="0"/>
        <w:ind w:left="0" w:right="1112" w:firstLine="0"/>
        <w:jc w:val="right"/>
      </w:pP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>III.</w:t>
      </w: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>C</w:t>
      </w:r>
      <w:r>
        <w:rPr>
          <w:rFonts w:ascii="TimesNewRoman,Bold" w:hAnsi="TimesNewRoman,Bold" w:eastAsia="TimesNewRoman,Bold"/>
          <w:b/>
          <w:i w:val="0"/>
          <w:color w:val="000000"/>
          <w:sz w:val="16"/>
        </w:rPr>
        <w:t xml:space="preserve">APACITOR BASED </w:t>
      </w: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>F</w:t>
      </w:r>
      <w:r>
        <w:rPr>
          <w:rFonts w:ascii="TimesNewRoman,Bold" w:hAnsi="TimesNewRoman,Bold" w:eastAsia="TimesNewRoman,Bold"/>
          <w:b/>
          <w:i w:val="0"/>
          <w:color w:val="000000"/>
          <w:sz w:val="16"/>
        </w:rPr>
        <w:t>E</w:t>
      </w: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 xml:space="preserve">RAM </w:t>
      </w:r>
    </w:p>
    <w:p>
      <w:pPr>
        <w:autoSpaceDN w:val="0"/>
        <w:autoSpaceDE w:val="0"/>
        <w:widowControl/>
        <w:spacing w:line="245" w:lineRule="auto" w:before="84" w:after="0"/>
        <w:ind w:left="390" w:right="100" w:firstLine="288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>A natural way of utilizing the new possibilities given by the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ferroelectricity in hafnium oxide is to replace the currently used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perovskite based ferroelectric in a capacitor based FeRAM (fig.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2 a and fig. 3). However, like in DRAMs, a minimum charge is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required to allow stable sensing during read (fig. 3c). Therefore,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below the 90nm generation a DRAM-like stacked capacitor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would be required. Attempts to realize 3D integration of PZT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were not successful so far [7]. In contrast, the well-established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atomic layer processes for HfO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allow to easily integrate the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material into a 3D stacked capacitor [8]. An alternative way was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recently proposed using a 2T-1C cell where the capacitor is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coupled to the gate of a read transistor (TR)  and a second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transistor (TP) is used to precharge the internal floating  node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SN (see fig. 4) [9]. In such an arrangement, the inherent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amplification of the read transistor enables the sensing of very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small switching currents, making the sensing of scaled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capacitors possible (see fig. 5). However, for a device to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challenge DRAM, unlimited endurance is necessary. In this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respect the high fields in hafnium oxide based ferroelectrics,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which are a consequence of the low layer thickness, paired with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the high coercive field, becomes a major limiter. Although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recently the understanding, and with this, the enhancement of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the cycling endurance has increased (e.g. additional La doping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can increase the endurance, see. Fig. 6), making it possible to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foresee a cycling endurance of 10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10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– 10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12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. However, unlimited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endurance remains a severe challenge. Moreover, the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unavoidable depolarization fields become more critical in the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thin layer regime as can be seen from fig.7. Therefore,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reliability needs careful optimization. An interesting alternative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was proposed three years ago [10] using an antiferroelectric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material combined with a built in bias field. Test capacitors that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use this antiferroelectric RAM concept show improved cycling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and imprint behavior. </w:t>
      </w:r>
    </w:p>
    <w:p>
      <w:pPr>
        <w:autoSpaceDN w:val="0"/>
        <w:autoSpaceDE w:val="0"/>
        <w:widowControl/>
        <w:spacing w:line="230" w:lineRule="auto" w:before="136" w:after="0"/>
        <w:ind w:left="896" w:right="0" w:firstLine="0"/>
        <w:jc w:val="left"/>
      </w:pP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>IV.</w:t>
      </w: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>F</w:t>
      </w:r>
      <w:r>
        <w:rPr>
          <w:rFonts w:ascii="TimesNewRoman,Bold" w:hAnsi="TimesNewRoman,Bold" w:eastAsia="TimesNewRoman,Bold"/>
          <w:b/>
          <w:i w:val="0"/>
          <w:color w:val="000000"/>
          <w:sz w:val="16"/>
        </w:rPr>
        <w:t xml:space="preserve">ERROELECTRIC </w:t>
      </w: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>F</w:t>
      </w:r>
      <w:r>
        <w:rPr>
          <w:rFonts w:ascii="TimesNewRoman,Bold" w:hAnsi="TimesNewRoman,Bold" w:eastAsia="TimesNewRoman,Bold"/>
          <w:b/>
          <w:i w:val="0"/>
          <w:color w:val="000000"/>
          <w:sz w:val="16"/>
        </w:rPr>
        <w:t xml:space="preserve">IELD </w:t>
      </w: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>E</w:t>
      </w:r>
      <w:r>
        <w:rPr>
          <w:rFonts w:ascii="TimesNewRoman,Bold" w:hAnsi="TimesNewRoman,Bold" w:eastAsia="TimesNewRoman,Bold"/>
          <w:b/>
          <w:i w:val="0"/>
          <w:color w:val="000000"/>
          <w:sz w:val="16"/>
        </w:rPr>
        <w:t>FFECT TRANSISTOR</w:t>
      </w:r>
    </w:p>
    <w:p>
      <w:pPr>
        <w:autoSpaceDN w:val="0"/>
        <w:autoSpaceDE w:val="0"/>
        <w:widowControl/>
        <w:spacing w:line="245" w:lineRule="auto" w:before="82" w:after="0"/>
        <w:ind w:left="390" w:right="98" w:firstLine="288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When a ferroelectric is integrated into the gate stack of a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MOS transistor, the V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T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of the device will depend on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polarization direction of the ferroelectric. This approach can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overcome the scaling limitations of capacitor based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ferroelectric memories since the inherent amplification of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transistor allows a constant charge per area rather than a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constant absolute charge for proper sensing. Hafnium oxide is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especially suited to realize ferroelectric field effect devices.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high coercive field allows for a reasonably sized memory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window even in thin films and it also helps to stabilize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retention while the low permittivity reduces the depolarization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field. Using such thin films, the material can be integrated into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various existing and emerging transistor architectures as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illustrated in fig. 8. Moreover, hafnium oxide is the standard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gate dielectric in modern CMOS processes, and therefore,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integration into a CMOS process can be done with little process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overhead [11]. Fig. 9 illustrates that a standard CMOS device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can be integrated next to a FeFET device using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Globalfoundries 28nm FeFET process without deteriorating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either the FeFET or the standard CMOS device performance.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Full memory arrays show promising performance [11]. </w:t>
      </w:r>
    </w:p>
    <w:p>
      <w:pPr>
        <w:sectPr>
          <w:type w:val="continuous"/>
          <w:pgSz w:w="12240" w:h="15840"/>
          <w:pgMar w:top="626" w:right="950" w:bottom="158" w:left="630" w:header="720" w:footer="720" w:gutter="0"/>
          <w:cols w:space="720" w:num="2" w:equalWidth="0">
            <w:col w:w="5514" w:space="0"/>
            <w:col w:w="5146" w:space="0"/>
            <w:col w:w="10750" w:space="0"/>
            <w:col w:w="5264" w:space="0"/>
            <w:col w:w="5486" w:space="0"/>
            <w:col w:w="10750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74"/>
        <w:ind w:left="100" w:right="20" w:firstLine="0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Therefore, realizing a low cost embedded nonvolatile memory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is in reach. In scaled down devices, new effects are discovered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which are attributed to the fact that small devices contain only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a limited number of domains [12]. These, together with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possibility to integrate the FeFETs very close to other CMOS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devices, open the path towards overcoming the von-Neumann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bottleneck. When the stored information inside a FeFET is used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as one input variable, calculations with this variable can be done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without a memory access [13]. Such gates can be cascaded as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shown in fig. 10. Moreover, the accumulative switching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dynamics observed in scaled down devices can be utilized to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realize the integrate-and-fire behavior of a neuron [14], while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 continuous switching of larger devices allows one to realize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 spike time dependent plasticity (STDP) of a synapse [15].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76.00000000000023" w:type="dxa"/>
      </w:tblPr>
      <w:tblGrid>
        <w:gridCol w:w="1523"/>
        <w:gridCol w:w="1523"/>
        <w:gridCol w:w="1523"/>
        <w:gridCol w:w="1523"/>
        <w:gridCol w:w="1523"/>
        <w:gridCol w:w="1523"/>
        <w:gridCol w:w="1523"/>
      </w:tblGrid>
      <w:tr>
        <w:trPr>
          <w:trHeight w:hRule="exact" w:val="304"/>
        </w:trPr>
        <w:tc>
          <w:tcPr>
            <w:tcW w:type="dxa" w:w="6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362" w:after="0"/>
              <w:ind w:left="0" w:right="68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The </w:t>
            </w:r>
          </w:p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2" w:after="0"/>
              <w:ind w:left="0" w:right="0" w:firstLine="0"/>
              <w:jc w:val="center"/>
            </w:pPr>
            <w:r>
              <w:rPr>
                <w:rFonts w:ascii="TimesNewRoman,Bold" w:hAnsi="TimesNewRoman,Bold" w:eastAsia="TimesNewRoman,Bold"/>
                <w:b/>
                <w:i w:val="0"/>
                <w:color w:val="000000"/>
                <w:sz w:val="20"/>
              </w:rPr>
              <w:t>V.</w:t>
            </w:r>
          </w:p>
        </w:tc>
        <w:tc>
          <w:tcPr>
            <w:tcW w:type="dxa" w:w="352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118" w:right="0" w:firstLine="0"/>
              <w:jc w:val="left"/>
            </w:pPr>
            <w:r>
              <w:rPr>
                <w:rFonts w:ascii="TimesNewRoman,Bold" w:hAnsi="TimesNewRoman,Bold" w:eastAsia="TimesNewRoman,Bold"/>
                <w:b/>
                <w:i w:val="0"/>
                <w:color w:val="000000"/>
                <w:sz w:val="20"/>
              </w:rPr>
              <w:t>F</w:t>
            </w:r>
            <w:r>
              <w:rPr>
                <w:rFonts w:ascii="TimesNewRoman,Bold" w:hAnsi="TimesNewRoman,Bold" w:eastAsia="TimesNewRoman,Bold"/>
                <w:b/>
                <w:i w:val="0"/>
                <w:color w:val="000000"/>
                <w:sz w:val="16"/>
              </w:rPr>
              <w:t xml:space="preserve">ERROELECTRIC </w:t>
            </w:r>
            <w:r>
              <w:rPr>
                <w:rFonts w:ascii="TimesNewRoman,Bold" w:hAnsi="TimesNewRoman,Bold" w:eastAsia="TimesNewRoman,Bold"/>
                <w:b/>
                <w:i w:val="0"/>
                <w:color w:val="000000"/>
                <w:sz w:val="20"/>
              </w:rPr>
              <w:t>T</w:t>
            </w:r>
            <w:r>
              <w:rPr>
                <w:rFonts w:ascii="TimesNewRoman,Bold" w:hAnsi="TimesNewRoman,Bold" w:eastAsia="TimesNewRoman,Bold"/>
                <w:b/>
                <w:i w:val="0"/>
                <w:color w:val="000000"/>
                <w:sz w:val="16"/>
              </w:rPr>
              <w:t xml:space="preserve">UNNEL </w:t>
            </w:r>
            <w:r>
              <w:rPr>
                <w:rFonts w:ascii="TimesNewRoman,Bold" w:hAnsi="TimesNewRoman,Bold" w:eastAsia="TimesNewRoman,Bold"/>
                <w:b/>
                <w:i w:val="0"/>
                <w:color w:val="000000"/>
                <w:sz w:val="20"/>
              </w:rPr>
              <w:t>J</w:t>
            </w:r>
            <w:r>
              <w:rPr>
                <w:rFonts w:ascii="TimesNewRoman,Bold" w:hAnsi="TimesNewRoman,Bold" w:eastAsia="TimesNewRoman,Bold"/>
                <w:b/>
                <w:i w:val="0"/>
                <w:color w:val="000000"/>
                <w:sz w:val="16"/>
              </w:rPr>
              <w:t>UNCTIONS</w:t>
            </w:r>
          </w:p>
        </w:tc>
        <w:tc>
          <w:tcPr>
            <w:tcW w:type="dxa" w:w="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362" w:after="0"/>
              <w:ind w:left="0" w:right="0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the </w:t>
            </w:r>
          </w:p>
        </w:tc>
      </w:tr>
      <w:tr>
        <w:trPr>
          <w:trHeight w:hRule="exact" w:val="284"/>
        </w:trPr>
        <w:tc>
          <w:tcPr>
            <w:tcW w:type="dxa" w:w="1523"/>
            <w:vMerge/>
            <w:tcBorders/>
          </w:tcPr>
          <w:p/>
        </w:tc>
        <w:tc>
          <w:tcPr>
            <w:tcW w:type="dxa" w:w="12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58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ferroelectric </w:t>
            </w:r>
          </w:p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58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tunneling 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58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junction 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58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requires </w:t>
            </w:r>
          </w:p>
        </w:tc>
        <w:tc>
          <w:tcPr>
            <w:tcW w:type="dxa" w:w="1523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45" w:lineRule="auto" w:before="4" w:after="0"/>
        <w:ind w:left="100" w:right="20" w:firstLine="0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ferroelectric to be scaled down to a thickness in the 3nm range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or below. Under conditions that are practically relevant for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CMOS integration, this is a non-trivial task in hafnium oxide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based ferroelectrics. However, when the ferroelectric is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combined with a thin tunneling barrier, the switching and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tunneling can be decoupled to a certain degree [16,17] (see fig.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11 and fig. 12a)). A critical issue here is the low read current.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Again, the circuit presented in fig. 4 could be an ideal fit. Fig.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12b shows first results of such an approach operating a FeFET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in FTJ mode. </w:t>
      </w:r>
    </w:p>
    <w:p>
      <w:pPr>
        <w:autoSpaceDN w:val="0"/>
        <w:autoSpaceDE w:val="0"/>
        <w:widowControl/>
        <w:spacing w:line="230" w:lineRule="auto" w:before="134" w:after="0"/>
        <w:ind w:left="0" w:right="1804" w:firstLine="0"/>
        <w:jc w:val="right"/>
      </w:pP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>VI.</w:t>
      </w: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>S</w:t>
      </w:r>
      <w:r>
        <w:rPr>
          <w:rFonts w:ascii="TimesNewRoman,Bold" w:hAnsi="TimesNewRoman,Bold" w:eastAsia="TimesNewRoman,Bold"/>
          <w:b/>
          <w:i w:val="0"/>
          <w:color w:val="000000"/>
          <w:sz w:val="16"/>
        </w:rPr>
        <w:t>UMMARY</w:t>
      </w:r>
    </w:p>
    <w:p>
      <w:pPr>
        <w:autoSpaceDN w:val="0"/>
        <w:autoSpaceDE w:val="0"/>
        <w:widowControl/>
        <w:spacing w:line="245" w:lineRule="auto" w:before="84" w:after="0"/>
        <w:ind w:left="100" w:right="20" w:firstLine="0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Ferroelectricity in hafnium oxide overcomes the CMOS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integration challenges observed with perovskite ferroelectrics.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 material innovation has brought a new phase of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innovations to all three basic versions of ferroelectric memory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devices: FeRAM, FeFET and FTJ. </w:t>
      </w:r>
    </w:p>
    <w:p>
      <w:pPr>
        <w:autoSpaceDN w:val="0"/>
        <w:autoSpaceDE w:val="0"/>
        <w:widowControl/>
        <w:spacing w:line="233" w:lineRule="auto" w:before="170" w:after="44"/>
        <w:ind w:left="0" w:right="0" w:firstLine="0"/>
        <w:jc w:val="center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>A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CKNOWLEDGMENT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6.00000000000023" w:type="dxa"/>
      </w:tblPr>
      <w:tblGrid>
        <w:gridCol w:w="1777"/>
        <w:gridCol w:w="1777"/>
        <w:gridCol w:w="1777"/>
        <w:gridCol w:w="1777"/>
        <w:gridCol w:w="1777"/>
        <w:gridCol w:w="1777"/>
      </w:tblGrid>
      <w:tr>
        <w:trPr>
          <w:trHeight w:hRule="exact" w:val="266"/>
        </w:trPr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2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The 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2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authors </w:t>
            </w:r>
          </w:p>
        </w:tc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2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gratefully </w:t>
            </w:r>
          </w:p>
        </w:tc>
        <w:tc>
          <w:tcPr>
            <w:tcW w:type="dxa" w:w="1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2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acknowledge 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2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support </w:t>
            </w:r>
          </w:p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2" w:after="0"/>
              <w:ind w:left="0" w:right="0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by </w:t>
            </w:r>
          </w:p>
        </w:tc>
      </w:tr>
    </w:tbl>
    <w:p>
      <w:pPr>
        <w:autoSpaceDN w:val="0"/>
        <w:autoSpaceDE w:val="0"/>
        <w:widowControl/>
        <w:spacing w:line="245" w:lineRule="auto" w:before="6" w:after="0"/>
        <w:ind w:left="100" w:right="22" w:firstLine="0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GLOBALFOUNDRIES Fab1 LLC &amp; Co. KG, Dresden,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Germany. This work was financially supported by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European Fund for Regional Development EFRD, Europe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supports Saxony, and by funds released by the delegates of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Saxon parliament and by the European Union’s Horizon 2020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research and innovation program under grant agreement No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780302. </w:t>
      </w:r>
    </w:p>
    <w:p>
      <w:pPr>
        <w:autoSpaceDN w:val="0"/>
        <w:autoSpaceDE w:val="0"/>
        <w:widowControl/>
        <w:spacing w:line="230" w:lineRule="auto" w:before="170" w:after="0"/>
        <w:ind w:left="0" w:right="0" w:firstLine="0"/>
        <w:jc w:val="center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>R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EFERENCES</w:t>
      </w:r>
    </w:p>
    <w:p>
      <w:pPr>
        <w:autoSpaceDN w:val="0"/>
        <w:autoSpaceDE w:val="0"/>
        <w:widowControl/>
        <w:spacing w:line="245" w:lineRule="auto" w:before="90" w:after="804"/>
        <w:ind w:left="10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14"/>
        </w:rPr>
        <w:t xml:space="preserve">[1] K  Prall, IEEE International Memory Workshop (IMW), pp  1-5 (2017) </w:t>
      </w:r>
      <w:r>
        <w:br/>
      </w:r>
      <w:r>
        <w:rPr>
          <w:rFonts w:ascii="TimesNewRoman" w:hAnsi="TimesNewRoman" w:eastAsia="TimesNewRoman"/>
          <w:b w:val="0"/>
          <w:i w:val="0"/>
          <w:color w:val="000000"/>
          <w:sz w:val="14"/>
        </w:rPr>
        <w:t xml:space="preserve">[2] C -U  Pinnow and T  Mikolajick, J  Electrochem  Soc  151, K13-K19 (2004) </w:t>
      </w:r>
      <w:r>
        <w:rPr>
          <w:rFonts w:ascii="TimesNewRoman" w:hAnsi="TimesNewRoman" w:eastAsia="TimesNewRoman"/>
          <w:b w:val="0"/>
          <w:i w:val="0"/>
          <w:color w:val="000000"/>
          <w:sz w:val="14"/>
        </w:rPr>
        <w:t xml:space="preserve">[3] T S  Boescke et al , Appl  Phys  Lett  99, 102903 (2011) </w:t>
      </w:r>
      <w:r>
        <w:br/>
      </w:r>
      <w:r>
        <w:rPr>
          <w:rFonts w:ascii="TimesNewRoman" w:hAnsi="TimesNewRoman" w:eastAsia="TimesNewRoman"/>
          <w:b w:val="0"/>
          <w:i w:val="0"/>
          <w:color w:val="000000"/>
          <w:sz w:val="14"/>
        </w:rPr>
        <w:t xml:space="preserve">[4] J  Mueller et al , Nano Lett  12, 4318-4323 (2012) </w:t>
      </w:r>
      <w:r>
        <w:br/>
      </w:r>
      <w:r>
        <w:rPr>
          <w:rFonts w:ascii="TimesNewRoman" w:hAnsi="TimesNewRoman" w:eastAsia="TimesNewRoman"/>
          <w:b w:val="0"/>
          <w:i w:val="0"/>
          <w:color w:val="000000"/>
          <w:sz w:val="14"/>
        </w:rPr>
        <w:t xml:space="preserve">[5] X  Sang et al , Applied Physics Letters 106, p  162905 (2015) </w:t>
      </w:r>
      <w:r>
        <w:br/>
      </w:r>
      <w:r>
        <w:rPr>
          <w:rFonts w:ascii="TimesNewRoman" w:hAnsi="TimesNewRoman" w:eastAsia="TimesNewRoman"/>
          <w:b w:val="0"/>
          <w:i w:val="0"/>
          <w:color w:val="000000"/>
          <w:sz w:val="14"/>
        </w:rPr>
        <w:t xml:space="preserve">[6]M  H  Park et al , Advanced Electronic Materials 5 (3), 1800522 (2019) </w:t>
      </w:r>
      <w:r>
        <w:br/>
      </w:r>
      <w:r>
        <w:rPr>
          <w:rFonts w:ascii="TimesNewRoman" w:hAnsi="TimesNewRoman" w:eastAsia="TimesNewRoman"/>
          <w:b w:val="0"/>
          <w:i w:val="0"/>
          <w:color w:val="000000"/>
          <w:sz w:val="14"/>
        </w:rPr>
        <w:t xml:space="preserve">[7] J -M  Koo et al , IEDM Techn  Digest , 340-343 (2005) </w:t>
      </w:r>
      <w:r>
        <w:br/>
      </w:r>
      <w:r>
        <w:rPr>
          <w:rFonts w:ascii="TimesNewRoman" w:hAnsi="TimesNewRoman" w:eastAsia="TimesNewRoman"/>
          <w:b w:val="0"/>
          <w:i w:val="0"/>
          <w:color w:val="000000"/>
          <w:sz w:val="14"/>
        </w:rPr>
        <w:t xml:space="preserve">[8] J  Muller et al , IEDM Techn  Digest , pp  10 8  1-10 8  4 (2013) </w:t>
      </w:r>
      <w:r>
        <w:br/>
      </w:r>
      <w:r>
        <w:rPr>
          <w:rFonts w:ascii="TimesNewRoman" w:hAnsi="TimesNewRoman" w:eastAsia="TimesNewRoman"/>
          <w:b w:val="0"/>
          <w:i w:val="0"/>
          <w:color w:val="000000"/>
          <w:sz w:val="14"/>
        </w:rPr>
        <w:t xml:space="preserve">[9] S  Slesazeck et al , International Memory Workshop (IMW), pp 1-4 (2019) </w:t>
      </w:r>
      <w:r>
        <w:br/>
      </w:r>
      <w:r>
        <w:rPr>
          <w:rFonts w:ascii="TimesNewRoman" w:hAnsi="TimesNewRoman" w:eastAsia="TimesNewRoman"/>
          <w:b w:val="0"/>
          <w:i w:val="0"/>
          <w:color w:val="000000"/>
          <w:sz w:val="14"/>
        </w:rPr>
        <w:t xml:space="preserve">[10] M  Pesic et al , IEDM Techn  Digest , pp  11 6  1-11 6  4 (2016) </w:t>
      </w:r>
      <w:r>
        <w:br/>
      </w:r>
      <w:r>
        <w:rPr>
          <w:rFonts w:ascii="TimesNewRoman" w:hAnsi="TimesNewRoman" w:eastAsia="TimesNewRoman"/>
          <w:b w:val="0"/>
          <w:i w:val="0"/>
          <w:color w:val="000000"/>
          <w:sz w:val="14"/>
        </w:rPr>
        <w:t xml:space="preserve">[11] S  Duenkel et al , IEDM Techn  Digest , pp  19 7 1 - 19 7 4 (2017) </w:t>
      </w:r>
      <w:r>
        <w:br/>
      </w:r>
      <w:r>
        <w:rPr>
          <w:rFonts w:ascii="TimesNewRoman" w:hAnsi="TimesNewRoman" w:eastAsia="TimesNewRoman"/>
          <w:b w:val="0"/>
          <w:i w:val="0"/>
          <w:color w:val="000000"/>
          <w:sz w:val="14"/>
        </w:rPr>
        <w:t xml:space="preserve">[12] H  Mulaosmanovic et al , ACS applied mat  &amp; interf  9, 4, pp  3792-3798 (2017) </w:t>
      </w:r>
      <w:r>
        <w:rPr>
          <w:rFonts w:ascii="TimesNewRoman" w:hAnsi="TimesNewRoman" w:eastAsia="TimesNewRoman"/>
          <w:b w:val="0"/>
          <w:i w:val="0"/>
          <w:color w:val="000000"/>
          <w:sz w:val="14"/>
        </w:rPr>
        <w:t xml:space="preserve">[13] E  T  Breyer et al , IEDM Techn  Digest pp  28 5 1-28 5 4 (2017) </w:t>
      </w:r>
      <w:r>
        <w:br/>
      </w:r>
      <w:r>
        <w:rPr>
          <w:rFonts w:ascii="TimesNewRoman" w:hAnsi="TimesNewRoman" w:eastAsia="TimesNewRoman"/>
          <w:b w:val="0"/>
          <w:i w:val="0"/>
          <w:color w:val="000000"/>
          <w:sz w:val="14"/>
        </w:rPr>
        <w:t xml:space="preserve">[14] H  Mulaosmanovic et al , Nanoscale 10 (46), 21755-21763 (2018) </w:t>
      </w:r>
      <w:r>
        <w:br/>
      </w:r>
      <w:r>
        <w:rPr>
          <w:rFonts w:ascii="TimesNewRoman" w:hAnsi="TimesNewRoman" w:eastAsia="TimesNewRoman"/>
          <w:b w:val="0"/>
          <w:i w:val="0"/>
          <w:color w:val="000000"/>
          <w:sz w:val="14"/>
        </w:rPr>
        <w:t xml:space="preserve">[15] H  Mulaosmanovic et al , Symposium on VLSI Technology, pp  T176 - T177 (2017) </w:t>
      </w:r>
      <w:r>
        <w:rPr>
          <w:rFonts w:ascii="TimesNewRoman" w:hAnsi="TimesNewRoman" w:eastAsia="TimesNewRoman"/>
          <w:b w:val="0"/>
          <w:i w:val="0"/>
          <w:color w:val="000000"/>
          <w:sz w:val="14"/>
        </w:rPr>
        <w:t xml:space="preserve">[16] S  Fujii et al , IEEE Symposium on VLSI Technology, pp  1-2 (2016) </w:t>
      </w:r>
      <w:r>
        <w:br/>
      </w:r>
      <w:r>
        <w:rPr>
          <w:rFonts w:ascii="TimesNewRoman" w:hAnsi="TimesNewRoman" w:eastAsia="TimesNewRoman"/>
          <w:b w:val="0"/>
          <w:i w:val="0"/>
          <w:color w:val="000000"/>
          <w:sz w:val="14"/>
        </w:rPr>
        <w:t xml:space="preserve">[17] B  Max et al , Proceedings of ESSDERC, pp  142-145 (2018) </w:t>
      </w:r>
    </w:p>
    <w:p>
      <w:pPr>
        <w:sectPr>
          <w:type w:val="nextColumn"/>
          <w:pgSz w:w="12240" w:h="15840"/>
          <w:pgMar w:top="626" w:right="950" w:bottom="158" w:left="630" w:header="720" w:footer="720" w:gutter="0"/>
          <w:cols w:space="720" w:num="2" w:equalWidth="0">
            <w:col w:w="5514" w:space="0"/>
            <w:col w:w="5146" w:space="0"/>
            <w:col w:w="10750" w:space="0"/>
            <w:col w:w="5264" w:space="0"/>
            <w:col w:w="5486" w:space="0"/>
            <w:col w:w="10750" w:space="0"/>
          </w:cols>
          <w:docGrid w:linePitch="360"/>
        </w:sectPr>
      </w:pPr>
    </w:p>
    <w:p>
      <w:pPr>
        <w:autoSpaceDN w:val="0"/>
        <w:tabs>
          <w:tab w:pos="5264" w:val="left"/>
        </w:tabs>
        <w:autoSpaceDE w:val="0"/>
        <w:widowControl/>
        <w:spacing w:line="202" w:lineRule="exact" w:before="0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IEDM19-355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>15.5.2</w:t>
      </w:r>
    </w:p>
    <w:p>
      <w:pPr>
        <w:sectPr>
          <w:type w:val="continuous"/>
          <w:pgSz w:w="12240" w:h="15840"/>
          <w:pgMar w:top="626" w:right="950" w:bottom="158" w:left="630" w:header="720" w:footer="720" w:gutter="0"/>
          <w:cols w:space="720" w:num="1" w:equalWidth="0">
            <w:col w:w="10660" w:space="0"/>
            <w:col w:w="5514" w:space="0"/>
            <w:col w:w="5146" w:space="0"/>
            <w:col w:w="10750" w:space="0"/>
            <w:col w:w="5264" w:space="0"/>
            <w:col w:w="5486" w:space="0"/>
            <w:col w:w="1075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1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558800</wp:posOffset>
            </wp:positionH>
            <wp:positionV relativeFrom="page">
              <wp:posOffset>7493000</wp:posOffset>
            </wp:positionV>
            <wp:extent cx="1536700" cy="1130300"/>
            <wp:wrapNone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36700" cy="1130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2311400</wp:posOffset>
            </wp:positionH>
            <wp:positionV relativeFrom="page">
              <wp:posOffset>7620000</wp:posOffset>
            </wp:positionV>
            <wp:extent cx="1536700" cy="1003300"/>
            <wp:wrapNone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36700" cy="1003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5082540</wp:posOffset>
            </wp:positionH>
            <wp:positionV relativeFrom="page">
              <wp:posOffset>3489960</wp:posOffset>
            </wp:positionV>
            <wp:extent cx="1765300" cy="2762283"/>
            <wp:wrapNone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65300" cy="276228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5854700</wp:posOffset>
            </wp:positionH>
            <wp:positionV relativeFrom="page">
              <wp:posOffset>5918200</wp:posOffset>
            </wp:positionV>
            <wp:extent cx="38100" cy="38100"/>
            <wp:wrapNone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5930900</wp:posOffset>
            </wp:positionH>
            <wp:positionV relativeFrom="page">
              <wp:posOffset>8356600</wp:posOffset>
            </wp:positionV>
            <wp:extent cx="101600" cy="190500"/>
            <wp:wrapNone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90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5651500</wp:posOffset>
            </wp:positionH>
            <wp:positionV relativeFrom="page">
              <wp:posOffset>7594600</wp:posOffset>
            </wp:positionV>
            <wp:extent cx="63500" cy="50800"/>
            <wp:wrapNone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6121400</wp:posOffset>
            </wp:positionH>
            <wp:positionV relativeFrom="page">
              <wp:posOffset>7416800</wp:posOffset>
            </wp:positionV>
            <wp:extent cx="63500" cy="50800"/>
            <wp:wrapNone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5842000</wp:posOffset>
            </wp:positionH>
            <wp:positionV relativeFrom="page">
              <wp:posOffset>7416800</wp:posOffset>
            </wp:positionV>
            <wp:extent cx="152400" cy="50800"/>
            <wp:wrapNone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5422900</wp:posOffset>
            </wp:positionH>
            <wp:positionV relativeFrom="page">
              <wp:posOffset>7416800</wp:posOffset>
            </wp:positionV>
            <wp:extent cx="63500" cy="50800"/>
            <wp:wrapNone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5448300</wp:posOffset>
            </wp:positionH>
            <wp:positionV relativeFrom="page">
              <wp:posOffset>8178800</wp:posOffset>
            </wp:positionV>
            <wp:extent cx="279400" cy="88900"/>
            <wp:wrapNone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5435600</wp:posOffset>
            </wp:positionH>
            <wp:positionV relativeFrom="page">
              <wp:posOffset>8077200</wp:posOffset>
            </wp:positionV>
            <wp:extent cx="279400" cy="88900"/>
            <wp:wrapNone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4823460</wp:posOffset>
            </wp:positionH>
            <wp:positionV relativeFrom="page">
              <wp:posOffset>7086600</wp:posOffset>
            </wp:positionV>
            <wp:extent cx="1691639" cy="2057399"/>
            <wp:wrapNone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91639" cy="2057399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15.99999999999994" w:type="dxa"/>
      </w:tblPr>
      <w:tblGrid>
        <w:gridCol w:w="1092"/>
        <w:gridCol w:w="1092"/>
        <w:gridCol w:w="1092"/>
        <w:gridCol w:w="1092"/>
        <w:gridCol w:w="1092"/>
        <w:gridCol w:w="1092"/>
        <w:gridCol w:w="1092"/>
        <w:gridCol w:w="1092"/>
        <w:gridCol w:w="1092"/>
        <w:gridCol w:w="1092"/>
      </w:tblGrid>
      <w:tr>
        <w:trPr>
          <w:trHeight w:hRule="exact" w:val="1060"/>
        </w:trPr>
        <w:tc>
          <w:tcPr>
            <w:tcW w:type="dxa" w:w="5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0" w:right="96" w:firstLine="0"/>
              <w:jc w:val="right"/>
            </w:pPr>
            <w:r>
              <w:rPr>
                <w:w w:val="97.8423511280733"/>
                <w:rFonts w:ascii="Calibri" w:hAnsi="Calibri" w:eastAsia="Calibri"/>
                <w:b w:val="0"/>
                <w:i w:val="0"/>
                <w:color w:val="000000"/>
                <w:sz w:val="17"/>
              </w:rPr>
              <w:t xml:space="preserve">a) </w:t>
            </w:r>
          </w:p>
        </w:tc>
        <w:tc>
          <w:tcPr>
            <w:tcW w:type="dxa" w:w="216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8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206500" cy="12319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6500" cy="1231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12" w:after="0"/>
              <w:ind w:left="0" w:right="0" w:firstLine="0"/>
              <w:jc w:val="center"/>
            </w:pPr>
            <w:r>
              <w:rPr>
                <w:w w:val="97.8423511280733"/>
                <w:rFonts w:ascii="Calibri" w:hAnsi="Calibri" w:eastAsia="Calibri"/>
                <w:b w:val="0"/>
                <w:i w:val="0"/>
                <w:color w:val="000000"/>
                <w:sz w:val="17"/>
              </w:rPr>
              <w:t xml:space="preserve">b) </w:t>
            </w:r>
          </w:p>
        </w:tc>
        <w:tc>
          <w:tcPr>
            <w:tcW w:type="dxa" w:w="228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14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028700" cy="13081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700" cy="13081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862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 xml:space="preserve">Tab. I. Important properties of the ferroelectric materials </w:t>
            </w:r>
          </w:p>
        </w:tc>
      </w:tr>
      <w:tr>
        <w:trPr>
          <w:trHeight w:hRule="exact" w:val="200"/>
        </w:trPr>
        <w:tc>
          <w:tcPr>
            <w:tcW w:type="dxa" w:w="1092"/>
            <w:vMerge/>
            <w:tcBorders/>
          </w:tcPr>
          <w:p/>
        </w:tc>
        <w:tc>
          <w:tcPr>
            <w:tcW w:type="dxa" w:w="3276"/>
            <w:gridSpan w:val="3"/>
            <w:vMerge/>
            <w:tcBorders/>
          </w:tcPr>
          <w:p/>
        </w:tc>
        <w:tc>
          <w:tcPr>
            <w:tcW w:type="dxa" w:w="1092"/>
            <w:vMerge/>
            <w:tcBorders/>
          </w:tcPr>
          <w:p/>
        </w:tc>
        <w:tc>
          <w:tcPr>
            <w:tcW w:type="dxa" w:w="4368"/>
            <w:gridSpan w:val="4"/>
            <w:vMerge/>
            <w:tcBorders/>
          </w:tcPr>
          <w:p/>
        </w:tc>
        <w:tc>
          <w:tcPr>
            <w:tcW w:type="dxa" w:w="4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doped hafnium oxide (X:HfO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2"/>
              </w:rPr>
              <w:t>2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 xml:space="preserve">) and lead zirconium titanate </w:t>
            </w:r>
          </w:p>
        </w:tc>
      </w:tr>
      <w:tr>
        <w:trPr>
          <w:trHeight w:hRule="exact" w:val="220"/>
        </w:trPr>
        <w:tc>
          <w:tcPr>
            <w:tcW w:type="dxa" w:w="1092"/>
            <w:vMerge/>
            <w:tcBorders/>
          </w:tcPr>
          <w:p/>
        </w:tc>
        <w:tc>
          <w:tcPr>
            <w:tcW w:type="dxa" w:w="3276"/>
            <w:gridSpan w:val="3"/>
            <w:vMerge/>
            <w:tcBorders/>
          </w:tcPr>
          <w:p/>
        </w:tc>
        <w:tc>
          <w:tcPr>
            <w:tcW w:type="dxa" w:w="1092"/>
            <w:vMerge/>
            <w:tcBorders/>
          </w:tcPr>
          <w:p/>
        </w:tc>
        <w:tc>
          <w:tcPr>
            <w:tcW w:type="dxa" w:w="4368"/>
            <w:gridSpan w:val="4"/>
            <w:vMerge/>
            <w:tcBorders/>
          </w:tcPr>
          <w:p/>
        </w:tc>
        <w:tc>
          <w:tcPr>
            <w:tcW w:type="dxa" w:w="4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 xml:space="preserve">(PZT). Note the pronounced differences in coercive field </w:t>
            </w:r>
          </w:p>
        </w:tc>
      </w:tr>
      <w:tr>
        <w:trPr>
          <w:trHeight w:hRule="exact" w:val="600"/>
        </w:trPr>
        <w:tc>
          <w:tcPr>
            <w:tcW w:type="dxa" w:w="1092"/>
            <w:vMerge/>
            <w:tcBorders/>
          </w:tcPr>
          <w:p/>
        </w:tc>
        <w:tc>
          <w:tcPr>
            <w:tcW w:type="dxa" w:w="3276"/>
            <w:gridSpan w:val="3"/>
            <w:vMerge/>
            <w:tcBorders/>
          </w:tcPr>
          <w:p/>
        </w:tc>
        <w:tc>
          <w:tcPr>
            <w:tcW w:type="dxa" w:w="1092"/>
            <w:vMerge/>
            <w:tcBorders/>
          </w:tcPr>
          <w:p/>
        </w:tc>
        <w:tc>
          <w:tcPr>
            <w:tcW w:type="dxa" w:w="4368"/>
            <w:gridSpan w:val="4"/>
            <w:vMerge/>
            <w:tcBorders/>
          </w:tcPr>
          <w:p/>
        </w:tc>
        <w:tc>
          <w:tcPr>
            <w:tcW w:type="dxa" w:w="4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6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 xml:space="preserve">and relative permittivity. </w:t>
            </w:r>
          </w:p>
        </w:tc>
      </w:tr>
      <w:tr>
        <w:trPr>
          <w:trHeight w:hRule="exact" w:val="280"/>
        </w:trPr>
        <w:tc>
          <w:tcPr>
            <w:tcW w:type="dxa" w:w="1092"/>
            <w:vMerge/>
            <w:tcBorders/>
          </w:tcPr>
          <w:p/>
        </w:tc>
        <w:tc>
          <w:tcPr>
            <w:tcW w:type="dxa" w:w="3276"/>
            <w:gridSpan w:val="3"/>
            <w:vMerge/>
            <w:tcBorders/>
          </w:tcPr>
          <w:p/>
        </w:tc>
        <w:tc>
          <w:tcPr>
            <w:tcW w:type="dxa" w:w="1092"/>
            <w:vMerge/>
            <w:tcBorders/>
          </w:tcPr>
          <w:p/>
        </w:tc>
        <w:tc>
          <w:tcPr>
            <w:tcW w:type="dxa" w:w="1198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250" w:after="0"/>
              <w:ind w:left="0" w:right="194" w:firstLine="0"/>
              <w:jc w:val="right"/>
            </w:pPr>
            <w:r>
              <w:rPr>
                <w:w w:val="97.8423511280733"/>
                <w:rFonts w:ascii="Calibri" w:hAnsi="Calibri" w:eastAsia="Calibri"/>
                <w:b w:val="0"/>
                <w:i w:val="0"/>
                <w:color w:val="000000"/>
                <w:sz w:val="17"/>
              </w:rPr>
              <w:t>ABO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1"/>
              </w:rPr>
              <w:t>3</w:t>
            </w:r>
          </w:p>
        </w:tc>
        <w:tc>
          <w:tcPr>
            <w:tcW w:type="dxa" w:w="108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50" w:after="0"/>
              <w:ind w:left="194" w:right="0" w:firstLine="0"/>
              <w:jc w:val="left"/>
            </w:pPr>
            <w:r>
              <w:rPr>
                <w:w w:val="97.8423511280733"/>
                <w:rFonts w:ascii="Calibri" w:hAnsi="Calibri" w:eastAsia="Calibri"/>
                <w:b w:val="0"/>
                <w:i w:val="0"/>
                <w:color w:val="000000"/>
                <w:sz w:val="17"/>
              </w:rPr>
              <w:t>PZT</w:t>
            </w:r>
          </w:p>
        </w:tc>
        <w:tc>
          <w:tcPr>
            <w:tcW w:type="dxa" w:w="48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317.99999999999955" w:type="dxa"/>
            </w:tblPr>
            <w:tblGrid>
              <w:gridCol w:w="1620"/>
              <w:gridCol w:w="1620"/>
              <w:gridCol w:w="1620"/>
            </w:tblGrid>
            <w:tr>
              <w:trPr>
                <w:trHeight w:hRule="exact" w:val="323"/>
              </w:trPr>
              <w:tc>
                <w:tcPr>
                  <w:tcW w:type="dxa" w:w="2220"/>
                  <w:tcBorders>
                    <w:end w:sz="0.9599999785423279" w:val="single" w:color="#000000"/>
                    <w:bottom w:sz="0.9599999785423279" w:val="single" w:color="#000000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92"/>
                  <w:tcBorders>
                    <w:start w:sz="0.9599999785423279" w:val="single" w:color="#000000"/>
                    <w:top w:sz="0.9599999785423279" w:val="single" w:color="#000000"/>
                    <w:end w:sz="0.9599999785423279" w:val="single" w:color="#000000"/>
                    <w:bottom w:sz="0.9599999785423279" w:val="single" w:color="#000000"/>
                  </w:tcBorders>
                  <w:shd w:fill="6b6b6b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23" w:lineRule="auto" w:before="106" w:after="0"/>
                    <w:ind w:left="0" w:right="0" w:firstLine="0"/>
                    <w:jc w:val="center"/>
                  </w:pPr>
                  <w:r>
                    <w:rPr>
                      <w:w w:val="98.95924159458706"/>
                      <w:rFonts w:ascii="Calibri" w:hAnsi="Calibri" w:eastAsia="Calibri"/>
                      <w:b w:val="0"/>
                      <w:i w:val="0"/>
                      <w:color w:val="FFFFFF"/>
                      <w:sz w:val="14"/>
                    </w:rPr>
                    <w:t>X:HfO</w:t>
                  </w:r>
                  <w:r>
                    <w:rPr>
                      <w:w w:val="102.61995527479384"/>
                      <w:rFonts w:ascii="Calibri" w:hAnsi="Calibri" w:eastAsia="Calibri"/>
                      <w:b w:val="0"/>
                      <w:i w:val="0"/>
                      <w:color w:val="FFFFFF"/>
                      <w:sz w:val="9"/>
                    </w:rPr>
                    <w:t>2</w:t>
                  </w:r>
                </w:p>
              </w:tc>
              <w:tc>
                <w:tcPr>
                  <w:tcW w:type="dxa" w:w="1064"/>
                  <w:tcBorders>
                    <w:start w:sz="0.9599999785423279" w:val="single" w:color="#000000"/>
                    <w:top w:sz="0.9599999785423279" w:val="single" w:color="#000000"/>
                    <w:end w:sz="0.9599999785423279" w:val="single" w:color="#000000"/>
                    <w:bottom w:sz="0.9599999785423279" w:val="single" w:color="#000000"/>
                  </w:tcBorders>
                  <w:shd w:fill="6b6b6b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23" w:lineRule="auto" w:before="106" w:after="0"/>
                    <w:ind w:left="0" w:right="0" w:firstLine="0"/>
                    <w:jc w:val="center"/>
                  </w:pPr>
                  <w:r>
                    <w:rPr>
                      <w:w w:val="98.95924159458706"/>
                      <w:rFonts w:ascii="Calibri" w:hAnsi="Calibri" w:eastAsia="Calibri"/>
                      <w:b w:val="0"/>
                      <w:i w:val="0"/>
                      <w:color w:val="FFFFFF"/>
                      <w:sz w:val="14"/>
                    </w:rPr>
                    <w:t>PZT (PbZr</w:t>
                  </w:r>
                  <w:r>
                    <w:rPr>
                      <w:w w:val="102.61995527479384"/>
                      <w:rFonts w:ascii="Calibri" w:hAnsi="Calibri" w:eastAsia="Calibri"/>
                      <w:b w:val="0"/>
                      <w:i w:val="0"/>
                      <w:color w:val="FFFFFF"/>
                      <w:sz w:val="9"/>
                    </w:rPr>
                    <w:t>x</w:t>
                  </w:r>
                  <w:r>
                    <w:rPr>
                      <w:w w:val="98.95924159458706"/>
                      <w:rFonts w:ascii="Calibri" w:hAnsi="Calibri" w:eastAsia="Calibri"/>
                      <w:b w:val="0"/>
                      <w:i w:val="0"/>
                      <w:color w:val="FFFFFF"/>
                      <w:sz w:val="14"/>
                    </w:rPr>
                    <w:t>Ti</w:t>
                  </w:r>
                  <w:r>
                    <w:rPr>
                      <w:w w:val="102.61995527479384"/>
                      <w:rFonts w:ascii="Calibri" w:hAnsi="Calibri" w:eastAsia="Calibri"/>
                      <w:b w:val="0"/>
                      <w:i w:val="0"/>
                      <w:color w:val="FFFFFF"/>
                      <w:sz w:val="9"/>
                    </w:rPr>
                    <w:t>1-x</w:t>
                  </w:r>
                  <w:r>
                    <w:rPr>
                      <w:w w:val="98.95924159458706"/>
                      <w:rFonts w:ascii="Calibri" w:hAnsi="Calibri" w:eastAsia="Calibri"/>
                      <w:b w:val="0"/>
                      <w:i w:val="0"/>
                      <w:color w:val="FFFFFF"/>
                      <w:sz w:val="14"/>
                    </w:rPr>
                    <w:t>O</w:t>
                  </w:r>
                  <w:r>
                    <w:rPr>
                      <w:w w:val="102.61995527479384"/>
                      <w:rFonts w:ascii="Calibri" w:hAnsi="Calibri" w:eastAsia="Calibri"/>
                      <w:b w:val="0"/>
                      <w:i w:val="0"/>
                      <w:color w:val="FFFFFF"/>
                      <w:sz w:val="9"/>
                    </w:rPr>
                    <w:t>3</w:t>
                  </w:r>
                  <w:r>
                    <w:rPr>
                      <w:w w:val="98.95924159458706"/>
                      <w:rFonts w:ascii="Calibri" w:hAnsi="Calibri" w:eastAsia="Calibri"/>
                      <w:b w:val="0"/>
                      <w:i w:val="0"/>
                      <w:color w:val="FFFFFF"/>
                      <w:sz w:val="14"/>
                    </w:rPr>
                    <w:t>)</w:t>
                  </w:r>
                </w:p>
              </w:tc>
            </w:tr>
            <w:tr>
              <w:trPr>
                <w:trHeight w:hRule="exact" w:val="324"/>
              </w:trPr>
              <w:tc>
                <w:tcPr>
                  <w:tcW w:type="dxa" w:w="2220"/>
                  <w:tcBorders>
                    <w:start w:sz="0.9599999785423279" w:val="single" w:color="#000000"/>
                    <w:top w:sz="0.9599999785423279" w:val="single" w:color="#000000"/>
                    <w:end w:sz="0.9599999785423279" w:val="single" w:color="#000000"/>
                    <w:bottom w:sz="0.9599999785423279" w:val="single" w:color="#000000"/>
                  </w:tcBorders>
                  <w:shd w:fill="6b6b6b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21" w:lineRule="auto" w:before="106" w:after="0"/>
                    <w:ind w:left="0" w:right="0" w:firstLine="0"/>
                    <w:jc w:val="center"/>
                  </w:pPr>
                  <w:r>
                    <w:rPr>
                      <w:w w:val="98.95924159458706"/>
                      <w:rFonts w:ascii="Calibri" w:hAnsi="Calibri" w:eastAsia="Calibri"/>
                      <w:b w:val="0"/>
                      <w:i w:val="0"/>
                      <w:color w:val="FFFFFF"/>
                      <w:sz w:val="14"/>
                    </w:rPr>
                    <w:t>coercive field E</w:t>
                  </w:r>
                  <w:r>
                    <w:rPr>
                      <w:w w:val="102.61995527479384"/>
                      <w:rFonts w:ascii="Calibri" w:hAnsi="Calibri" w:eastAsia="Calibri"/>
                      <w:b w:val="0"/>
                      <w:i w:val="0"/>
                      <w:color w:val="FFFFFF"/>
                      <w:sz w:val="9"/>
                    </w:rPr>
                    <w:t>C</w:t>
                  </w:r>
                  <w:r>
                    <w:rPr>
                      <w:w w:val="98.95924159458706"/>
                      <w:rFonts w:ascii="Calibri" w:hAnsi="Calibri" w:eastAsia="Calibri"/>
                      <w:b w:val="0"/>
                      <w:i w:val="0"/>
                      <w:color w:val="FFFFFF"/>
                      <w:sz w:val="14"/>
                    </w:rPr>
                    <w:t xml:space="preserve"> in MV/cm</w:t>
                  </w:r>
                </w:p>
              </w:tc>
              <w:tc>
                <w:tcPr>
                  <w:tcW w:type="dxa" w:w="892"/>
                  <w:tcBorders>
                    <w:start w:sz="0.9599999785423279" w:val="single" w:color="#000000"/>
                    <w:top w:sz="0.9599999785423279" w:val="single" w:color="#000000"/>
                    <w:end w:sz="0.9599999785423279" w:val="single" w:color="#000000"/>
                    <w:bottom w:sz="0.959999978542327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104" w:after="0"/>
                    <w:ind w:left="0" w:right="0" w:firstLine="0"/>
                    <w:jc w:val="center"/>
                  </w:pPr>
                  <w:r>
                    <w:rPr>
                      <w:w w:val="101.59795125325522"/>
                      <w:rFonts w:ascii="Calibri" w:hAnsi="Calibri" w:eastAsia="Calibri"/>
                      <w:b w:val="0"/>
                      <w:i w:val="0"/>
                      <w:color w:val="000000"/>
                      <w:sz w:val="15"/>
                    </w:rPr>
                    <w:t>0.8 - 2</w:t>
                  </w:r>
                </w:p>
              </w:tc>
              <w:tc>
                <w:tcPr>
                  <w:tcW w:type="dxa" w:w="1064"/>
                  <w:tcBorders>
                    <w:start w:sz="0.9599999785423279" w:val="single" w:color="#000000"/>
                    <w:top w:sz="0.9599999785423279" w:val="single" w:color="#000000"/>
                    <w:end w:sz="0.9599999785423279" w:val="single" w:color="#000000"/>
                    <w:bottom w:sz="0.959999978542327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104" w:after="0"/>
                    <w:ind w:left="0" w:right="0" w:firstLine="0"/>
                    <w:jc w:val="center"/>
                  </w:pPr>
                  <w:r>
                    <w:rPr>
                      <w:w w:val="101.59795125325522"/>
                      <w:rFonts w:ascii="Calibri" w:hAnsi="Calibri" w:eastAsia="Calibri"/>
                      <w:b w:val="0"/>
                      <w:i w:val="0"/>
                      <w:color w:val="000000"/>
                      <w:sz w:val="15"/>
                    </w:rPr>
                    <w:t>0.1</w:t>
                  </w:r>
                </w:p>
              </w:tc>
            </w:tr>
            <w:tr>
              <w:trPr>
                <w:trHeight w:hRule="exact" w:val="323"/>
              </w:trPr>
              <w:tc>
                <w:tcPr>
                  <w:tcW w:type="dxa" w:w="2220"/>
                  <w:tcBorders>
                    <w:start w:sz="0.9599999785423279" w:val="single" w:color="#000000"/>
                    <w:top w:sz="0.9599999785423279" w:val="single" w:color="#000000"/>
                    <w:end w:sz="0.9599999785423279" w:val="single" w:color="#000000"/>
                    <w:bottom w:sz="0.9599999785423279" w:val="single" w:color="#000000"/>
                  </w:tcBorders>
                  <w:shd w:fill="6b6b6b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6" w:lineRule="auto" w:before="78" w:after="0"/>
                    <w:ind w:left="0" w:right="0" w:firstLine="0"/>
                    <w:jc w:val="center"/>
                  </w:pPr>
                  <w:r>
                    <w:rPr>
                      <w:w w:val="98.95924159458706"/>
                      <w:rFonts w:ascii="Calibri" w:hAnsi="Calibri" w:eastAsia="Calibri"/>
                      <w:b w:val="0"/>
                      <w:i w:val="0"/>
                      <w:color w:val="FFFFFF"/>
                      <w:sz w:val="14"/>
                    </w:rPr>
                    <w:t>switched charge (2P</w:t>
                  </w:r>
                  <w:r>
                    <w:rPr>
                      <w:w w:val="102.61995527479384"/>
                      <w:rFonts w:ascii="Calibri" w:hAnsi="Calibri" w:eastAsia="Calibri"/>
                      <w:b w:val="0"/>
                      <w:i w:val="0"/>
                      <w:color w:val="FFFFFF"/>
                      <w:sz w:val="9"/>
                    </w:rPr>
                    <w:t>R</w:t>
                  </w:r>
                  <w:r>
                    <w:rPr>
                      <w:w w:val="98.95924159458706"/>
                      <w:rFonts w:ascii="Calibri" w:hAnsi="Calibri" w:eastAsia="Calibri"/>
                      <w:b w:val="0"/>
                      <w:i w:val="0"/>
                      <w:color w:val="FFFFFF"/>
                      <w:sz w:val="14"/>
                    </w:rPr>
                    <w:t>) in µC/cm</w:t>
                  </w:r>
                  <w:r>
                    <w:rPr>
                      <w:w w:val="102.61995527479384"/>
                      <w:rFonts w:ascii="Calibri" w:hAnsi="Calibri" w:eastAsia="Calibri"/>
                      <w:b w:val="0"/>
                      <w:i w:val="0"/>
                      <w:color w:val="FFFFFF"/>
                      <w:sz w:val="9"/>
                    </w:rPr>
                    <w:t>2</w:t>
                  </w:r>
                </w:p>
              </w:tc>
              <w:tc>
                <w:tcPr>
                  <w:tcW w:type="dxa" w:w="892"/>
                  <w:tcBorders>
                    <w:start w:sz="0.9599999785423279" w:val="single" w:color="#000000"/>
                    <w:top w:sz="0.9599999785423279" w:val="single" w:color="#000000"/>
                    <w:end w:sz="0.9599999785423279" w:val="single" w:color="#000000"/>
                    <w:bottom w:sz="0.959999978542327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102" w:after="0"/>
                    <w:ind w:left="0" w:right="0" w:firstLine="0"/>
                    <w:jc w:val="center"/>
                  </w:pPr>
                  <w:r>
                    <w:rPr>
                      <w:w w:val="101.59795125325522"/>
                      <w:rFonts w:ascii="Calibri" w:hAnsi="Calibri" w:eastAsia="Calibri"/>
                      <w:b w:val="0"/>
                      <w:i w:val="0"/>
                      <w:color w:val="000000"/>
                      <w:sz w:val="15"/>
                    </w:rPr>
                    <w:t>30-60</w:t>
                  </w:r>
                </w:p>
              </w:tc>
              <w:tc>
                <w:tcPr>
                  <w:tcW w:type="dxa" w:w="1064"/>
                  <w:tcBorders>
                    <w:start w:sz="0.9599999785423279" w:val="single" w:color="#000000"/>
                    <w:top w:sz="0.9599999785423279" w:val="single" w:color="#000000"/>
                    <w:end w:sz="0.9599999785423279" w:val="single" w:color="#000000"/>
                    <w:bottom w:sz="0.959999978542327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102" w:after="0"/>
                    <w:ind w:left="0" w:right="0" w:firstLine="0"/>
                    <w:jc w:val="center"/>
                  </w:pPr>
                  <w:r>
                    <w:rPr>
                      <w:w w:val="101.59795125325522"/>
                      <w:rFonts w:ascii="Calibri" w:hAnsi="Calibri" w:eastAsia="Calibri"/>
                      <w:b w:val="0"/>
                      <w:i w:val="0"/>
                      <w:color w:val="000000"/>
                      <w:sz w:val="15"/>
                    </w:rPr>
                    <w:t>30-60</w:t>
                  </w:r>
                </w:p>
              </w:tc>
            </w:tr>
            <w:tr>
              <w:trPr>
                <w:trHeight w:hRule="exact" w:val="188"/>
              </w:trPr>
              <w:tc>
                <w:tcPr>
                  <w:tcW w:type="dxa" w:w="2220"/>
                  <w:tcBorders>
                    <w:top w:sz="0.9599999785423279" w:val="single" w:color="#000000"/>
                    <w:end w:sz="0.9599999785423279" w:val="single" w:color="#000000"/>
                  </w:tcBorders>
                  <w:shd w:fill="6b6b6b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23" w:lineRule="auto" w:before="46" w:after="0"/>
                    <w:ind w:left="0" w:right="0" w:firstLine="0"/>
                    <w:jc w:val="center"/>
                  </w:pPr>
                  <w:r>
                    <w:rPr>
                      <w:w w:val="98.95924159458706"/>
                      <w:rFonts w:ascii="Calibri" w:hAnsi="Calibri" w:eastAsia="Calibri"/>
                      <w:b w:val="0"/>
                      <w:i w:val="0"/>
                      <w:color w:val="FFFFFF"/>
                      <w:sz w:val="14"/>
                    </w:rPr>
                    <w:t>relative permitivity ε</w:t>
                  </w:r>
                  <w:r>
                    <w:rPr>
                      <w:w w:val="102.61995527479384"/>
                      <w:rFonts w:ascii="Calibri" w:hAnsi="Calibri" w:eastAsia="Calibri"/>
                      <w:b w:val="0"/>
                      <w:i w:val="0"/>
                      <w:color w:val="FFFFFF"/>
                      <w:sz w:val="9"/>
                    </w:rPr>
                    <w:t>r</w:t>
                  </w:r>
                </w:p>
              </w:tc>
              <w:tc>
                <w:tcPr>
                  <w:tcW w:type="dxa" w:w="892"/>
                  <w:tcBorders>
                    <w:start w:sz="0.9599999785423279" w:val="single" w:color="#000000"/>
                    <w:top w:sz="0.9599999785423279" w:val="single" w:color="#000000"/>
                    <w:end w:sz="0.9599999785423279" w:val="single" w:color="#000000"/>
                    <w:bottom w:sz="2.400000000000091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9" w:lineRule="auto" w:before="46" w:after="0"/>
                    <w:ind w:left="0" w:right="0" w:firstLine="0"/>
                    <w:jc w:val="center"/>
                  </w:pPr>
                  <w:r>
                    <w:rPr>
                      <w:w w:val="101.59795125325522"/>
                      <w:rFonts w:ascii="Calibri" w:hAnsi="Calibri" w:eastAsia="Calibri"/>
                      <w:b w:val="0"/>
                      <w:i w:val="0"/>
                      <w:color w:val="000000"/>
                      <w:sz w:val="15"/>
                    </w:rPr>
                    <w:t>20-30</w:t>
                  </w:r>
                </w:p>
              </w:tc>
              <w:tc>
                <w:tcPr>
                  <w:tcW w:type="dxa" w:w="1064"/>
                  <w:tcBorders>
                    <w:start w:sz="0.9599999785423279" w:val="single" w:color="#000000"/>
                    <w:top w:sz="0.9599999785423279" w:val="single" w:color="#000000"/>
                    <w:end w:sz="0.9599999785423279" w:val="single" w:color="#000000"/>
                    <w:bottom w:sz="2.400000000000091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9" w:lineRule="auto" w:before="46" w:after="0"/>
                    <w:ind w:left="0" w:right="0" w:firstLine="0"/>
                    <w:jc w:val="center"/>
                  </w:pPr>
                  <w:r>
                    <w:rPr>
                      <w:w w:val="101.59795125325522"/>
                      <w:rFonts w:ascii="Calibri" w:hAnsi="Calibri" w:eastAsia="Calibri"/>
                      <w:b w:val="0"/>
                      <w:i w:val="0"/>
                      <w:color w:val="000000"/>
                      <w:sz w:val="15"/>
                    </w:rPr>
                    <w:t>300-800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  <w:tr>
        <w:trPr>
          <w:trHeight w:hRule="exact" w:val="220"/>
        </w:trPr>
        <w:tc>
          <w:tcPr>
            <w:tcW w:type="dxa" w:w="1092"/>
            <w:vMerge/>
            <w:tcBorders/>
          </w:tcPr>
          <w:p/>
        </w:tc>
        <w:tc>
          <w:tcPr>
            <w:tcW w:type="dxa" w:w="216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6" w:after="0"/>
              <w:ind w:left="0" w:right="0" w:firstLine="0"/>
              <w:jc w:val="center"/>
            </w:pPr>
            <w:r>
              <w:rPr>
                <w:w w:val="97.8423511280733"/>
                <w:rFonts w:ascii="Calibri" w:hAnsi="Calibri" w:eastAsia="Calibri"/>
                <w:b w:val="0"/>
                <w:i w:val="0"/>
                <w:color w:val="000000"/>
                <w:sz w:val="17"/>
              </w:rPr>
              <w:t>HfO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1"/>
              </w:rPr>
              <w:t>2</w:t>
            </w:r>
          </w:p>
        </w:tc>
        <w:tc>
          <w:tcPr>
            <w:tcW w:type="dxa" w:w="1092"/>
            <w:vMerge/>
            <w:tcBorders/>
          </w:tcPr>
          <w:p/>
        </w:tc>
        <w:tc>
          <w:tcPr>
            <w:tcW w:type="dxa" w:w="3276"/>
            <w:gridSpan w:val="3"/>
            <w:vMerge/>
            <w:tcBorders/>
          </w:tcPr>
          <w:p/>
        </w:tc>
        <w:tc>
          <w:tcPr>
            <w:tcW w:type="dxa" w:w="1092"/>
            <w:vMerge/>
            <w:tcBorders/>
          </w:tcPr>
          <w:p/>
        </w:tc>
        <w:tc>
          <w:tcPr>
            <w:tcW w:type="dxa" w:w="1092"/>
            <w:vMerge/>
            <w:tcBorders/>
          </w:tcPr>
          <w:p/>
        </w:tc>
      </w:tr>
      <w:tr>
        <w:trPr>
          <w:trHeight w:hRule="exact" w:val="300"/>
        </w:trPr>
        <w:tc>
          <w:tcPr>
            <w:tcW w:type="dxa" w:w="1092"/>
            <w:vMerge/>
            <w:tcBorders/>
          </w:tcPr>
          <w:p/>
        </w:tc>
        <w:tc>
          <w:tcPr>
            <w:tcW w:type="dxa" w:w="8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0" w:after="0"/>
              <w:ind w:left="0" w:right="6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203200" cy="1905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190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2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122" w:after="0"/>
              <w:ind w:left="68" w:right="0" w:firstLine="0"/>
              <w:jc w:val="left"/>
            </w:pPr>
            <w:r>
              <w:rPr>
                <w:w w:val="97.8423511280733"/>
                <w:rFonts w:ascii="Calibri" w:hAnsi="Calibri" w:eastAsia="Calibri"/>
                <w:b w:val="0"/>
                <w:i w:val="0"/>
                <w:color w:val="000000"/>
                <w:sz w:val="17"/>
              </w:rPr>
              <w:t>Hf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1"/>
              </w:rPr>
              <w:t>4+</w:t>
            </w:r>
          </w:p>
        </w:tc>
        <w:tc>
          <w:tcPr>
            <w:tcW w:type="dxa" w:w="1092"/>
            <w:vMerge/>
            <w:tcBorders/>
          </w:tcPr>
          <w:p/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16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77800" cy="1778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" cy="177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50" w:after="0"/>
              <w:ind w:left="0" w:right="0" w:firstLine="0"/>
              <w:jc w:val="center"/>
            </w:pPr>
            <w:r>
              <w:rPr>
                <w:w w:val="97.8423511280733"/>
                <w:rFonts w:ascii="Calibri" w:hAnsi="Calibri" w:eastAsia="Calibri"/>
                <w:b w:val="0"/>
                <w:i w:val="0"/>
                <w:color w:val="000000"/>
                <w:sz w:val="17"/>
              </w:rPr>
              <w:t>A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1"/>
              </w:rPr>
              <w:t>2+</w:t>
            </w:r>
          </w:p>
        </w:tc>
        <w:tc>
          <w:tcPr>
            <w:tcW w:type="dxa" w:w="13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50" w:after="0"/>
              <w:ind w:left="0" w:right="574" w:firstLine="0"/>
              <w:jc w:val="right"/>
            </w:pPr>
            <w:r>
              <w:rPr>
                <w:w w:val="97.8423511280733"/>
                <w:rFonts w:ascii="Calibri" w:hAnsi="Calibri" w:eastAsia="Calibri"/>
                <w:b w:val="0"/>
                <w:i w:val="0"/>
                <w:color w:val="000000"/>
                <w:sz w:val="17"/>
              </w:rPr>
              <w:t>Pb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1"/>
              </w:rPr>
              <w:t>2+</w:t>
            </w:r>
          </w:p>
        </w:tc>
        <w:tc>
          <w:tcPr>
            <w:tcW w:type="dxa" w:w="1092"/>
            <w:vMerge/>
            <w:tcBorders/>
          </w:tcPr>
          <w:p/>
        </w:tc>
      </w:tr>
      <w:tr>
        <w:trPr>
          <w:trHeight w:hRule="exact" w:val="60"/>
        </w:trPr>
        <w:tc>
          <w:tcPr>
            <w:tcW w:type="dxa" w:w="1092"/>
            <w:vMerge/>
            <w:tcBorders/>
          </w:tcPr>
          <w:p/>
        </w:tc>
        <w:tc>
          <w:tcPr>
            <w:tcW w:type="dxa" w:w="1092"/>
            <w:vMerge/>
            <w:tcBorders/>
          </w:tcPr>
          <w:p/>
        </w:tc>
        <w:tc>
          <w:tcPr>
            <w:tcW w:type="dxa" w:w="2184"/>
            <w:gridSpan w:val="2"/>
            <w:vMerge/>
            <w:tcBorders/>
          </w:tcPr>
          <w:p/>
        </w:tc>
        <w:tc>
          <w:tcPr>
            <w:tcW w:type="dxa" w:w="1092"/>
            <w:vMerge/>
            <w:tcBorders/>
          </w:tcPr>
          <w:p/>
        </w:tc>
        <w:tc>
          <w:tcPr>
            <w:tcW w:type="dxa" w:w="7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0" w:after="0"/>
              <w:ind w:left="16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77800" cy="1778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" cy="177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88" w:after="0"/>
              <w:ind w:left="0" w:right="0" w:firstLine="0"/>
              <w:jc w:val="center"/>
            </w:pPr>
            <w:r>
              <w:rPr>
                <w:w w:val="97.8423511280733"/>
                <w:rFonts w:ascii="Calibri" w:hAnsi="Calibri" w:eastAsia="Calibri"/>
                <w:b w:val="0"/>
                <w:i w:val="0"/>
                <w:color w:val="000000"/>
                <w:sz w:val="17"/>
              </w:rPr>
              <w:t>O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1"/>
              </w:rPr>
              <w:t>2-</w:t>
            </w:r>
          </w:p>
        </w:tc>
        <w:tc>
          <w:tcPr>
            <w:tcW w:type="dxa" w:w="130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88" w:after="0"/>
              <w:ind w:left="0" w:right="658" w:firstLine="0"/>
              <w:jc w:val="right"/>
            </w:pPr>
            <w:r>
              <w:rPr>
                <w:w w:val="97.8423511280733"/>
                <w:rFonts w:ascii="Calibri" w:hAnsi="Calibri" w:eastAsia="Calibri"/>
                <w:b w:val="0"/>
                <w:i w:val="0"/>
                <w:color w:val="000000"/>
                <w:sz w:val="17"/>
              </w:rPr>
              <w:t>O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1"/>
              </w:rPr>
              <w:t>2-</w:t>
            </w:r>
          </w:p>
        </w:tc>
        <w:tc>
          <w:tcPr>
            <w:tcW w:type="dxa" w:w="1092"/>
            <w:vMerge/>
            <w:tcBorders/>
          </w:tcPr>
          <w:p/>
        </w:tc>
      </w:tr>
      <w:tr>
        <w:trPr>
          <w:trHeight w:hRule="exact" w:val="280"/>
        </w:trPr>
        <w:tc>
          <w:tcPr>
            <w:tcW w:type="dxa" w:w="1092"/>
            <w:vMerge/>
            <w:tcBorders/>
          </w:tcPr>
          <w:p/>
        </w:tc>
        <w:tc>
          <w:tcPr>
            <w:tcW w:type="dxa" w:w="110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0" w:after="0"/>
              <w:ind w:left="0" w:right="2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355600" cy="1778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600" cy="177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0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68" w:after="0"/>
              <w:ind w:left="40" w:right="0" w:firstLine="0"/>
              <w:jc w:val="left"/>
            </w:pPr>
            <w:r>
              <w:rPr>
                <w:w w:val="97.8423511280733"/>
                <w:rFonts w:ascii="Calibri" w:hAnsi="Calibri" w:eastAsia="Calibri"/>
                <w:b w:val="0"/>
                <w:i w:val="0"/>
                <w:color w:val="000000"/>
                <w:sz w:val="17"/>
              </w:rPr>
              <w:t>O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1"/>
              </w:rPr>
              <w:t>2-</w:t>
            </w:r>
          </w:p>
        </w:tc>
        <w:tc>
          <w:tcPr>
            <w:tcW w:type="dxa" w:w="1092"/>
            <w:vMerge/>
            <w:tcBorders/>
          </w:tcPr>
          <w:p/>
        </w:tc>
        <w:tc>
          <w:tcPr>
            <w:tcW w:type="dxa" w:w="1092"/>
            <w:vMerge/>
            <w:tcBorders/>
          </w:tcPr>
          <w:p/>
        </w:tc>
        <w:tc>
          <w:tcPr>
            <w:tcW w:type="dxa" w:w="1092"/>
            <w:vMerge/>
            <w:tcBorders/>
          </w:tcPr>
          <w:p/>
        </w:tc>
        <w:tc>
          <w:tcPr>
            <w:tcW w:type="dxa" w:w="2184"/>
            <w:gridSpan w:val="2"/>
            <w:vMerge/>
            <w:tcBorders/>
          </w:tcPr>
          <w:p/>
        </w:tc>
        <w:tc>
          <w:tcPr>
            <w:tcW w:type="dxa" w:w="1092"/>
            <w:vMerge/>
            <w:tcBorders/>
          </w:tcPr>
          <w:p/>
        </w:tc>
      </w:tr>
      <w:tr>
        <w:trPr>
          <w:trHeight w:hRule="exact" w:val="380"/>
        </w:trPr>
        <w:tc>
          <w:tcPr>
            <w:tcW w:type="dxa" w:w="1092"/>
            <w:vMerge/>
            <w:tcBorders/>
          </w:tcPr>
          <w:p/>
        </w:tc>
        <w:tc>
          <w:tcPr>
            <w:tcW w:type="dxa" w:w="2184"/>
            <w:gridSpan w:val="2"/>
            <w:vMerge/>
            <w:tcBorders/>
          </w:tcPr>
          <w:p/>
        </w:tc>
        <w:tc>
          <w:tcPr>
            <w:tcW w:type="dxa" w:w="1092"/>
            <w:vMerge/>
            <w:tcBorders/>
          </w:tcPr>
          <w:p/>
        </w:tc>
        <w:tc>
          <w:tcPr>
            <w:tcW w:type="dxa" w:w="1092"/>
            <w:vMerge/>
            <w:tcBorders/>
          </w:tcPr>
          <w:p/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0" w:after="0"/>
              <w:ind w:left="16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68300" cy="17780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00" cy="177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96" w:after="0"/>
              <w:ind w:left="0" w:right="0" w:firstLine="0"/>
              <w:jc w:val="center"/>
            </w:pPr>
            <w:r>
              <w:rPr>
                <w:w w:val="97.8423511280733"/>
                <w:rFonts w:ascii="Calibri" w:hAnsi="Calibri" w:eastAsia="Calibri"/>
                <w:b w:val="0"/>
                <w:i w:val="0"/>
                <w:color w:val="000000"/>
                <w:sz w:val="17"/>
              </w:rPr>
              <w:t>B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1"/>
              </w:rPr>
              <w:t>4+</w:t>
            </w:r>
          </w:p>
        </w:tc>
        <w:tc>
          <w:tcPr>
            <w:tcW w:type="dxa" w:w="13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9" w:lineRule="auto" w:before="96" w:after="0"/>
              <w:ind w:left="0" w:right="284" w:firstLine="0"/>
              <w:jc w:val="right"/>
            </w:pPr>
            <w:r>
              <w:rPr>
                <w:w w:val="97.8423511280733"/>
                <w:rFonts w:ascii="Calibri" w:hAnsi="Calibri" w:eastAsia="Calibri"/>
                <w:b w:val="0"/>
                <w:i w:val="0"/>
                <w:color w:val="000000"/>
                <w:sz w:val="17"/>
              </w:rPr>
              <w:t>Zr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1"/>
              </w:rPr>
              <w:t xml:space="preserve">4+ </w:t>
            </w:r>
            <w:r>
              <w:rPr>
                <w:w w:val="97.8423511280733"/>
                <w:rFonts w:ascii="Calibri" w:hAnsi="Calibri" w:eastAsia="Calibri"/>
                <w:b w:val="0"/>
                <w:i w:val="0"/>
                <w:color w:val="000000"/>
                <w:sz w:val="17"/>
              </w:rPr>
              <w:t>/Ti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1"/>
              </w:rPr>
              <w:t>4+</w:t>
            </w:r>
          </w:p>
        </w:tc>
        <w:tc>
          <w:tcPr>
            <w:tcW w:type="dxa" w:w="1092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45" w:lineRule="auto" w:before="204" w:after="860"/>
        <w:ind w:left="528" w:right="5016" w:firstLine="0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18"/>
        </w:rPr>
        <w:t xml:space="preserve">Fig. 1. Schematic of the crystal structure for (a) orthorhombic hafnium </w:t>
      </w:r>
      <w:r>
        <w:br/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>oxide and b) a typical perovskite of the general form ABO</w:t>
      </w:r>
      <w:r>
        <w:rPr>
          <w:rFonts w:ascii="TimesNewRoman" w:hAnsi="TimesNewRoman" w:eastAsia="TimesNewRoman"/>
          <w:b w:val="0"/>
          <w:i w:val="0"/>
          <w:color w:val="000000"/>
          <w:sz w:val="12"/>
        </w:rPr>
        <w:t>3</w:t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 xml:space="preserve">. The arrows </w:t>
      </w:r>
      <w:r>
        <w:br/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 xml:space="preserve">indicate the movement of the ions during ferroelectric switching. In today’s </w:t>
      </w:r>
      <w:r>
        <w:br/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 xml:space="preserve">commercial nonvolatile memories the perovskite lead zirconium titanate </w:t>
      </w:r>
      <w:r>
        <w:br/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 xml:space="preserve">(PZT) is the standard ferroelectric material used.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15.99999999999994" w:type="dxa"/>
      </w:tblPr>
      <w:tblGrid>
        <w:gridCol w:w="3641"/>
        <w:gridCol w:w="3641"/>
        <w:gridCol w:w="3641"/>
      </w:tblGrid>
      <w:tr>
        <w:trPr>
          <w:trHeight w:hRule="exact" w:val="382"/>
        </w:trPr>
        <w:tc>
          <w:tcPr>
            <w:tcW w:type="dxa" w:w="2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70" w:after="0"/>
              <w:ind w:left="354" w:right="0" w:firstLine="0"/>
              <w:jc w:val="left"/>
            </w:pPr>
            <w:r>
              <w:rPr>
                <w:rFonts w:ascii="ArialUnicodeMS" w:hAnsi="ArialUnicodeMS" w:eastAsia="ArialUnicodeMS"/>
                <w:b w:val="0"/>
                <w:i w:val="0"/>
                <w:color w:val="000000"/>
                <w:sz w:val="19"/>
              </w:rPr>
              <w:t>a)  1T/1C FeRAM</w:t>
            </w:r>
          </w:p>
        </w:tc>
        <w:tc>
          <w:tcPr>
            <w:tcW w:type="dxa" w:w="2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60" w:after="0"/>
              <w:ind w:left="0" w:right="836" w:firstLine="0"/>
              <w:jc w:val="right"/>
            </w:pPr>
            <w:r>
              <w:rPr>
                <w:rFonts w:ascii="ArialUnicodeMS" w:hAnsi="ArialUnicodeMS" w:eastAsia="ArialUnicodeMS"/>
                <w:b w:val="0"/>
                <w:i w:val="0"/>
                <w:color w:val="000000"/>
                <w:sz w:val="19"/>
              </w:rPr>
              <w:t>b)  FeFET</w:t>
            </w:r>
          </w:p>
        </w:tc>
        <w:tc>
          <w:tcPr>
            <w:tcW w:type="dxa" w:w="3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60" w:after="0"/>
              <w:ind w:left="836" w:right="0" w:firstLine="0"/>
              <w:jc w:val="left"/>
            </w:pPr>
            <w:r>
              <w:rPr>
                <w:rFonts w:ascii="ArialUnicodeMS" w:hAnsi="ArialUnicodeMS" w:eastAsia="ArialUnicodeMS"/>
                <w:b w:val="0"/>
                <w:i w:val="0"/>
                <w:color w:val="000000"/>
                <w:sz w:val="19"/>
              </w:rPr>
              <w:t>c) FTJ</w:t>
            </w:r>
          </w:p>
        </w:tc>
      </w:tr>
    </w:tbl>
    <w:p>
      <w:pPr>
        <w:autoSpaceDN w:val="0"/>
        <w:autoSpaceDE w:val="0"/>
        <w:widowControl/>
        <w:spacing w:line="185" w:lineRule="auto" w:before="94" w:after="0"/>
        <w:ind w:left="700" w:right="0" w:firstLine="0"/>
        <w:jc w:val="left"/>
      </w:pPr>
      <w:r>
        <w:rPr>
          <w:rFonts w:ascii="ArialUnicodeMS" w:hAnsi="ArialUnicodeMS" w:eastAsia="ArialUnicodeMS"/>
          <w:b w:val="0"/>
          <w:i w:val="0"/>
          <w:color w:val="000000"/>
          <w:sz w:val="17"/>
        </w:rPr>
        <w:t>WL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780"/>
        <w:gridCol w:w="780"/>
        <w:gridCol w:w="780"/>
        <w:gridCol w:w="780"/>
        <w:gridCol w:w="780"/>
        <w:gridCol w:w="780"/>
        <w:gridCol w:w="780"/>
        <w:gridCol w:w="780"/>
        <w:gridCol w:w="780"/>
        <w:gridCol w:w="780"/>
        <w:gridCol w:w="780"/>
        <w:gridCol w:w="780"/>
        <w:gridCol w:w="780"/>
        <w:gridCol w:w="780"/>
      </w:tblGrid>
      <w:tr>
        <w:trPr>
          <w:trHeight w:hRule="exact" w:val="380"/>
        </w:trPr>
        <w:tc>
          <w:tcPr>
            <w:tcW w:type="dxa" w:w="654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98" w:after="0"/>
              <w:ind w:left="0" w:right="2" w:firstLine="0"/>
              <w:jc w:val="right"/>
            </w:pPr>
            <w:r>
              <w:rPr>
                <w:rFonts w:ascii="ArialUnicodeMS" w:hAnsi="ArialUnicodeMS" w:eastAsia="ArialUnicodeMS"/>
                <w:b w:val="0"/>
                <w:i w:val="0"/>
                <w:color w:val="000000"/>
                <w:sz w:val="17"/>
              </w:rPr>
              <w:t>BL</w:t>
            </w:r>
          </w:p>
        </w:tc>
        <w:tc>
          <w:tcPr>
            <w:tcW w:type="dxa" w:w="1902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016000" cy="14732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000" cy="1473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54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422" w:after="0"/>
              <w:ind w:left="0" w:right="6" w:firstLine="0"/>
              <w:jc w:val="right"/>
            </w:pPr>
            <w:r>
              <w:rPr>
                <w:rFonts w:ascii="ArialUnicodeMS" w:hAnsi="ArialUnicodeMS" w:eastAsia="ArialUnicodeMS"/>
                <w:b w:val="0"/>
                <w:i w:val="0"/>
                <w:color w:val="000000"/>
                <w:sz w:val="17"/>
              </w:rPr>
              <w:t>BL</w:t>
            </w:r>
          </w:p>
        </w:tc>
        <w:tc>
          <w:tcPr>
            <w:tcW w:type="dxa" w:w="1906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154" w:after="0"/>
              <w:ind w:left="42" w:right="0" w:firstLine="0"/>
              <w:jc w:val="left"/>
            </w:pPr>
            <w:r>
              <w:rPr>
                <w:rFonts w:ascii="ArialUnicodeMS" w:hAnsi="ArialUnicodeMS" w:eastAsia="ArialUnicodeMS"/>
                <w:b w:val="0"/>
                <w:i w:val="0"/>
                <w:color w:val="000000"/>
                <w:sz w:val="17"/>
              </w:rPr>
              <w:t>WL</w:t>
            </w:r>
          </w:p>
        </w:tc>
        <w:tc>
          <w:tcPr>
            <w:tcW w:type="dxa" w:w="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390" w:after="0"/>
              <w:ind w:left="0" w:right="0" w:firstLine="0"/>
              <w:jc w:val="center"/>
            </w:pPr>
            <w:r>
              <w:rPr>
                <w:rFonts w:ascii="ArialUnicodeMS" w:hAnsi="ArialUnicodeMS" w:eastAsia="ArialUnicodeMS"/>
                <w:b w:val="0"/>
                <w:i w:val="0"/>
                <w:color w:val="000000"/>
                <w:sz w:val="17"/>
              </w:rPr>
              <w:t>WL</w:t>
            </w:r>
          </w:p>
        </w:tc>
        <w:tc>
          <w:tcPr>
            <w:tcW w:type="dxa" w:w="548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40" w:after="0"/>
              <w:ind w:left="4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965200" cy="92710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5200" cy="9271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185" w:lineRule="auto" w:before="0" w:after="0"/>
              <w:ind w:left="452" w:right="0" w:firstLine="0"/>
              <w:jc w:val="left"/>
            </w:pPr>
            <w:r>
              <w:rPr>
                <w:rFonts w:ascii="ArialUnicodeMS" w:hAnsi="ArialUnicodeMS" w:eastAsia="ArialUnicodeMS"/>
                <w:b w:val="0"/>
                <w:i w:val="0"/>
                <w:color w:val="000000"/>
                <w:sz w:val="17"/>
              </w:rPr>
              <w:t>BL</w:t>
            </w:r>
          </w:p>
        </w:tc>
      </w:tr>
      <w:tr>
        <w:trPr>
          <w:trHeight w:hRule="exact" w:val="790"/>
        </w:trPr>
        <w:tc>
          <w:tcPr>
            <w:tcW w:type="dxa" w:w="654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1614" w:after="0"/>
              <w:ind w:left="0" w:right="44" w:firstLine="0"/>
              <w:jc w:val="right"/>
            </w:pPr>
            <w:r>
              <w:rPr>
                <w:rFonts w:ascii="ArialUnicodeMS" w:hAnsi="ArialUnicodeMS" w:eastAsia="ArialUnicodeMS"/>
                <w:b w:val="0"/>
                <w:i w:val="0"/>
                <w:color w:val="000000"/>
                <w:sz w:val="17"/>
              </w:rPr>
              <w:t>PL</w:t>
            </w:r>
          </w:p>
        </w:tc>
        <w:tc>
          <w:tcPr>
            <w:tcW w:type="dxa" w:w="1560"/>
            <w:gridSpan w:val="2"/>
            <w:vMerge/>
            <w:tcBorders/>
          </w:tcPr>
          <w:p/>
        </w:tc>
        <w:tc>
          <w:tcPr>
            <w:tcW w:type="dxa" w:w="1560"/>
            <w:gridSpan w:val="2"/>
            <w:vMerge/>
            <w:tcBorders/>
          </w:tcPr>
          <w:p/>
        </w:tc>
        <w:tc>
          <w:tcPr>
            <w:tcW w:type="dxa" w:w="1906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6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016000" cy="111760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000" cy="111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80"/>
            <w:vMerge/>
            <w:tcBorders/>
          </w:tcPr>
          <w:p/>
        </w:tc>
        <w:tc>
          <w:tcPr>
            <w:tcW w:type="dxa" w:w="2340"/>
            <w:gridSpan w:val="3"/>
            <w:vMerge/>
            <w:tcBorders/>
          </w:tcPr>
          <w:p/>
        </w:tc>
      </w:tr>
      <w:tr>
        <w:trPr>
          <w:trHeight w:hRule="exact" w:val="1310"/>
        </w:trPr>
        <w:tc>
          <w:tcPr>
            <w:tcW w:type="dxa" w:w="1560"/>
            <w:gridSpan w:val="2"/>
            <w:vMerge/>
            <w:tcBorders/>
          </w:tcPr>
          <w:p/>
        </w:tc>
        <w:tc>
          <w:tcPr>
            <w:tcW w:type="dxa" w:w="1560"/>
            <w:gridSpan w:val="2"/>
            <w:vMerge/>
            <w:tcBorders/>
          </w:tcPr>
          <w:p/>
        </w:tc>
        <w:tc>
          <w:tcPr>
            <w:tcW w:type="dxa" w:w="554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522" w:after="0"/>
              <w:ind w:left="0" w:right="46" w:firstLine="0"/>
              <w:jc w:val="right"/>
            </w:pPr>
            <w:r>
              <w:rPr>
                <w:rFonts w:ascii="ArialUnicodeMS" w:hAnsi="ArialUnicodeMS" w:eastAsia="ArialUnicodeMS"/>
                <w:b w:val="0"/>
                <w:i w:val="0"/>
                <w:color w:val="000000"/>
                <w:sz w:val="17"/>
              </w:rPr>
              <w:t>SL</w:t>
            </w:r>
          </w:p>
        </w:tc>
        <w:tc>
          <w:tcPr>
            <w:tcW w:type="dxa" w:w="3120"/>
            <w:gridSpan w:val="4"/>
            <w:vMerge/>
            <w:tcBorders/>
          </w:tcPr>
          <w:p/>
        </w:tc>
        <w:tc>
          <w:tcPr>
            <w:tcW w:type="dxa" w:w="780"/>
            <w:vMerge/>
            <w:tcBorders/>
          </w:tcPr>
          <w:p/>
        </w:tc>
        <w:tc>
          <w:tcPr>
            <w:tcW w:type="dxa" w:w="2340"/>
            <w:gridSpan w:val="3"/>
            <w:vMerge/>
            <w:tcBorders/>
          </w:tcPr>
          <w:p/>
        </w:tc>
      </w:tr>
      <w:tr>
        <w:trPr>
          <w:trHeight w:hRule="exact" w:val="1520"/>
        </w:trPr>
        <w:tc>
          <w:tcPr>
            <w:tcW w:type="dxa" w:w="7126"/>
            <w:gridSpan w:val="1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06" w:after="0"/>
              <w:ind w:left="298" w:right="140" w:firstLine="0"/>
              <w:jc w:val="both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 xml:space="preserve">Fig. 2. Different options to realize a memory cell from a ferroelectric material. a) 1T/1C 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 xml:space="preserve">FeRAM cell. This cell resembles the cell of a dynamic random access memory with the 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 xml:space="preserve">capacitor dielectric replaced by the ferroelectric. b) Ferroelectric Field Effect Transistor 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 xml:space="preserve">(FeFET) cell. Here, the ferroelectric is used as the gate dielectric of a MOSFET. c) 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 xml:space="preserve">Ferroelectric Tunneling Junction (FTJ). In the FTJ, a very thin ferroelectric is used that allows 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 xml:space="preserve">tunneling and the tunneling current is modulated by the polarization of the ferroelectric </w:t>
            </w:r>
          </w:p>
        </w:tc>
        <w:tc>
          <w:tcPr>
            <w:tcW w:type="dxa" w:w="375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62" w:after="0"/>
              <w:ind w:left="140" w:right="642" w:firstLine="0"/>
              <w:jc w:val="both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 xml:space="preserve">Fig. 3. a) FeRAM cell connected to 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 xml:space="preserve">wordline (WL), bitline (BL), plate line 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 xml:space="preserve">(PL) and sense amplifier. (b) Plate line 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 xml:space="preserve">(PL), wordline (WL) and bitline (BL) 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 xml:space="preserve">signals during read operation. </w:t>
            </w:r>
          </w:p>
        </w:tc>
      </w:tr>
      <w:tr>
        <w:trPr>
          <w:trHeight w:hRule="exact" w:val="860"/>
        </w:trPr>
        <w:tc>
          <w:tcPr>
            <w:tcW w:type="dxa" w:w="53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226" w:after="0"/>
              <w:ind w:left="0" w:right="96" w:firstLine="0"/>
              <w:jc w:val="right"/>
            </w:pPr>
            <w:r>
              <w:rPr>
                <w:w w:val="101.47651803904567"/>
                <w:rFonts w:ascii="ArialUnicodeMS" w:hAnsi="ArialUnicodeMS" w:eastAsia="ArialUnicodeMS"/>
                <w:b w:val="0"/>
                <w:i w:val="0"/>
                <w:color w:val="000000"/>
                <w:sz w:val="29"/>
              </w:rPr>
              <w:t>a)</w:t>
            </w:r>
          </w:p>
        </w:tc>
        <w:tc>
          <w:tcPr>
            <w:tcW w:type="dxa" w:w="202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auto" w:before="330" w:after="0"/>
              <w:ind w:left="0" w:right="234" w:firstLine="0"/>
              <w:jc w:val="right"/>
            </w:pPr>
            <w:r>
              <w:rPr>
                <w:rFonts w:ascii="ArialUnicodeMS" w:hAnsi="ArialUnicodeMS" w:eastAsia="ArialUnicodeMS"/>
                <w:b w:val="0"/>
                <w:i w:val="0"/>
                <w:color w:val="000000"/>
                <w:sz w:val="22"/>
              </w:rPr>
              <w:t>PL</w:t>
            </w:r>
          </w:p>
        </w:tc>
        <w:tc>
          <w:tcPr>
            <w:tcW w:type="dxa" w:w="95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184" w:after="0"/>
              <w:ind w:left="0" w:right="428" w:firstLine="0"/>
              <w:jc w:val="right"/>
            </w:pPr>
            <w:r>
              <w:rPr>
                <w:w w:val="101.47651803904567"/>
                <w:rFonts w:ascii="ArialUnicodeMS" w:hAnsi="ArialUnicodeMS" w:eastAsia="ArialUnicodeMS"/>
                <w:b w:val="0"/>
                <w:i w:val="0"/>
                <w:color w:val="000000"/>
                <w:sz w:val="29"/>
              </w:rPr>
              <w:t>b)</w:t>
            </w:r>
          </w:p>
        </w:tc>
        <w:tc>
          <w:tcPr>
            <w:tcW w:type="dxa" w:w="1062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auto" w:before="548" w:after="0"/>
              <w:ind w:left="0" w:right="242" w:firstLine="0"/>
              <w:jc w:val="right"/>
            </w:pPr>
            <w:r>
              <w:rPr>
                <w:rFonts w:ascii="ArialUnicodeMS" w:hAnsi="ArialUnicodeMS" w:eastAsia="ArialUnicodeMS"/>
                <w:b w:val="0"/>
                <w:i w:val="0"/>
                <w:color w:val="000000"/>
                <w:sz w:val="22"/>
              </w:rPr>
              <w:t>PL1</w:t>
            </w:r>
          </w:p>
        </w:tc>
        <w:tc>
          <w:tcPr>
            <w:tcW w:type="dxa" w:w="6308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528" w:after="0"/>
              <w:ind w:left="240" w:right="0" w:firstLine="0"/>
              <w:jc w:val="left"/>
            </w:pPr>
            <w:r>
              <w:rPr>
                <w:rFonts w:ascii="ArialUnicodeMS" w:hAnsi="ArialUnicodeMS" w:eastAsia="ArialUnicodeMS"/>
                <w:b w:val="0"/>
                <w:i w:val="0"/>
                <w:color w:val="000000"/>
                <w:sz w:val="22"/>
              </w:rPr>
              <w:t>PL2</w:t>
            </w:r>
          </w:p>
        </w:tc>
      </w:tr>
      <w:tr>
        <w:trPr>
          <w:trHeight w:hRule="exact" w:val="408"/>
        </w:trPr>
        <w:tc>
          <w:tcPr>
            <w:tcW w:type="dxa" w:w="2556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auto" w:before="46" w:after="0"/>
              <w:ind w:left="0" w:right="1066" w:firstLine="0"/>
              <w:jc w:val="right"/>
            </w:pPr>
            <w:r>
              <w:rPr>
                <w:rFonts w:ascii="ArialUnicodeMS" w:hAnsi="ArialUnicodeMS" w:eastAsia="ArialUnicodeMS"/>
                <w:b w:val="0"/>
                <w:i w:val="0"/>
                <w:color w:val="000000"/>
                <w:sz w:val="22"/>
              </w:rPr>
              <w:t>C1</w:t>
            </w:r>
          </w:p>
        </w:tc>
        <w:tc>
          <w:tcPr>
            <w:tcW w:type="dxa" w:w="8320"/>
            <w:gridSpan w:val="10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112" w:after="0"/>
              <w:ind w:left="0" w:right="5950" w:firstLine="0"/>
              <w:jc w:val="right"/>
            </w:pPr>
            <w:r>
              <w:rPr>
                <w:rFonts w:ascii="ArialUnicodeMS" w:hAnsi="ArialUnicodeMS" w:eastAsia="ArialUnicodeMS"/>
                <w:b w:val="0"/>
                <w:i w:val="0"/>
                <w:color w:val="000000"/>
                <w:sz w:val="22"/>
              </w:rPr>
              <w:t>TS</w:t>
            </w:r>
          </w:p>
        </w:tc>
      </w:tr>
      <w:tr>
        <w:trPr>
          <w:trHeight w:hRule="exact" w:val="292"/>
        </w:trPr>
        <w:tc>
          <w:tcPr>
            <w:tcW w:type="dxa" w:w="1408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auto" w:before="0" w:after="0"/>
              <w:ind w:left="0" w:right="354" w:firstLine="0"/>
              <w:jc w:val="right"/>
            </w:pPr>
            <w:r>
              <w:rPr>
                <w:rFonts w:ascii="ArialUnicodeMS" w:hAnsi="ArialUnicodeMS" w:eastAsia="ArialUnicodeMS"/>
                <w:b w:val="0"/>
                <w:i w:val="0"/>
                <w:color w:val="000000"/>
                <w:sz w:val="22"/>
              </w:rPr>
              <w:t>TR</w:t>
            </w:r>
          </w:p>
        </w:tc>
        <w:tc>
          <w:tcPr>
            <w:tcW w:type="dxa" w:w="114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46" w:after="0"/>
              <w:ind w:left="0" w:right="588" w:firstLine="0"/>
              <w:jc w:val="right"/>
            </w:pPr>
            <w:r>
              <w:rPr>
                <w:w w:val="98.0906359354655"/>
                <w:rFonts w:ascii="ArialUnicodeMS" w:hAnsi="ArialUnicodeMS" w:eastAsia="ArialUnicodeMS"/>
                <w:b w:val="0"/>
                <w:i w:val="0"/>
                <w:color w:val="000000"/>
                <w:sz w:val="15"/>
              </w:rPr>
              <w:t>SN</w:t>
            </w:r>
          </w:p>
        </w:tc>
        <w:tc>
          <w:tcPr>
            <w:tcW w:type="dxa" w:w="1614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0" w:after="0"/>
              <w:ind w:left="0" w:right="354" w:firstLine="0"/>
              <w:jc w:val="right"/>
            </w:pPr>
            <w:r>
              <w:rPr>
                <w:rFonts w:ascii="ArialUnicodeMS" w:hAnsi="ArialUnicodeMS" w:eastAsia="ArialUnicodeMS"/>
                <w:b w:val="0"/>
                <w:i w:val="0"/>
                <w:color w:val="000000"/>
                <w:sz w:val="22"/>
              </w:rPr>
              <w:t>TR</w:t>
            </w:r>
          </w:p>
        </w:tc>
        <w:tc>
          <w:tcPr>
            <w:tcW w:type="dxa" w:w="6706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auto" w:before="52" w:after="0"/>
              <w:ind w:left="352" w:right="0" w:firstLine="0"/>
              <w:jc w:val="left"/>
            </w:pPr>
            <w:r>
              <w:rPr>
                <w:w w:val="98.0906359354655"/>
                <w:rFonts w:ascii="ArialUnicodeMS" w:hAnsi="ArialUnicodeMS" w:eastAsia="ArialUnicodeMS"/>
                <w:b w:val="0"/>
                <w:i w:val="0"/>
                <w:color w:val="000000"/>
                <w:sz w:val="15"/>
              </w:rPr>
              <w:t>SN</w:t>
            </w:r>
          </w:p>
        </w:tc>
      </w:tr>
      <w:tr>
        <w:trPr>
          <w:trHeight w:hRule="exact" w:val="320"/>
        </w:trPr>
        <w:tc>
          <w:tcPr>
            <w:tcW w:type="dxa" w:w="2556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10" w:after="0"/>
              <w:ind w:left="0" w:right="852" w:firstLine="0"/>
              <w:jc w:val="right"/>
            </w:pPr>
            <w:r>
              <w:rPr>
                <w:rFonts w:ascii="ArialUnicodeMS" w:hAnsi="ArialUnicodeMS" w:eastAsia="ArialUnicodeMS"/>
                <w:b w:val="0"/>
                <w:i w:val="0"/>
                <w:color w:val="000000"/>
                <w:sz w:val="22"/>
              </w:rPr>
              <w:t>TP</w:t>
            </w:r>
          </w:p>
        </w:tc>
        <w:tc>
          <w:tcPr>
            <w:tcW w:type="dxa" w:w="8320"/>
            <w:gridSpan w:val="10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14" w:after="0"/>
              <w:ind w:left="1626" w:right="0" w:firstLine="0"/>
              <w:jc w:val="left"/>
            </w:pPr>
            <w:r>
              <w:rPr>
                <w:rFonts w:ascii="ArialUnicodeMS" w:hAnsi="ArialUnicodeMS" w:eastAsia="ArialUnicodeMS"/>
                <w:b w:val="0"/>
                <w:i w:val="0"/>
                <w:color w:val="000000"/>
                <w:sz w:val="22"/>
              </w:rPr>
              <w:t>TP</w:t>
            </w:r>
          </w:p>
        </w:tc>
      </w:tr>
      <w:tr>
        <w:trPr>
          <w:trHeight w:hRule="exact" w:val="520"/>
        </w:trPr>
        <w:tc>
          <w:tcPr>
            <w:tcW w:type="dxa" w:w="2556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208" w:after="0"/>
              <w:ind w:left="376" w:right="0" w:firstLine="0"/>
              <w:jc w:val="left"/>
            </w:pPr>
            <w:r>
              <w:rPr>
                <w:rFonts w:ascii="ArialUnicodeMS" w:hAnsi="ArialUnicodeMS" w:eastAsia="ArialUnicodeMS"/>
                <w:b w:val="0"/>
                <w:i w:val="0"/>
                <w:color w:val="000000"/>
                <w:sz w:val="22"/>
              </w:rPr>
              <w:t>BL</w:t>
            </w:r>
          </w:p>
        </w:tc>
        <w:tc>
          <w:tcPr>
            <w:tcW w:type="dxa" w:w="45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auto" w:before="48" w:after="0"/>
              <w:ind w:left="0" w:right="0" w:firstLine="0"/>
              <w:jc w:val="center"/>
            </w:pPr>
            <w:r>
              <w:rPr>
                <w:rFonts w:ascii="ArialUnicodeMS" w:hAnsi="ArialUnicodeMS" w:eastAsia="ArialUnicodeMS"/>
                <w:b w:val="0"/>
                <w:i w:val="0"/>
                <w:color w:val="000000"/>
                <w:sz w:val="22"/>
              </w:rPr>
              <w:t>SL</w:t>
            </w:r>
          </w:p>
        </w:tc>
        <w:tc>
          <w:tcPr>
            <w:tcW w:type="dxa" w:w="2008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auto" w:before="214" w:after="0"/>
              <w:ind w:left="130" w:right="0" w:firstLine="0"/>
              <w:jc w:val="left"/>
            </w:pPr>
            <w:r>
              <w:rPr>
                <w:rFonts w:ascii="ArialUnicodeMS" w:hAnsi="ArialUnicodeMS" w:eastAsia="ArialUnicodeMS"/>
                <w:b w:val="0"/>
                <w:i w:val="0"/>
                <w:color w:val="000000"/>
                <w:sz w:val="22"/>
              </w:rPr>
              <w:t>BL</w:t>
            </w:r>
          </w:p>
        </w:tc>
        <w:tc>
          <w:tcPr>
            <w:tcW w:type="dxa" w:w="586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52" w:after="0"/>
              <w:ind w:left="354" w:right="0" w:firstLine="0"/>
              <w:jc w:val="left"/>
            </w:pPr>
            <w:r>
              <w:rPr>
                <w:rFonts w:ascii="ArialUnicodeMS" w:hAnsi="ArialUnicodeMS" w:eastAsia="ArialUnicodeMS"/>
                <w:b w:val="0"/>
                <w:i w:val="0"/>
                <w:color w:val="000000"/>
                <w:sz w:val="22"/>
              </w:rPr>
              <w:t>SL</w:t>
            </w:r>
          </w:p>
        </w:tc>
      </w:tr>
      <w:tr>
        <w:trPr>
          <w:trHeight w:hRule="exact" w:val="480"/>
        </w:trPr>
        <w:tc>
          <w:tcPr>
            <w:tcW w:type="dxa" w:w="2556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24" w:after="0"/>
              <w:ind w:left="0" w:right="40" w:firstLine="0"/>
              <w:jc w:val="right"/>
            </w:pPr>
            <w:r>
              <w:rPr>
                <w:rFonts w:ascii="ArialUnicodeMS" w:hAnsi="ArialUnicodeMS" w:eastAsia="ArialUnicodeMS"/>
                <w:b w:val="0"/>
                <w:i w:val="0"/>
                <w:color w:val="000000"/>
                <w:sz w:val="22"/>
              </w:rPr>
              <w:t>WL</w:t>
            </w:r>
          </w:p>
        </w:tc>
        <w:tc>
          <w:tcPr>
            <w:tcW w:type="dxa" w:w="8320"/>
            <w:gridSpan w:val="10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auto" w:before="30" w:after="0"/>
              <w:ind w:left="0" w:right="5598" w:firstLine="0"/>
              <w:jc w:val="right"/>
            </w:pPr>
            <w:r>
              <w:rPr>
                <w:rFonts w:ascii="ArialUnicodeMS" w:hAnsi="ArialUnicodeMS" w:eastAsia="ArialUnicodeMS"/>
                <w:b w:val="0"/>
                <w:i w:val="0"/>
                <w:color w:val="000000"/>
                <w:sz w:val="22"/>
              </w:rPr>
              <w:t>WL</w:t>
            </w:r>
          </w:p>
        </w:tc>
      </w:tr>
      <w:tr>
        <w:trPr>
          <w:trHeight w:hRule="exact" w:val="1120"/>
        </w:trPr>
        <w:tc>
          <w:tcPr>
            <w:tcW w:type="dxa" w:w="6016"/>
            <w:gridSpan w:val="1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82" w:after="0"/>
              <w:ind w:left="0" w:right="110" w:firstLine="0"/>
              <w:jc w:val="both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 xml:space="preserve">Fig. 4. a) 2T-1C FeRAM cell. The read transistor TR provides the amplification 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 xml:space="preserve">to read the signal on the storage node SN. The precharge transistor TP allows to 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 xml:space="preserve">precharge the storage node to a defined level. b) Variant of the 2T-1C cell where 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 xml:space="preserve">the capacitor is realized by a ferroelectric field effect transistor. </w:t>
            </w:r>
          </w:p>
        </w:tc>
        <w:tc>
          <w:tcPr>
            <w:tcW w:type="dxa" w:w="486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328" w:after="0"/>
              <w:ind w:left="122" w:right="42" w:firstLine="0"/>
              <w:jc w:val="both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 xml:space="preserve">Fig. 5. a) Pulsing scheme and b) measurement results to 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 xml:space="preserve">demonstrate the feasibility of the 2T-1C concept in the 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 xml:space="preserve">implementation given in fig. 5b). </w:t>
            </w:r>
          </w:p>
        </w:tc>
      </w:tr>
      <w:tr>
        <w:trPr>
          <w:trHeight w:hRule="exact" w:val="304"/>
        </w:trPr>
        <w:tc>
          <w:tcPr>
            <w:tcW w:type="dxa" w:w="6016"/>
            <w:gridSpan w:val="1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122" w:after="0"/>
              <w:ind w:left="0" w:right="414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>15.5.3</w:t>
            </w:r>
          </w:p>
        </w:tc>
        <w:tc>
          <w:tcPr>
            <w:tcW w:type="dxa" w:w="486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122" w:after="0"/>
              <w:ind w:left="0" w:right="1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>IEDM19-356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430" w:right="572" w:bottom="158" w:left="744" w:header="720" w:footer="720" w:gutter="0"/>
          <w:cols w:space="720" w:num="1" w:equalWidth="0">
            <w:col w:w="10923" w:space="0"/>
            <w:col w:w="10660" w:space="0"/>
            <w:col w:w="5514" w:space="0"/>
            <w:col w:w="5146" w:space="0"/>
            <w:col w:w="10750" w:space="0"/>
            <w:col w:w="5264" w:space="0"/>
            <w:col w:w="5486" w:space="0"/>
            <w:col w:w="1075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736600</wp:posOffset>
            </wp:positionH>
            <wp:positionV relativeFrom="page">
              <wp:posOffset>3835400</wp:posOffset>
            </wp:positionV>
            <wp:extent cx="1879600" cy="838200"/>
            <wp:wrapNone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79600" cy="838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5994400</wp:posOffset>
            </wp:positionH>
            <wp:positionV relativeFrom="page">
              <wp:posOffset>8572500</wp:posOffset>
            </wp:positionV>
            <wp:extent cx="38100" cy="38100"/>
            <wp:wrapNone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5930900</wp:posOffset>
            </wp:positionH>
            <wp:positionV relativeFrom="page">
              <wp:posOffset>8572500</wp:posOffset>
            </wp:positionV>
            <wp:extent cx="63500" cy="38100"/>
            <wp:wrapNone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3503929</wp:posOffset>
            </wp:positionH>
            <wp:positionV relativeFrom="page">
              <wp:posOffset>6916420</wp:posOffset>
            </wp:positionV>
            <wp:extent cx="3190240" cy="1920450"/>
            <wp:wrapNone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90240" cy="19204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5880100</wp:posOffset>
            </wp:positionH>
            <wp:positionV relativeFrom="page">
              <wp:posOffset>8509000</wp:posOffset>
            </wp:positionV>
            <wp:extent cx="165100" cy="50800"/>
            <wp:wrapNone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5892800</wp:posOffset>
            </wp:positionH>
            <wp:positionV relativeFrom="page">
              <wp:posOffset>8572500</wp:posOffset>
            </wp:positionV>
            <wp:extent cx="38100" cy="38100"/>
            <wp:wrapNone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6464300</wp:posOffset>
            </wp:positionH>
            <wp:positionV relativeFrom="page">
              <wp:posOffset>8483600</wp:posOffset>
            </wp:positionV>
            <wp:extent cx="38100" cy="38100"/>
            <wp:wrapNone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6540500</wp:posOffset>
            </wp:positionH>
            <wp:positionV relativeFrom="page">
              <wp:posOffset>7797800</wp:posOffset>
            </wp:positionV>
            <wp:extent cx="50800" cy="38100"/>
            <wp:wrapNone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2881630</wp:posOffset>
            </wp:positionH>
            <wp:positionV relativeFrom="page">
              <wp:posOffset>3172460</wp:posOffset>
            </wp:positionV>
            <wp:extent cx="4194810" cy="2925579"/>
            <wp:wrapNone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94810" cy="292557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4064000</wp:posOffset>
            </wp:positionH>
            <wp:positionV relativeFrom="page">
              <wp:posOffset>5334000</wp:posOffset>
            </wp:positionV>
            <wp:extent cx="38100" cy="38100"/>
            <wp:wrapNone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6604000</wp:posOffset>
            </wp:positionH>
            <wp:positionV relativeFrom="page">
              <wp:posOffset>5829300</wp:posOffset>
            </wp:positionV>
            <wp:extent cx="38100" cy="38100"/>
            <wp:wrapNone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6731000</wp:posOffset>
            </wp:positionH>
            <wp:positionV relativeFrom="page">
              <wp:posOffset>5245100</wp:posOffset>
            </wp:positionV>
            <wp:extent cx="38100" cy="38100"/>
            <wp:wrapNone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6769100</wp:posOffset>
            </wp:positionH>
            <wp:positionV relativeFrom="page">
              <wp:posOffset>5207000</wp:posOffset>
            </wp:positionV>
            <wp:extent cx="63500" cy="76200"/>
            <wp:wrapNone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6756400</wp:posOffset>
            </wp:positionH>
            <wp:positionV relativeFrom="page">
              <wp:posOffset>5168900</wp:posOffset>
            </wp:positionV>
            <wp:extent cx="63500" cy="63500"/>
            <wp:wrapNone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6654800</wp:posOffset>
            </wp:positionH>
            <wp:positionV relativeFrom="page">
              <wp:posOffset>5168900</wp:posOffset>
            </wp:positionV>
            <wp:extent cx="76200" cy="101600"/>
            <wp:wrapNone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5969000</wp:posOffset>
            </wp:positionH>
            <wp:positionV relativeFrom="page">
              <wp:posOffset>5245100</wp:posOffset>
            </wp:positionV>
            <wp:extent cx="38100" cy="38100"/>
            <wp:wrapNone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5918200</wp:posOffset>
            </wp:positionH>
            <wp:positionV relativeFrom="page">
              <wp:posOffset>5245100</wp:posOffset>
            </wp:positionV>
            <wp:extent cx="38100" cy="38100"/>
            <wp:wrapNone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5803900</wp:posOffset>
            </wp:positionH>
            <wp:positionV relativeFrom="page">
              <wp:posOffset>5232400</wp:posOffset>
            </wp:positionV>
            <wp:extent cx="88900" cy="50800"/>
            <wp:wrapNone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5943600</wp:posOffset>
            </wp:positionH>
            <wp:positionV relativeFrom="page">
              <wp:posOffset>5168900</wp:posOffset>
            </wp:positionV>
            <wp:extent cx="38100" cy="63500"/>
            <wp:wrapNone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5867400</wp:posOffset>
            </wp:positionH>
            <wp:positionV relativeFrom="page">
              <wp:posOffset>5168900</wp:posOffset>
            </wp:positionV>
            <wp:extent cx="50800" cy="38100"/>
            <wp:wrapNone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5803900</wp:posOffset>
            </wp:positionH>
            <wp:positionV relativeFrom="page">
              <wp:posOffset>5168900</wp:posOffset>
            </wp:positionV>
            <wp:extent cx="63500" cy="38100"/>
            <wp:wrapNone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5702300</wp:posOffset>
            </wp:positionH>
            <wp:positionV relativeFrom="page">
              <wp:posOffset>5168900</wp:posOffset>
            </wp:positionV>
            <wp:extent cx="50800" cy="63500"/>
            <wp:wrapNone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5549900</wp:posOffset>
            </wp:positionH>
            <wp:positionV relativeFrom="page">
              <wp:posOffset>5168900</wp:posOffset>
            </wp:positionV>
            <wp:extent cx="63500" cy="38100"/>
            <wp:wrapNone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6731000</wp:posOffset>
            </wp:positionH>
            <wp:positionV relativeFrom="page">
              <wp:posOffset>4508500</wp:posOffset>
            </wp:positionV>
            <wp:extent cx="50800" cy="38100"/>
            <wp:wrapNone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6781800</wp:posOffset>
            </wp:positionH>
            <wp:positionV relativeFrom="page">
              <wp:posOffset>4483100</wp:posOffset>
            </wp:positionV>
            <wp:extent cx="50800" cy="63500"/>
            <wp:wrapNone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6769100</wp:posOffset>
            </wp:positionH>
            <wp:positionV relativeFrom="page">
              <wp:posOffset>4470400</wp:posOffset>
            </wp:positionV>
            <wp:extent cx="38100" cy="38100"/>
            <wp:wrapNone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6540500</wp:posOffset>
            </wp:positionH>
            <wp:positionV relativeFrom="page">
              <wp:posOffset>4457700</wp:posOffset>
            </wp:positionV>
            <wp:extent cx="38100" cy="50800"/>
            <wp:wrapNone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6629400</wp:posOffset>
            </wp:positionH>
            <wp:positionV relativeFrom="page">
              <wp:posOffset>4445000</wp:posOffset>
            </wp:positionV>
            <wp:extent cx="101600" cy="101600"/>
            <wp:wrapNone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6527800</wp:posOffset>
            </wp:positionH>
            <wp:positionV relativeFrom="page">
              <wp:posOffset>4445000</wp:posOffset>
            </wp:positionV>
            <wp:extent cx="38100" cy="38100"/>
            <wp:wrapNone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5981700</wp:posOffset>
            </wp:positionH>
            <wp:positionV relativeFrom="page">
              <wp:posOffset>4508500</wp:posOffset>
            </wp:positionV>
            <wp:extent cx="38100" cy="38100"/>
            <wp:wrapNone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5918200</wp:posOffset>
            </wp:positionH>
            <wp:positionV relativeFrom="page">
              <wp:posOffset>4508500</wp:posOffset>
            </wp:positionV>
            <wp:extent cx="50800" cy="38100"/>
            <wp:wrapNone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5803900</wp:posOffset>
            </wp:positionH>
            <wp:positionV relativeFrom="page">
              <wp:posOffset>4445000</wp:posOffset>
            </wp:positionV>
            <wp:extent cx="38100" cy="38100"/>
            <wp:wrapNone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5715000</wp:posOffset>
            </wp:positionH>
            <wp:positionV relativeFrom="page">
              <wp:posOffset>4445000</wp:posOffset>
            </wp:positionV>
            <wp:extent cx="38100" cy="50800"/>
            <wp:wrapNone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5702300</wp:posOffset>
            </wp:positionH>
            <wp:positionV relativeFrom="page">
              <wp:posOffset>5092700</wp:posOffset>
            </wp:positionV>
            <wp:extent cx="152400" cy="50800"/>
            <wp:wrapNone/>
            <wp:docPr id="57" name="Picture 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5600700</wp:posOffset>
            </wp:positionH>
            <wp:positionV relativeFrom="page">
              <wp:posOffset>4940300</wp:posOffset>
            </wp:positionV>
            <wp:extent cx="50800" cy="50800"/>
            <wp:wrapNone/>
            <wp:docPr id="58" name="Picture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5803900</wp:posOffset>
            </wp:positionH>
            <wp:positionV relativeFrom="page">
              <wp:posOffset>4445000</wp:posOffset>
            </wp:positionV>
            <wp:extent cx="38100" cy="38100"/>
            <wp:wrapNone/>
            <wp:docPr id="59" name="Picture 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5715000</wp:posOffset>
            </wp:positionH>
            <wp:positionV relativeFrom="page">
              <wp:posOffset>4445000</wp:posOffset>
            </wp:positionV>
            <wp:extent cx="38100" cy="50800"/>
            <wp:wrapNone/>
            <wp:docPr id="60" name="Picture 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2552700</wp:posOffset>
            </wp:positionH>
            <wp:positionV relativeFrom="page">
              <wp:posOffset>7137400</wp:posOffset>
            </wp:positionV>
            <wp:extent cx="38100" cy="38100"/>
            <wp:wrapNone/>
            <wp:docPr id="61" name="Picture 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1816100</wp:posOffset>
            </wp:positionH>
            <wp:positionV relativeFrom="page">
              <wp:posOffset>7213600</wp:posOffset>
            </wp:positionV>
            <wp:extent cx="38100" cy="38100"/>
            <wp:wrapNone/>
            <wp:docPr id="62" name="Picture 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1841500</wp:posOffset>
            </wp:positionH>
            <wp:positionV relativeFrom="page">
              <wp:posOffset>7137400</wp:posOffset>
            </wp:positionV>
            <wp:extent cx="381000" cy="114300"/>
            <wp:wrapNone/>
            <wp:docPr id="63" name="Picture 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2324100</wp:posOffset>
            </wp:positionH>
            <wp:positionV relativeFrom="page">
              <wp:posOffset>7569200</wp:posOffset>
            </wp:positionV>
            <wp:extent cx="203200" cy="101600"/>
            <wp:wrapNone/>
            <wp:docPr id="64" name="Picture 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800100</wp:posOffset>
            </wp:positionH>
            <wp:positionV relativeFrom="page">
              <wp:posOffset>7569200</wp:posOffset>
            </wp:positionV>
            <wp:extent cx="190500" cy="101600"/>
            <wp:wrapNone/>
            <wp:docPr id="65" name="Picture 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1612900</wp:posOffset>
            </wp:positionH>
            <wp:positionV relativeFrom="page">
              <wp:posOffset>7556500</wp:posOffset>
            </wp:positionV>
            <wp:extent cx="228600" cy="114300"/>
            <wp:wrapNone/>
            <wp:docPr id="66" name="Picture 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532130</wp:posOffset>
            </wp:positionH>
            <wp:positionV relativeFrom="page">
              <wp:posOffset>6870700</wp:posOffset>
            </wp:positionV>
            <wp:extent cx="2071370" cy="1939582"/>
            <wp:wrapNone/>
            <wp:docPr id="67" name="Picture 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071370" cy="1939582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1079500</wp:posOffset>
            </wp:positionH>
            <wp:positionV relativeFrom="page">
              <wp:posOffset>8420100</wp:posOffset>
            </wp:positionV>
            <wp:extent cx="38100" cy="38100"/>
            <wp:wrapNone/>
            <wp:docPr id="68" name="Picture 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850900</wp:posOffset>
            </wp:positionH>
            <wp:positionV relativeFrom="page">
              <wp:posOffset>8255000</wp:posOffset>
            </wp:positionV>
            <wp:extent cx="76200" cy="50800"/>
            <wp:wrapNone/>
            <wp:docPr id="69" name="Picture 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1117600</wp:posOffset>
            </wp:positionH>
            <wp:positionV relativeFrom="page">
              <wp:posOffset>8216900</wp:posOffset>
            </wp:positionV>
            <wp:extent cx="1104900" cy="254000"/>
            <wp:wrapNone/>
            <wp:docPr id="70" name="Picture 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254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2222500</wp:posOffset>
            </wp:positionH>
            <wp:positionV relativeFrom="page">
              <wp:posOffset>8191500</wp:posOffset>
            </wp:positionV>
            <wp:extent cx="76200" cy="254000"/>
            <wp:wrapNone/>
            <wp:docPr id="71" name="Picture 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254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1663700</wp:posOffset>
            </wp:positionH>
            <wp:positionV relativeFrom="page">
              <wp:posOffset>8178800</wp:posOffset>
            </wp:positionV>
            <wp:extent cx="444500" cy="38100"/>
            <wp:wrapNone/>
            <wp:docPr id="72" name="Picture 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445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1092200</wp:posOffset>
            </wp:positionH>
            <wp:positionV relativeFrom="page">
              <wp:posOffset>8178800</wp:posOffset>
            </wp:positionV>
            <wp:extent cx="571500" cy="50800"/>
            <wp:wrapNone/>
            <wp:docPr id="73" name="Picture 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901700</wp:posOffset>
            </wp:positionH>
            <wp:positionV relativeFrom="page">
              <wp:posOffset>8178800</wp:posOffset>
            </wp:positionV>
            <wp:extent cx="203200" cy="127000"/>
            <wp:wrapNone/>
            <wp:docPr id="74" name="Picture 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127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876300</wp:posOffset>
            </wp:positionH>
            <wp:positionV relativeFrom="page">
              <wp:posOffset>8178800</wp:posOffset>
            </wp:positionV>
            <wp:extent cx="38100" cy="38100"/>
            <wp:wrapNone/>
            <wp:docPr id="75" name="Picture 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749300</wp:posOffset>
            </wp:positionH>
            <wp:positionV relativeFrom="page">
              <wp:posOffset>8178800</wp:posOffset>
            </wp:positionV>
            <wp:extent cx="101600" cy="127000"/>
            <wp:wrapNone/>
            <wp:docPr id="76" name="Picture 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27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2476500</wp:posOffset>
            </wp:positionH>
            <wp:positionV relativeFrom="page">
              <wp:posOffset>8128000</wp:posOffset>
            </wp:positionV>
            <wp:extent cx="114300" cy="50800"/>
            <wp:wrapNone/>
            <wp:docPr id="77" name="Picture 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2374900</wp:posOffset>
            </wp:positionH>
            <wp:positionV relativeFrom="page">
              <wp:posOffset>8128000</wp:posOffset>
            </wp:positionV>
            <wp:extent cx="114300" cy="50800"/>
            <wp:wrapNone/>
            <wp:docPr id="78" name="Picture 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2260600</wp:posOffset>
            </wp:positionH>
            <wp:positionV relativeFrom="page">
              <wp:posOffset>8102600</wp:posOffset>
            </wp:positionV>
            <wp:extent cx="38100" cy="38100"/>
            <wp:wrapNone/>
            <wp:docPr id="79" name="Picture 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1638300</wp:posOffset>
            </wp:positionH>
            <wp:positionV relativeFrom="page">
              <wp:posOffset>7480300</wp:posOffset>
            </wp:positionV>
            <wp:extent cx="38100" cy="38100"/>
            <wp:wrapNone/>
            <wp:docPr id="80" name="Picture 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2273300</wp:posOffset>
            </wp:positionH>
            <wp:positionV relativeFrom="page">
              <wp:posOffset>7454900</wp:posOffset>
            </wp:positionV>
            <wp:extent cx="38100" cy="38100"/>
            <wp:wrapNone/>
            <wp:docPr id="81" name="Picture 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2247900</wp:posOffset>
            </wp:positionH>
            <wp:positionV relativeFrom="page">
              <wp:posOffset>7442200</wp:posOffset>
            </wp:positionV>
            <wp:extent cx="50800" cy="38100"/>
            <wp:wrapNone/>
            <wp:docPr id="82" name="Picture 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2222500</wp:posOffset>
            </wp:positionH>
            <wp:positionV relativeFrom="page">
              <wp:posOffset>7416800</wp:posOffset>
            </wp:positionV>
            <wp:extent cx="38100" cy="38100"/>
            <wp:wrapNone/>
            <wp:docPr id="83" name="Picture 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1993900</wp:posOffset>
            </wp:positionH>
            <wp:positionV relativeFrom="page">
              <wp:posOffset>7378700</wp:posOffset>
            </wp:positionV>
            <wp:extent cx="38100" cy="38100"/>
            <wp:wrapNone/>
            <wp:docPr id="84" name="Picture 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850900</wp:posOffset>
            </wp:positionH>
            <wp:positionV relativeFrom="page">
              <wp:posOffset>7353300</wp:posOffset>
            </wp:positionV>
            <wp:extent cx="76200" cy="50800"/>
            <wp:wrapNone/>
            <wp:docPr id="85" name="Picture 8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7315200</wp:posOffset>
            </wp:positionV>
            <wp:extent cx="38100" cy="38100"/>
            <wp:wrapNone/>
            <wp:docPr id="86" name="Picture 8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1320800</wp:posOffset>
            </wp:positionH>
            <wp:positionV relativeFrom="page">
              <wp:posOffset>7289800</wp:posOffset>
            </wp:positionV>
            <wp:extent cx="38100" cy="38100"/>
            <wp:wrapNone/>
            <wp:docPr id="87" name="Picture 8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1117600</wp:posOffset>
            </wp:positionH>
            <wp:positionV relativeFrom="page">
              <wp:posOffset>7277100</wp:posOffset>
            </wp:positionV>
            <wp:extent cx="1104900" cy="292100"/>
            <wp:wrapNone/>
            <wp:docPr id="88" name="Picture 8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292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1193800</wp:posOffset>
            </wp:positionH>
            <wp:positionV relativeFrom="page">
              <wp:posOffset>7277100</wp:posOffset>
            </wp:positionV>
            <wp:extent cx="38100" cy="38100"/>
            <wp:wrapNone/>
            <wp:docPr id="89" name="Picture 8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1130300</wp:posOffset>
            </wp:positionH>
            <wp:positionV relativeFrom="page">
              <wp:posOffset>7277100</wp:posOffset>
            </wp:positionV>
            <wp:extent cx="63500" cy="38100"/>
            <wp:wrapNone/>
            <wp:docPr id="90" name="Picture 9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927100</wp:posOffset>
            </wp:positionH>
            <wp:positionV relativeFrom="page">
              <wp:posOffset>7277100</wp:posOffset>
            </wp:positionV>
            <wp:extent cx="215900" cy="127000"/>
            <wp:wrapNone/>
            <wp:docPr id="91" name="Picture 9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127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749300</wp:posOffset>
            </wp:positionH>
            <wp:positionV relativeFrom="page">
              <wp:posOffset>7277100</wp:posOffset>
            </wp:positionV>
            <wp:extent cx="101600" cy="127000"/>
            <wp:wrapNone/>
            <wp:docPr id="92" name="Picture 9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27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1638300</wp:posOffset>
            </wp:positionH>
            <wp:positionV relativeFrom="page">
              <wp:posOffset>7480300</wp:posOffset>
            </wp:positionV>
            <wp:extent cx="38100" cy="38100"/>
            <wp:wrapNone/>
            <wp:docPr id="93" name="Picture 9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1993900</wp:posOffset>
            </wp:positionH>
            <wp:positionV relativeFrom="page">
              <wp:posOffset>7378700</wp:posOffset>
            </wp:positionV>
            <wp:extent cx="38100" cy="38100"/>
            <wp:wrapNone/>
            <wp:docPr id="94" name="Picture 9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1320800</wp:posOffset>
            </wp:positionH>
            <wp:positionV relativeFrom="page">
              <wp:posOffset>7289800</wp:posOffset>
            </wp:positionV>
            <wp:extent cx="38100" cy="38100"/>
            <wp:wrapNone/>
            <wp:docPr id="95" name="Picture 9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1193800</wp:posOffset>
            </wp:positionH>
            <wp:positionV relativeFrom="page">
              <wp:posOffset>7277100</wp:posOffset>
            </wp:positionV>
            <wp:extent cx="38100" cy="38100"/>
            <wp:wrapNone/>
            <wp:docPr id="96" name="Picture 9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1130300</wp:posOffset>
            </wp:positionH>
            <wp:positionV relativeFrom="page">
              <wp:posOffset>7277100</wp:posOffset>
            </wp:positionV>
            <wp:extent cx="63500" cy="38100"/>
            <wp:wrapNone/>
            <wp:docPr id="97" name="Picture 9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2540000</wp:posOffset>
            </wp:positionH>
            <wp:positionV relativeFrom="page">
              <wp:posOffset>7150100</wp:posOffset>
            </wp:positionV>
            <wp:extent cx="38100" cy="38100"/>
            <wp:wrapNone/>
            <wp:docPr id="98" name="Picture 9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655320</wp:posOffset>
            </wp:positionH>
            <wp:positionV relativeFrom="page">
              <wp:posOffset>905510</wp:posOffset>
            </wp:positionV>
            <wp:extent cx="2627630" cy="1810973"/>
            <wp:wrapNone/>
            <wp:docPr id="99" name="Picture 9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627630" cy="181097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1574800</wp:posOffset>
            </wp:positionH>
            <wp:positionV relativeFrom="page">
              <wp:posOffset>2070100</wp:posOffset>
            </wp:positionV>
            <wp:extent cx="38100" cy="38100"/>
            <wp:wrapNone/>
            <wp:docPr id="100" name="Picture 10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1079500</wp:posOffset>
            </wp:positionH>
            <wp:positionV relativeFrom="page">
              <wp:posOffset>2044700</wp:posOffset>
            </wp:positionV>
            <wp:extent cx="165100" cy="50800"/>
            <wp:wrapNone/>
            <wp:docPr id="101" name="Picture 10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2540000</wp:posOffset>
            </wp:positionH>
            <wp:positionV relativeFrom="page">
              <wp:posOffset>2006600</wp:posOffset>
            </wp:positionV>
            <wp:extent cx="38100" cy="38100"/>
            <wp:wrapNone/>
            <wp:docPr id="102" name="Picture 10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2501900</wp:posOffset>
            </wp:positionH>
            <wp:positionV relativeFrom="page">
              <wp:posOffset>2006600</wp:posOffset>
            </wp:positionV>
            <wp:extent cx="50800" cy="50800"/>
            <wp:wrapNone/>
            <wp:docPr id="103" name="Picture 10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2578100</wp:posOffset>
            </wp:positionH>
            <wp:positionV relativeFrom="page">
              <wp:posOffset>1993900</wp:posOffset>
            </wp:positionV>
            <wp:extent cx="50800" cy="50800"/>
            <wp:wrapNone/>
            <wp:docPr id="104" name="Picture 10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1079500</wp:posOffset>
            </wp:positionH>
            <wp:positionV relativeFrom="page">
              <wp:posOffset>2044700</wp:posOffset>
            </wp:positionV>
            <wp:extent cx="165100" cy="50800"/>
            <wp:wrapNone/>
            <wp:docPr id="105" name="Picture 10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1346200</wp:posOffset>
            </wp:positionH>
            <wp:positionV relativeFrom="page">
              <wp:posOffset>1257300</wp:posOffset>
            </wp:positionV>
            <wp:extent cx="50800" cy="50800"/>
            <wp:wrapNone/>
            <wp:docPr id="106" name="Picture 10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1054100</wp:posOffset>
            </wp:positionH>
            <wp:positionV relativeFrom="page">
              <wp:posOffset>1257300</wp:posOffset>
            </wp:positionV>
            <wp:extent cx="292100" cy="76200"/>
            <wp:wrapNone/>
            <wp:docPr id="107" name="Picture 10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921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1422400</wp:posOffset>
            </wp:positionH>
            <wp:positionV relativeFrom="page">
              <wp:posOffset>1244600</wp:posOffset>
            </wp:positionV>
            <wp:extent cx="38100" cy="38100"/>
            <wp:wrapNone/>
            <wp:docPr id="108" name="Picture 10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1371600</wp:posOffset>
            </wp:positionH>
            <wp:positionV relativeFrom="page">
              <wp:posOffset>1244600</wp:posOffset>
            </wp:positionV>
            <wp:extent cx="38100" cy="38100"/>
            <wp:wrapNone/>
            <wp:docPr id="109" name="Picture 10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1562100</wp:posOffset>
            </wp:positionH>
            <wp:positionV relativeFrom="page">
              <wp:posOffset>1231900</wp:posOffset>
            </wp:positionV>
            <wp:extent cx="38100" cy="38100"/>
            <wp:wrapNone/>
            <wp:docPr id="110" name="Picture 1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1498600</wp:posOffset>
            </wp:positionH>
            <wp:positionV relativeFrom="page">
              <wp:posOffset>1231900</wp:posOffset>
            </wp:positionV>
            <wp:extent cx="50800" cy="38100"/>
            <wp:wrapNone/>
            <wp:docPr id="111" name="Picture 1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1638300</wp:posOffset>
            </wp:positionH>
            <wp:positionV relativeFrom="page">
              <wp:posOffset>1219200</wp:posOffset>
            </wp:positionV>
            <wp:extent cx="38100" cy="38100"/>
            <wp:wrapNone/>
            <wp:docPr id="112" name="Picture 1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1358900</wp:posOffset>
            </wp:positionH>
            <wp:positionV relativeFrom="page">
              <wp:posOffset>1193800</wp:posOffset>
            </wp:positionV>
            <wp:extent cx="50800" cy="38100"/>
            <wp:wrapNone/>
            <wp:docPr id="113" name="Picture 1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1079500</wp:posOffset>
            </wp:positionH>
            <wp:positionV relativeFrom="page">
              <wp:posOffset>1193800</wp:posOffset>
            </wp:positionV>
            <wp:extent cx="165100" cy="50800"/>
            <wp:wrapNone/>
            <wp:docPr id="114" name="Picture 1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1968500</wp:posOffset>
            </wp:positionH>
            <wp:positionV relativeFrom="page">
              <wp:posOffset>1676400</wp:posOffset>
            </wp:positionV>
            <wp:extent cx="457200" cy="101600"/>
            <wp:wrapNone/>
            <wp:docPr id="115" name="Picture 1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1231900</wp:posOffset>
            </wp:positionH>
            <wp:positionV relativeFrom="page">
              <wp:posOffset>1676400</wp:posOffset>
            </wp:positionV>
            <wp:extent cx="685800" cy="101600"/>
            <wp:wrapNone/>
            <wp:docPr id="116" name="Picture 1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1968500</wp:posOffset>
            </wp:positionH>
            <wp:positionV relativeFrom="page">
              <wp:posOffset>1549400</wp:posOffset>
            </wp:positionV>
            <wp:extent cx="711200" cy="101600"/>
            <wp:wrapNone/>
            <wp:docPr id="117" name="Picture 1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7112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1219200</wp:posOffset>
            </wp:positionH>
            <wp:positionV relativeFrom="page">
              <wp:posOffset>1549400</wp:posOffset>
            </wp:positionV>
            <wp:extent cx="685800" cy="101600"/>
            <wp:wrapNone/>
            <wp:docPr id="118" name="Picture 1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4864100</wp:posOffset>
            </wp:positionH>
            <wp:positionV relativeFrom="page">
              <wp:posOffset>2159000</wp:posOffset>
            </wp:positionV>
            <wp:extent cx="38100" cy="38100"/>
            <wp:wrapNone/>
            <wp:docPr id="119" name="Picture 1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4864100</wp:posOffset>
            </wp:positionH>
            <wp:positionV relativeFrom="page">
              <wp:posOffset>2057400</wp:posOffset>
            </wp:positionV>
            <wp:extent cx="38100" cy="38100"/>
            <wp:wrapNone/>
            <wp:docPr id="120" name="Picture 1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4851400</wp:posOffset>
            </wp:positionH>
            <wp:positionV relativeFrom="page">
              <wp:posOffset>1054100</wp:posOffset>
            </wp:positionV>
            <wp:extent cx="165100" cy="279401"/>
            <wp:wrapNone/>
            <wp:docPr id="121" name="Picture 1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27940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4229100</wp:posOffset>
            </wp:positionH>
            <wp:positionV relativeFrom="page">
              <wp:posOffset>1000760</wp:posOffset>
            </wp:positionV>
            <wp:extent cx="2606040" cy="1692695"/>
            <wp:wrapNone/>
            <wp:docPr id="122" name="Picture 1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169269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93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30.0" w:type="dxa"/>
      </w:tblPr>
      <w:tblGrid>
        <w:gridCol w:w="2198"/>
        <w:gridCol w:w="2198"/>
        <w:gridCol w:w="2198"/>
        <w:gridCol w:w="2198"/>
        <w:gridCol w:w="2198"/>
      </w:tblGrid>
      <w:tr>
        <w:trPr>
          <w:trHeight w:hRule="exact" w:val="1056"/>
        </w:trPr>
        <w:tc>
          <w:tcPr>
            <w:tcW w:type="dxa" w:w="522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00" w:after="0"/>
              <w:ind w:left="276" w:right="234" w:firstLine="0"/>
              <w:jc w:val="both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7"/>
              </w:rPr>
              <w:t xml:space="preserve">Fig. 6. Field cycling behavior of hafnium-zirconium films doped with 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7"/>
              </w:rPr>
              <w:t xml:space="preserve">significantly different lanthanum concentrations. The lanthanum 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7"/>
              </w:rPr>
              <w:t xml:space="preserve">doping can enhance the endurance. </w:t>
            </w:r>
          </w:p>
        </w:tc>
        <w:tc>
          <w:tcPr>
            <w:tcW w:type="dxa" w:w="5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60" w:after="0"/>
              <w:ind w:left="234" w:right="336" w:firstLine="0"/>
              <w:jc w:val="both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7"/>
              </w:rPr>
              <w:t>Fig. 7. Depolarization field in HfO</w:t>
            </w:r>
            <w:r>
              <w:rPr>
                <w:w w:val="102.49904285777698"/>
                <w:rFonts w:ascii="TimesNewRoman" w:hAnsi="TimesNewRoman" w:eastAsia="TimesNewRoman"/>
                <w:b w:val="0"/>
                <w:i w:val="0"/>
                <w:color w:val="000000"/>
                <w:sz w:val="11"/>
              </w:rPr>
              <w:t>2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7"/>
              </w:rPr>
              <w:t xml:space="preserve"> and PZT as a function of film 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7"/>
              </w:rPr>
              <w:t xml:space="preserve">thickness, assuming a constant dead layer at the electrodes of 1nm 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7"/>
              </w:rPr>
              <w:t>and a range of relative permittivity values of the dead layer ε</w:t>
            </w:r>
            <w:r>
              <w:rPr>
                <w:w w:val="102.49904285777698"/>
                <w:rFonts w:ascii="TimesNewRoman" w:hAnsi="TimesNewRoman" w:eastAsia="TimesNewRoman"/>
                <w:b w:val="0"/>
                <w:i w:val="0"/>
                <w:color w:val="000000"/>
                <w:sz w:val="11"/>
              </w:rPr>
              <w:t>INT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7"/>
              </w:rPr>
              <w:t xml:space="preserve">. </w:t>
            </w:r>
          </w:p>
        </w:tc>
      </w:tr>
      <w:tr>
        <w:trPr>
          <w:trHeight w:hRule="exact" w:val="700"/>
        </w:trPr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380" w:after="0"/>
              <w:ind w:left="0" w:right="248" w:firstLine="0"/>
              <w:jc w:val="right"/>
            </w:pPr>
            <w:r>
              <w:rPr>
                <w:rFonts w:ascii="ArialUnicodeMS" w:hAnsi="ArialUnicodeMS" w:eastAsia="ArialUnicodeMS"/>
                <w:b w:val="0"/>
                <w:i w:val="0"/>
                <w:color w:val="000000"/>
                <w:sz w:val="18"/>
              </w:rPr>
              <w:t>a)</w:t>
            </w:r>
          </w:p>
        </w:tc>
        <w:tc>
          <w:tcPr>
            <w:tcW w:type="dxa" w:w="1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438" w:after="0"/>
              <w:ind w:left="0" w:right="198" w:firstLine="0"/>
              <w:jc w:val="right"/>
            </w:pPr>
            <w:r>
              <w:rPr>
                <w:rFonts w:ascii="Calibri,Bold" w:hAnsi="Calibri,Bold" w:eastAsia="Calibri,Bold"/>
                <w:b/>
                <w:i w:val="0"/>
                <w:color w:val="000000"/>
                <w:sz w:val="20"/>
              </w:rPr>
              <w:t>Planar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auto" w:before="386" w:after="0"/>
              <w:ind w:left="0" w:right="0" w:firstLine="0"/>
              <w:jc w:val="center"/>
            </w:pPr>
            <w:r>
              <w:rPr>
                <w:rFonts w:ascii="ArialUnicodeMS" w:hAnsi="ArialUnicodeMS" w:eastAsia="ArialUnicodeMS"/>
                <w:b w:val="0"/>
                <w:i w:val="0"/>
                <w:color w:val="000000"/>
                <w:sz w:val="18"/>
              </w:rPr>
              <w:t>b)</w:t>
            </w:r>
          </w:p>
        </w:tc>
        <w:tc>
          <w:tcPr>
            <w:tcW w:type="dxa" w:w="3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436" w:after="0"/>
              <w:ind w:left="244" w:right="0" w:firstLine="0"/>
              <w:jc w:val="left"/>
            </w:pPr>
            <w:r>
              <w:rPr>
                <w:rFonts w:ascii="Calibri,Bold" w:hAnsi="Calibri,Bold" w:eastAsia="Calibri,Bold"/>
                <w:b/>
                <w:i w:val="0"/>
                <w:color w:val="000000"/>
                <w:sz w:val="20"/>
              </w:rPr>
              <w:t>FinFET</w:t>
            </w:r>
          </w:p>
        </w:tc>
        <w:tc>
          <w:tcPr>
            <w:tcW w:type="dxa" w:w="2198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97" w:lineRule="auto" w:before="190" w:after="20"/>
        <w:ind w:left="544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0"/>
        </w:rPr>
        <w:t>Ferroelectric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10.0" w:type="dxa"/>
      </w:tblPr>
      <w:tblGrid>
        <w:gridCol w:w="1832"/>
        <w:gridCol w:w="1832"/>
        <w:gridCol w:w="1832"/>
        <w:gridCol w:w="1832"/>
        <w:gridCol w:w="1832"/>
        <w:gridCol w:w="1832"/>
      </w:tblGrid>
      <w:tr>
        <w:trPr>
          <w:trHeight w:hRule="exact" w:val="448"/>
        </w:trPr>
        <w:tc>
          <w:tcPr>
            <w:tcW w:type="dxa" w:w="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1226" w:after="0"/>
              <w:ind w:left="0" w:right="0" w:firstLine="0"/>
              <w:jc w:val="center"/>
            </w:pPr>
            <w:r>
              <w:rPr>
                <w:rFonts w:ascii="ArialUnicodeMS" w:hAnsi="ArialUnicodeMS" w:eastAsia="ArialUnicodeMS"/>
                <w:b w:val="0"/>
                <w:i w:val="0"/>
                <w:color w:val="000000"/>
                <w:sz w:val="18"/>
              </w:rPr>
              <w:t>c)</w:t>
            </w:r>
          </w:p>
        </w:tc>
        <w:tc>
          <w:tcPr>
            <w:tcW w:type="dxa" w:w="9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20" w:after="0"/>
              <w:ind w:left="0" w:right="90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>X:HfO</w:t>
            </w:r>
            <w:r>
              <w:rPr>
                <w:w w:val="103.30999814547026"/>
                <w:rFonts w:ascii="Calibri" w:hAnsi="Calibri" w:eastAsia="Calibri"/>
                <w:b w:val="0"/>
                <w:i w:val="0"/>
                <w:color w:val="000000"/>
                <w:sz w:val="13"/>
              </w:rPr>
              <w:t>2</w:t>
            </w:r>
          </w:p>
        </w:tc>
        <w:tc>
          <w:tcPr>
            <w:tcW w:type="dxa" w:w="7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76" w:after="0"/>
              <w:ind w:left="12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>Gate</w:t>
            </w:r>
          </w:p>
        </w:tc>
        <w:tc>
          <w:tcPr>
            <w:tcW w:type="dxa" w:w="48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04" w:after="0"/>
              <w:ind w:left="200" w:right="0" w:firstLine="0"/>
              <w:jc w:val="left"/>
            </w:pPr>
            <w:r>
              <w:rPr>
                <w:rFonts w:ascii="Calibri,Bold" w:hAnsi="Calibri,Bold" w:eastAsia="Calibri,Bold"/>
                <w:b/>
                <w:i w:val="0"/>
                <w:color w:val="000000"/>
                <w:sz w:val="20"/>
              </w:rPr>
              <w:t>3D NAND</w:t>
            </w:r>
          </w:p>
        </w:tc>
      </w:tr>
      <w:tr>
        <w:trPr>
          <w:trHeight w:hRule="exact" w:val="640"/>
        </w:trPr>
        <w:tc>
          <w:tcPr>
            <w:tcW w:type="dxa" w:w="1832"/>
            <w:vMerge/>
            <w:tcBorders/>
          </w:tcPr>
          <w:p/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200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>SiO</w:t>
            </w:r>
            <w:r>
              <w:rPr>
                <w:w w:val="103.30999814547026"/>
                <w:rFonts w:ascii="Calibri" w:hAnsi="Calibri" w:eastAsia="Calibri"/>
                <w:b w:val="0"/>
                <w:i w:val="0"/>
                <w:color w:val="000000"/>
                <w:sz w:val="13"/>
              </w:rPr>
              <w:t>2</w:t>
            </w:r>
          </w:p>
        </w:tc>
        <w:tc>
          <w:tcPr>
            <w:tcW w:type="dxa" w:w="116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98" w:after="0"/>
              <w:ind w:left="13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>Si</w:t>
            </w:r>
          </w:p>
        </w:tc>
        <w:tc>
          <w:tcPr>
            <w:tcW w:type="dxa" w:w="1832"/>
            <w:vMerge/>
            <w:tcBorders/>
          </w:tcPr>
          <w:p/>
        </w:tc>
      </w:tr>
      <w:tr>
        <w:trPr>
          <w:trHeight w:hRule="exact" w:val="478"/>
        </w:trPr>
        <w:tc>
          <w:tcPr>
            <w:tcW w:type="dxa" w:w="1832"/>
            <w:vMerge/>
            <w:tcBorders/>
          </w:tcPr>
          <w:p/>
        </w:tc>
        <w:tc>
          <w:tcPr>
            <w:tcW w:type="dxa" w:w="128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16" w:after="0"/>
              <w:ind w:left="284" w:right="0" w:firstLine="0"/>
              <w:jc w:val="left"/>
            </w:pPr>
            <w:r>
              <w:rPr>
                <w:rFonts w:ascii="Calibri,Bold" w:hAnsi="Calibri,Bold" w:eastAsia="Calibri,Bold"/>
                <w:b/>
                <w:i w:val="0"/>
                <w:color w:val="000000"/>
                <w:sz w:val="20"/>
              </w:rPr>
              <w:t>Nanosheet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144" w:after="0"/>
              <w:ind w:left="92" w:right="0" w:firstLine="0"/>
              <w:jc w:val="left"/>
            </w:pPr>
            <w:r>
              <w:rPr>
                <w:rFonts w:ascii="ArialUnicodeMS" w:hAnsi="ArialUnicodeMS" w:eastAsia="ArialUnicodeMS"/>
                <w:b w:val="0"/>
                <w:i w:val="0"/>
                <w:color w:val="000000"/>
                <w:sz w:val="18"/>
              </w:rPr>
              <w:t>d)</w:t>
            </w:r>
          </w:p>
        </w:tc>
        <w:tc>
          <w:tcPr>
            <w:tcW w:type="dxa" w:w="1832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40" w:lineRule="auto" w:before="82" w:after="96"/>
        <w:ind w:left="51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892300" cy="8509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92300" cy="8509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0.0" w:type="dxa"/>
      </w:tblPr>
      <w:tblGrid>
        <w:gridCol w:w="2747"/>
        <w:gridCol w:w="2747"/>
        <w:gridCol w:w="2747"/>
        <w:gridCol w:w="2747"/>
      </w:tblGrid>
      <w:tr>
        <w:trPr>
          <w:trHeight w:hRule="exact" w:val="264"/>
        </w:trPr>
        <w:tc>
          <w:tcPr>
            <w:tcW w:type="dxa" w:w="3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78" w:after="0"/>
              <w:ind w:left="72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7"/>
              </w:rPr>
              <w:t xml:space="preserve">Fig. 8. Different device architectures of FeFETs </w:t>
            </w:r>
          </w:p>
        </w:tc>
        <w:tc>
          <w:tcPr>
            <w:tcW w:type="dxa" w:w="354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7"/>
              </w:rPr>
              <w:t xml:space="preserve">Fig. 9. a) Hafnium oxide based FeFET </w:t>
            </w:r>
          </w:p>
        </w:tc>
        <w:tc>
          <w:tcPr>
            <w:tcW w:type="dxa" w:w="368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56" w:after="0"/>
              <w:ind w:left="162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7"/>
              </w:rPr>
              <w:t xml:space="preserve">Fig. 10. Two stage logic in memory operation. The </w:t>
            </w:r>
          </w:p>
        </w:tc>
      </w:tr>
      <w:tr>
        <w:trPr>
          <w:trHeight w:hRule="exact" w:val="80"/>
        </w:trPr>
        <w:tc>
          <w:tcPr>
            <w:tcW w:type="dxa" w:w="3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8" w:after="0"/>
              <w:ind w:left="72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7"/>
              </w:rPr>
              <w:t>enabled by ferroelectric HfO</w:t>
            </w:r>
            <w:r>
              <w:rPr>
                <w:w w:val="102.49904285777698"/>
                <w:rFonts w:ascii="TimesNewRoman" w:hAnsi="TimesNewRoman" w:eastAsia="TimesNewRoman"/>
                <w:b w:val="0"/>
                <w:i w:val="0"/>
                <w:color w:val="000000"/>
                <w:sz w:val="11"/>
              </w:rPr>
              <w:t>2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7"/>
              </w:rPr>
              <w:t xml:space="preserve">. a) Planar FeFET, b) </w:t>
            </w:r>
          </w:p>
        </w:tc>
        <w:tc>
          <w:tcPr>
            <w:tcW w:type="dxa" w:w="3540"/>
            <w:gridSpan w:val="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7"/>
              </w:rPr>
              <w:t>integrated next to a standard nFET. b) V</w:t>
            </w:r>
            <w:r>
              <w:rPr>
                <w:w w:val="102.49904285777698"/>
                <w:rFonts w:ascii="TimesNewRoman" w:hAnsi="TimesNewRoman" w:eastAsia="TimesNewRoman"/>
                <w:b w:val="0"/>
                <w:i w:val="0"/>
                <w:color w:val="000000"/>
                <w:sz w:val="11"/>
              </w:rPr>
              <w:t>T</w:t>
            </w:r>
          </w:p>
        </w:tc>
        <w:tc>
          <w:tcPr>
            <w:tcW w:type="dxa" w:w="2747"/>
            <w:vMerge/>
            <w:tcBorders/>
          </w:tcPr>
          <w:p/>
        </w:tc>
      </w:tr>
      <w:tr>
        <w:trPr>
          <w:trHeight w:hRule="exact" w:val="116"/>
        </w:trPr>
        <w:tc>
          <w:tcPr>
            <w:tcW w:type="dxa" w:w="2747"/>
            <w:vMerge/>
            <w:tcBorders/>
          </w:tcPr>
          <w:p/>
        </w:tc>
        <w:tc>
          <w:tcPr>
            <w:tcW w:type="dxa" w:w="5494"/>
            <w:gridSpan w:val="2"/>
            <w:vMerge/>
            <w:tcBorders/>
          </w:tcPr>
          <w:p/>
        </w:tc>
        <w:tc>
          <w:tcPr>
            <w:tcW w:type="dxa" w:w="368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2" w:after="0"/>
              <w:ind w:left="162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7"/>
              </w:rPr>
              <w:t xml:space="preserve">FeFET of the second stage is only switched when </w:t>
            </w:r>
          </w:p>
        </w:tc>
      </w:tr>
      <w:tr>
        <w:trPr>
          <w:trHeight w:hRule="exact" w:val="84"/>
        </w:trPr>
        <w:tc>
          <w:tcPr>
            <w:tcW w:type="dxa" w:w="3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0" w:after="0"/>
              <w:ind w:left="72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7"/>
              </w:rPr>
              <w:t xml:space="preserve">ferroelectric FinFET, Ferroelectric nanowire or </w:t>
            </w:r>
          </w:p>
        </w:tc>
        <w:tc>
          <w:tcPr>
            <w:tcW w:type="dxa" w:w="3540"/>
            <w:gridSpan w:val="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7"/>
              </w:rPr>
              <w:t>distributions for low V</w:t>
            </w:r>
            <w:r>
              <w:rPr>
                <w:w w:val="102.49904285777698"/>
                <w:rFonts w:ascii="TimesNewRoman" w:hAnsi="TimesNewRoman" w:eastAsia="TimesNewRoman"/>
                <w:b w:val="0"/>
                <w:i w:val="0"/>
                <w:color w:val="000000"/>
                <w:sz w:val="11"/>
              </w:rPr>
              <w:t>T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7"/>
              </w:rPr>
              <w:t>, high V</w:t>
            </w:r>
            <w:r>
              <w:rPr>
                <w:w w:val="102.49904285777698"/>
                <w:rFonts w:ascii="TimesNewRoman" w:hAnsi="TimesNewRoman" w:eastAsia="TimesNewRoman"/>
                <w:b w:val="0"/>
                <w:i w:val="0"/>
                <w:color w:val="000000"/>
                <w:sz w:val="11"/>
              </w:rPr>
              <w:t>T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7"/>
              </w:rPr>
              <w:t xml:space="preserve"> of the FeFET </w:t>
            </w:r>
          </w:p>
        </w:tc>
        <w:tc>
          <w:tcPr>
            <w:tcW w:type="dxa" w:w="2747"/>
            <w:vMerge/>
            <w:tcBorders/>
          </w:tcPr>
          <w:p/>
        </w:tc>
      </w:tr>
      <w:tr>
        <w:trPr>
          <w:trHeight w:hRule="exact" w:val="114"/>
        </w:trPr>
        <w:tc>
          <w:tcPr>
            <w:tcW w:type="dxa" w:w="2747"/>
            <w:vMerge/>
            <w:tcBorders/>
          </w:tcPr>
          <w:p/>
        </w:tc>
        <w:tc>
          <w:tcPr>
            <w:tcW w:type="dxa" w:w="5494"/>
            <w:gridSpan w:val="2"/>
            <w:vMerge/>
            <w:tcBorders/>
          </w:tcPr>
          <w:p/>
        </w:tc>
        <w:tc>
          <w:tcPr>
            <w:tcW w:type="dxa" w:w="368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162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7"/>
              </w:rPr>
              <w:t xml:space="preserve">both the internal input A and the external input B </w:t>
            </w:r>
          </w:p>
        </w:tc>
      </w:tr>
      <w:tr>
        <w:trPr>
          <w:trHeight w:hRule="exact" w:val="66"/>
        </w:trPr>
        <w:tc>
          <w:tcPr>
            <w:tcW w:type="dxa" w:w="3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6" w:after="0"/>
              <w:ind w:left="72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7"/>
              </w:rPr>
              <w:t xml:space="preserve">nanosheet transistor, and d) 3D NAND FeFET. </w:t>
            </w:r>
          </w:p>
        </w:tc>
        <w:tc>
          <w:tcPr>
            <w:tcW w:type="dxa" w:w="3540"/>
            <w:gridSpan w:val="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7"/>
              </w:rPr>
              <w:t xml:space="preserve">and standard nFET for devices integrated next </w:t>
            </w:r>
          </w:p>
        </w:tc>
        <w:tc>
          <w:tcPr>
            <w:tcW w:type="dxa" w:w="2747"/>
            <w:vMerge/>
            <w:tcBorders/>
          </w:tcPr>
          <w:p/>
        </w:tc>
      </w:tr>
      <w:tr>
        <w:trPr>
          <w:trHeight w:hRule="exact" w:val="100"/>
        </w:trPr>
        <w:tc>
          <w:tcPr>
            <w:tcW w:type="dxa" w:w="2747"/>
            <w:vMerge/>
            <w:tcBorders/>
          </w:tcPr>
          <w:p/>
        </w:tc>
        <w:tc>
          <w:tcPr>
            <w:tcW w:type="dxa" w:w="5494"/>
            <w:gridSpan w:val="2"/>
            <w:vMerge/>
            <w:tcBorders/>
          </w:tcPr>
          <w:p/>
        </w:tc>
        <w:tc>
          <w:tcPr>
            <w:tcW w:type="dxa" w:w="368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2" w:after="0"/>
              <w:ind w:left="162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7"/>
              </w:rPr>
              <w:t xml:space="preserve">of the first gate are at a logic ´1´ realizing a NAND </w:t>
            </w:r>
          </w:p>
        </w:tc>
      </w:tr>
      <w:tr>
        <w:trPr>
          <w:trHeight w:hRule="exact" w:val="100"/>
        </w:trPr>
        <w:tc>
          <w:tcPr>
            <w:tcW w:type="dxa" w:w="2747"/>
            <w:vMerge/>
            <w:tcBorders/>
          </w:tcPr>
          <w:p/>
        </w:tc>
        <w:tc>
          <w:tcPr>
            <w:tcW w:type="dxa" w:w="3540"/>
            <w:gridSpan w:val="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2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7"/>
              </w:rPr>
              <w:t xml:space="preserve">to each other (2TNOR) in comparison to </w:t>
            </w:r>
          </w:p>
        </w:tc>
        <w:tc>
          <w:tcPr>
            <w:tcW w:type="dxa" w:w="2747"/>
            <w:vMerge/>
            <w:tcBorders/>
          </w:tcPr>
          <w:p/>
        </w:tc>
      </w:tr>
      <w:tr>
        <w:trPr>
          <w:trHeight w:hRule="exact" w:val="100"/>
        </w:trPr>
        <w:tc>
          <w:tcPr>
            <w:tcW w:type="dxa" w:w="2747"/>
            <w:vMerge/>
            <w:tcBorders/>
          </w:tcPr>
          <w:p/>
        </w:tc>
        <w:tc>
          <w:tcPr>
            <w:tcW w:type="dxa" w:w="5494"/>
            <w:gridSpan w:val="2"/>
            <w:vMerge/>
            <w:tcBorders/>
          </w:tcPr>
          <w:p/>
        </w:tc>
        <w:tc>
          <w:tcPr>
            <w:tcW w:type="dxa" w:w="3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6" w:after="0"/>
              <w:ind w:left="162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7"/>
              </w:rPr>
              <w:t xml:space="preserve">function. </w:t>
            </w:r>
          </w:p>
        </w:tc>
      </w:tr>
      <w:tr>
        <w:trPr>
          <w:trHeight w:hRule="exact" w:val="1800"/>
        </w:trPr>
        <w:tc>
          <w:tcPr>
            <w:tcW w:type="dxa" w:w="2747"/>
            <w:vMerge/>
            <w:tcBorders/>
          </w:tcPr>
          <w:p/>
        </w:tc>
        <w:tc>
          <w:tcPr>
            <w:tcW w:type="dxa" w:w="35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8" w:after="0"/>
              <w:ind w:left="204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7"/>
              </w:rPr>
              <w:t xml:space="preserve">separated devices (AND). </w:t>
            </w:r>
          </w:p>
        </w:tc>
        <w:tc>
          <w:tcPr>
            <w:tcW w:type="dxa" w:w="2747"/>
            <w:vMerge/>
            <w:tcBorders/>
          </w:tcPr>
          <w:p/>
        </w:tc>
      </w:tr>
      <w:tr>
        <w:trPr>
          <w:trHeight w:hRule="exact" w:val="2102"/>
        </w:trPr>
        <w:tc>
          <w:tcPr>
            <w:tcW w:type="dxa" w:w="44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614" w:after="0"/>
              <w:ind w:left="162" w:right="288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7"/>
              </w:rPr>
              <w:t xml:space="preserve">Fig. 11. Band diagram of two layer ferroelectric tunnel 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7"/>
              </w:rPr>
              <w:t xml:space="preserve">junction for the two possible polarization states. </w:t>
            </w:r>
          </w:p>
        </w:tc>
        <w:tc>
          <w:tcPr>
            <w:tcW w:type="dxa" w:w="64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658" w:after="0"/>
              <w:ind w:left="400" w:right="144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7"/>
              </w:rPr>
              <w:t xml:space="preserve">Fig. 12. (a) On/off current window of a two layer ferroelectric tunnel junction and (b) 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7"/>
              </w:rPr>
              <w:t>demonstration of FTJ operation in the 2T – 1 FTJ circuit shown in fig. 5b.</w:t>
            </w:r>
          </w:p>
        </w:tc>
      </w:tr>
    </w:tbl>
    <w:p>
      <w:pPr>
        <w:autoSpaceDN w:val="0"/>
        <w:tabs>
          <w:tab w:pos="5264" w:val="left"/>
        </w:tabs>
        <w:autoSpaceDE w:val="0"/>
        <w:widowControl/>
        <w:spacing w:line="202" w:lineRule="exact" w:before="960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IEDM19-357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>15.5.4</w:t>
      </w:r>
    </w:p>
    <w:sectPr w:rsidR="00FC693F" w:rsidRPr="0006063C" w:rsidSect="00034616">
      <w:pgSz w:w="12240" w:h="15840"/>
      <w:pgMar w:top="622" w:right="620" w:bottom="158" w:left="630" w:header="720" w:footer="720" w:gutter="0"/>
      <w:cols w:space="720" w:num="1" w:equalWidth="0">
        <w:col w:w="10990" w:space="0"/>
        <w:col w:w="10923" w:space="0"/>
        <w:col w:w="10660" w:space="0"/>
        <w:col w:w="5514" w:space="0"/>
        <w:col w:w="5146" w:space="0"/>
        <w:col w:w="10750" w:space="0"/>
        <w:col w:w="5264" w:space="0"/>
        <w:col w:w="5486" w:space="0"/>
        <w:col w:w="10750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image" Target="media/image50.png"/><Relationship Id="rId59" Type="http://schemas.openxmlformats.org/officeDocument/2006/relationships/image" Target="media/image51.png"/><Relationship Id="rId60" Type="http://schemas.openxmlformats.org/officeDocument/2006/relationships/image" Target="media/image52.png"/><Relationship Id="rId61" Type="http://schemas.openxmlformats.org/officeDocument/2006/relationships/image" Target="media/image53.png"/><Relationship Id="rId62" Type="http://schemas.openxmlformats.org/officeDocument/2006/relationships/image" Target="media/image54.png"/><Relationship Id="rId63" Type="http://schemas.openxmlformats.org/officeDocument/2006/relationships/image" Target="media/image55.png"/><Relationship Id="rId64" Type="http://schemas.openxmlformats.org/officeDocument/2006/relationships/image" Target="media/image56.png"/><Relationship Id="rId65" Type="http://schemas.openxmlformats.org/officeDocument/2006/relationships/image" Target="media/image57.png"/><Relationship Id="rId66" Type="http://schemas.openxmlformats.org/officeDocument/2006/relationships/image" Target="media/image58.png"/><Relationship Id="rId67" Type="http://schemas.openxmlformats.org/officeDocument/2006/relationships/image" Target="media/image59.png"/><Relationship Id="rId68" Type="http://schemas.openxmlformats.org/officeDocument/2006/relationships/image" Target="media/image60.png"/><Relationship Id="rId69" Type="http://schemas.openxmlformats.org/officeDocument/2006/relationships/image" Target="media/image61.png"/><Relationship Id="rId70" Type="http://schemas.openxmlformats.org/officeDocument/2006/relationships/image" Target="media/image62.png"/><Relationship Id="rId71" Type="http://schemas.openxmlformats.org/officeDocument/2006/relationships/image" Target="media/image63.png"/><Relationship Id="rId72" Type="http://schemas.openxmlformats.org/officeDocument/2006/relationships/image" Target="media/image64.png"/><Relationship Id="rId73" Type="http://schemas.openxmlformats.org/officeDocument/2006/relationships/image" Target="media/image65.png"/><Relationship Id="rId74" Type="http://schemas.openxmlformats.org/officeDocument/2006/relationships/image" Target="media/image66.png"/><Relationship Id="rId75" Type="http://schemas.openxmlformats.org/officeDocument/2006/relationships/image" Target="media/image67.png"/><Relationship Id="rId76" Type="http://schemas.openxmlformats.org/officeDocument/2006/relationships/image" Target="media/image68.png"/><Relationship Id="rId77" Type="http://schemas.openxmlformats.org/officeDocument/2006/relationships/image" Target="media/image69.png"/><Relationship Id="rId78" Type="http://schemas.openxmlformats.org/officeDocument/2006/relationships/image" Target="media/image70.png"/><Relationship Id="rId79" Type="http://schemas.openxmlformats.org/officeDocument/2006/relationships/image" Target="media/image71.png"/><Relationship Id="rId80" Type="http://schemas.openxmlformats.org/officeDocument/2006/relationships/image" Target="media/image72.png"/><Relationship Id="rId81" Type="http://schemas.openxmlformats.org/officeDocument/2006/relationships/image" Target="media/image73.png"/><Relationship Id="rId82" Type="http://schemas.openxmlformats.org/officeDocument/2006/relationships/image" Target="media/image74.png"/><Relationship Id="rId83" Type="http://schemas.openxmlformats.org/officeDocument/2006/relationships/image" Target="media/image75.png"/><Relationship Id="rId84" Type="http://schemas.openxmlformats.org/officeDocument/2006/relationships/image" Target="media/image76.png"/><Relationship Id="rId85" Type="http://schemas.openxmlformats.org/officeDocument/2006/relationships/image" Target="media/image77.png"/><Relationship Id="rId86" Type="http://schemas.openxmlformats.org/officeDocument/2006/relationships/image" Target="media/image78.png"/><Relationship Id="rId87" Type="http://schemas.openxmlformats.org/officeDocument/2006/relationships/image" Target="media/image79.png"/><Relationship Id="rId88" Type="http://schemas.openxmlformats.org/officeDocument/2006/relationships/image" Target="media/image80.png"/><Relationship Id="rId89" Type="http://schemas.openxmlformats.org/officeDocument/2006/relationships/image" Target="media/image81.png"/><Relationship Id="rId90" Type="http://schemas.openxmlformats.org/officeDocument/2006/relationships/image" Target="media/image82.png"/><Relationship Id="rId91" Type="http://schemas.openxmlformats.org/officeDocument/2006/relationships/image" Target="media/image83.png"/><Relationship Id="rId92" Type="http://schemas.openxmlformats.org/officeDocument/2006/relationships/image" Target="media/image84.png"/><Relationship Id="rId93" Type="http://schemas.openxmlformats.org/officeDocument/2006/relationships/image" Target="media/image85.png"/><Relationship Id="rId94" Type="http://schemas.openxmlformats.org/officeDocument/2006/relationships/image" Target="media/image86.png"/><Relationship Id="rId95" Type="http://schemas.openxmlformats.org/officeDocument/2006/relationships/image" Target="media/image87.png"/><Relationship Id="rId96" Type="http://schemas.openxmlformats.org/officeDocument/2006/relationships/image" Target="media/image88.png"/><Relationship Id="rId97" Type="http://schemas.openxmlformats.org/officeDocument/2006/relationships/image" Target="media/image89.png"/><Relationship Id="rId98" Type="http://schemas.openxmlformats.org/officeDocument/2006/relationships/image" Target="media/image90.png"/><Relationship Id="rId99" Type="http://schemas.openxmlformats.org/officeDocument/2006/relationships/image" Target="media/image91.png"/><Relationship Id="rId100" Type="http://schemas.openxmlformats.org/officeDocument/2006/relationships/image" Target="media/image92.png"/><Relationship Id="rId101" Type="http://schemas.openxmlformats.org/officeDocument/2006/relationships/image" Target="media/image93.png"/><Relationship Id="rId102" Type="http://schemas.openxmlformats.org/officeDocument/2006/relationships/image" Target="media/image94.png"/><Relationship Id="rId103" Type="http://schemas.openxmlformats.org/officeDocument/2006/relationships/image" Target="media/image95.png"/><Relationship Id="rId104" Type="http://schemas.openxmlformats.org/officeDocument/2006/relationships/image" Target="media/image96.png"/><Relationship Id="rId105" Type="http://schemas.openxmlformats.org/officeDocument/2006/relationships/image" Target="media/image97.png"/><Relationship Id="rId106" Type="http://schemas.openxmlformats.org/officeDocument/2006/relationships/image" Target="media/image98.png"/><Relationship Id="rId107" Type="http://schemas.openxmlformats.org/officeDocument/2006/relationships/image" Target="media/image99.png"/><Relationship Id="rId108" Type="http://schemas.openxmlformats.org/officeDocument/2006/relationships/image" Target="media/image100.png"/><Relationship Id="rId109" Type="http://schemas.openxmlformats.org/officeDocument/2006/relationships/image" Target="media/image101.png"/><Relationship Id="rId110" Type="http://schemas.openxmlformats.org/officeDocument/2006/relationships/image" Target="media/image102.png"/><Relationship Id="rId111" Type="http://schemas.openxmlformats.org/officeDocument/2006/relationships/image" Target="media/image103.png"/><Relationship Id="rId112" Type="http://schemas.openxmlformats.org/officeDocument/2006/relationships/image" Target="media/image104.png"/><Relationship Id="rId113" Type="http://schemas.openxmlformats.org/officeDocument/2006/relationships/image" Target="media/image105.png"/><Relationship Id="rId114" Type="http://schemas.openxmlformats.org/officeDocument/2006/relationships/image" Target="media/image106.png"/><Relationship Id="rId115" Type="http://schemas.openxmlformats.org/officeDocument/2006/relationships/image" Target="media/image107.png"/><Relationship Id="rId116" Type="http://schemas.openxmlformats.org/officeDocument/2006/relationships/image" Target="media/image108.png"/><Relationship Id="rId117" Type="http://schemas.openxmlformats.org/officeDocument/2006/relationships/image" Target="media/image109.png"/><Relationship Id="rId118" Type="http://schemas.openxmlformats.org/officeDocument/2006/relationships/image" Target="media/image110.png"/><Relationship Id="rId119" Type="http://schemas.openxmlformats.org/officeDocument/2006/relationships/image" Target="media/image111.png"/><Relationship Id="rId120" Type="http://schemas.openxmlformats.org/officeDocument/2006/relationships/image" Target="media/image112.png"/><Relationship Id="rId121" Type="http://schemas.openxmlformats.org/officeDocument/2006/relationships/image" Target="media/image113.png"/><Relationship Id="rId122" Type="http://schemas.openxmlformats.org/officeDocument/2006/relationships/image" Target="media/image1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