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6629400</wp:posOffset>
            </wp:positionV>
            <wp:extent cx="4368800" cy="736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736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6" w:lineRule="exact" w:before="0" w:after="0"/>
        <w:ind w:left="0" w:right="0" w:firstLine="0"/>
        <w:jc w:val="center"/>
      </w:pPr>
      <w:r>
        <w:rPr>
          <w:rFonts w:ascii="AdvP6975" w:hAnsi="AdvP6975" w:eastAsia="AdvP6975"/>
          <w:b w:val="0"/>
          <w:i w:val="0"/>
          <w:color w:val="221F1F"/>
          <w:sz w:val="18"/>
        </w:rPr>
        <w:t>APPLIED PHYSICS LETTERS</w:t>
      </w:r>
      <w:r>
        <w:rPr>
          <w:rFonts w:ascii="AdvP6960" w:hAnsi="AdvP6960" w:eastAsia="AdvP6960"/>
          <w:b w:val="0"/>
          <w:i w:val="0"/>
          <w:color w:val="221F1F"/>
          <w:sz w:val="18"/>
        </w:rPr>
        <w:t xml:space="preserve"> 101</w:t>
      </w:r>
      <w:r>
        <w:rPr>
          <w:rFonts w:ascii="AdvP6975" w:hAnsi="AdvP6975" w:eastAsia="AdvP6975"/>
          <w:b w:val="0"/>
          <w:i w:val="0"/>
          <w:color w:val="221F1F"/>
          <w:sz w:val="18"/>
        </w:rPr>
        <w:t>, 082905 (2012)</w:t>
      </w:r>
    </w:p>
    <w:p>
      <w:pPr>
        <w:autoSpaceDN w:val="0"/>
        <w:autoSpaceDE w:val="0"/>
        <w:widowControl/>
        <w:spacing w:line="320" w:lineRule="exact" w:before="256" w:after="0"/>
        <w:ind w:left="0" w:right="288" w:firstLine="0"/>
        <w:jc w:val="left"/>
      </w:pPr>
      <w:r>
        <w:rPr>
          <w:rFonts w:ascii="AdvHelv_B" w:hAnsi="AdvHelv_B" w:eastAsia="AdvHelv_B"/>
          <w:b w:val="0"/>
          <w:i w:val="0"/>
          <w:color w:val="0000FF"/>
          <w:sz w:val="28"/>
        </w:rPr>
        <w:hyperlink r:id="rId9" w:history="1">
          <w:r>
            <w:rPr>
              <w:rStyle w:val="Hyperlink"/>
            </w:rPr>
            <w:t xml:space="preserve">Co-sputtering yttrium into hafnium oxide thin films to produce ferroelectric </w:t>
          </w:r>
        </w:hyperlink>
      </w:r>
      <w:r>
        <w:rPr>
          <w:rFonts w:ascii="AdvHelv_B" w:hAnsi="AdvHelv_B" w:eastAsia="AdvHelv_B"/>
          <w:b w:val="0"/>
          <w:i w:val="0"/>
          <w:color w:val="0000FF"/>
          <w:sz w:val="28"/>
        </w:rPr>
        <w:hyperlink r:id="rId9" w:history="1">
          <w:r>
            <w:rPr>
              <w:rStyle w:val="Hyperlink"/>
            </w:rPr>
            <w:t>properties</w:t>
          </w:r>
        </w:hyperlink>
      </w:r>
    </w:p>
    <w:p>
      <w:pPr>
        <w:autoSpaceDN w:val="0"/>
        <w:autoSpaceDE w:val="0"/>
        <w:widowControl/>
        <w:spacing w:line="204" w:lineRule="exact" w:before="160" w:after="0"/>
        <w:ind w:left="720" w:right="1728" w:firstLine="0"/>
        <w:jc w:val="left"/>
      </w:pPr>
      <w:r>
        <w:rPr>
          <w:rFonts w:ascii="AdvHelv_R" w:hAnsi="AdvHelv_R" w:eastAsia="AdvHelv_R"/>
          <w:b w:val="0"/>
          <w:i w:val="0"/>
          <w:color w:val="221F1F"/>
          <w:sz w:val="20"/>
        </w:rPr>
        <w:t>T. Olsen,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1,2,</w:t>
      </w:r>
      <w:r>
        <w:rPr>
          <w:w w:val="101.00952557155065"/>
          <w:rFonts w:ascii="AdvHelv_R" w:hAnsi="AdvHelv_R" w:eastAsia="AdvHelv_R"/>
          <w:b w:val="0"/>
          <w:i w:val="0"/>
          <w:color w:val="0000FF"/>
          <w:sz w:val="14"/>
        </w:rPr>
        <w:t>a)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U. Schr</w:t>
      </w:r>
      <w:r>
        <w:rPr>
          <w:rFonts w:ascii="AdvP4C4E59" w:hAnsi="AdvP4C4E59" w:eastAsia="AdvP4C4E59"/>
          <w:b w:val="0"/>
          <w:i w:val="0"/>
          <w:color w:val="221F1F"/>
          <w:sz w:val="20"/>
        </w:rPr>
        <w:t>€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oder,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S. M</w:t>
      </w:r>
      <w:r>
        <w:rPr>
          <w:rFonts w:ascii="AdvP4C4E59" w:hAnsi="AdvP4C4E59" w:eastAsia="AdvP4C4E59"/>
          <w:b w:val="0"/>
          <w:i w:val="0"/>
          <w:color w:val="221F1F"/>
          <w:sz w:val="20"/>
        </w:rPr>
        <w:t>€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uller,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A. Krause,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D. Martin,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A. Singh,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1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J. M</w:t>
      </w:r>
      <w:r>
        <w:rPr>
          <w:rFonts w:ascii="AdvP4C4E59" w:hAnsi="AdvP4C4E59" w:eastAsia="AdvP4C4E59"/>
          <w:b w:val="0"/>
          <w:i w:val="0"/>
          <w:color w:val="221F1F"/>
          <w:sz w:val="20"/>
        </w:rPr>
        <w:t>€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uller,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 xml:space="preserve">3 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M. Geidel,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>4</w:t>
      </w:r>
      <w:r>
        <w:rPr>
          <w:rFonts w:ascii="AdvHelv_R" w:hAnsi="AdvHelv_R" w:eastAsia="AdvHelv_R"/>
          <w:b w:val="0"/>
          <w:i w:val="0"/>
          <w:color w:val="221F1F"/>
          <w:sz w:val="20"/>
        </w:rPr>
        <w:t>and T. Mikolajick</w:t>
      </w:r>
      <w:r>
        <w:rPr>
          <w:w w:val="101.00952557155065"/>
          <w:rFonts w:ascii="AdvHelv_R" w:hAnsi="AdvHelv_R" w:eastAsia="AdvHelv_R"/>
          <w:b w:val="0"/>
          <w:i w:val="0"/>
          <w:color w:val="221F1F"/>
          <w:sz w:val="14"/>
        </w:rPr>
        <w:t xml:space="preserve">1,4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1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NaMLab gGmbH, 01187 Dresden,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2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Department of Electrical and Computer Engineering, University of Alberta, Edmonton T6G 2V4, Canada </w:t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3</w:t>
      </w:r>
      <w:r>
        <w:rPr>
          <w:rFonts w:ascii="AdvP696A" w:hAnsi="AdvP696A" w:eastAsia="AdvP696A"/>
          <w:b w:val="0"/>
          <w:i w:val="0"/>
          <w:color w:val="221F1F"/>
          <w:sz w:val="18"/>
        </w:rPr>
        <w:t xml:space="preserve">Fraunhofer CNT, 01099 Dresden, Germany </w:t>
      </w:r>
      <w:r>
        <w:br/>
      </w:r>
      <w:r>
        <w:rPr>
          <w:w w:val="97.89984042827899"/>
          <w:rFonts w:ascii="AdvP6975" w:hAnsi="AdvP6975" w:eastAsia="AdvP6975"/>
          <w:b w:val="0"/>
          <w:i w:val="0"/>
          <w:color w:val="221F1F"/>
          <w:sz w:val="13"/>
        </w:rPr>
        <w:t>4</w:t>
      </w:r>
      <w:r>
        <w:rPr>
          <w:rFonts w:ascii="AdvP696A" w:hAnsi="AdvP696A" w:eastAsia="AdvP696A"/>
          <w:b w:val="0"/>
          <w:i w:val="0"/>
          <w:color w:val="221F1F"/>
          <w:sz w:val="18"/>
        </w:rPr>
        <w:t>Institute of Semiconductors and Microsystems, Technische Universit</w:t>
      </w:r>
      <w:r>
        <w:rPr>
          <w:rFonts w:ascii="AdvP4C4E59" w:hAnsi="AdvP4C4E59" w:eastAsia="AdvP4C4E59"/>
          <w:b w:val="0"/>
          <w:i w:val="0"/>
          <w:color w:val="221F1F"/>
          <w:sz w:val="18"/>
        </w:rPr>
        <w:t>€</w:t>
      </w:r>
      <w:r>
        <w:rPr>
          <w:rFonts w:ascii="AdvP696A" w:hAnsi="AdvP696A" w:eastAsia="AdvP696A"/>
          <w:b w:val="0"/>
          <w:i w:val="0"/>
          <w:color w:val="221F1F"/>
          <w:sz w:val="18"/>
        </w:rPr>
        <w:t>at Dresden, 01062 Dresden, Germany</w:t>
      </w:r>
    </w:p>
    <w:p>
      <w:pPr>
        <w:autoSpaceDN w:val="0"/>
        <w:autoSpaceDE w:val="0"/>
        <w:widowControl/>
        <w:spacing w:line="200" w:lineRule="exact" w:before="160" w:after="0"/>
        <w:ind w:left="72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(Received 9 July 2012; accepted 6 August 2012; published online 22 August 2012)</w:t>
      </w:r>
    </w:p>
    <w:p>
      <w:pPr>
        <w:autoSpaceDN w:val="0"/>
        <w:autoSpaceDE w:val="0"/>
        <w:widowControl/>
        <w:spacing w:line="238" w:lineRule="exact" w:before="142" w:after="412"/>
        <w:ind w:left="720" w:right="1544" w:firstLine="0"/>
        <w:jc w:val="righ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Thin film capacitors were fabricated by sputtering TiN-Y 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-TiN stacks on silicon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substrates. Yttrium was incorporated into the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layers by simultaneously sputtering from Y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 xml:space="preserve">3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sources. Electric polarization and relative permittivity measurements yield distinct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ferroelectric properties as a result of low yttrium dopant concentrations in the range of 0.9-1.9 mol.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%. Grazing incidence x-ray diffraction measurements show the formation of an orthorhombic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phase in this range. Compared to atomic layer deposition films, the highest remanent polarization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and the highest relative permittivity were obtained at significantly lower doping concentrations 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these sputtered films.</w:t>
      </w:r>
      <w:r>
        <w:rPr>
          <w:w w:val="102.53059162813074"/>
          <w:rFonts w:ascii="AdvP80516" w:hAnsi="AdvP80516" w:eastAsia="AdvP80516"/>
          <w:b w:val="0"/>
          <w:i w:val="0"/>
          <w:color w:val="221F1F"/>
          <w:sz w:val="17"/>
        </w:rPr>
        <w:t xml:space="preserve"> V </w:t>
      </w:r>
      <w:r>
        <w:rPr>
          <w:rFonts w:ascii="AdvP6975" w:hAnsi="AdvP6975" w:eastAsia="AdvP6975"/>
          <w:b w:val="0"/>
          <w:i w:val="0"/>
          <w:color w:val="221F1F"/>
          <w:sz w:val="12"/>
        </w:rPr>
        <w:t>C</w:t>
      </w:r>
      <w:r>
        <w:rPr>
          <w:rFonts w:ascii="AdvP696A" w:hAnsi="AdvP696A" w:eastAsia="AdvP696A"/>
          <w:b w:val="0"/>
          <w:i w:val="0"/>
          <w:color w:val="221F1F"/>
          <w:sz w:val="20"/>
        </w:rPr>
        <w:t xml:space="preserve"> 2012 American Institute of Physics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 [</w:t>
      </w:r>
      <w:r>
        <w:rPr>
          <w:rFonts w:ascii="AdvP6975" w:hAnsi="AdvP6975" w:eastAsia="AdvP6975"/>
          <w:b w:val="0"/>
          <w:i w:val="0"/>
          <w:color w:val="0000FF"/>
          <w:sz w:val="20"/>
        </w:rPr>
        <w:hyperlink r:id="rId9" w:history="1">
          <w:r>
            <w:rPr>
              <w:rStyle w:val="Hyperlink"/>
            </w:rPr>
            <w:t>http://dx.doi.org/10.1063/1.4747209</w:t>
          </w:r>
        </w:hyperlink>
      </w:r>
      <w:r>
        <w:rPr>
          <w:rFonts w:ascii="AdvP6975" w:hAnsi="AdvP6975" w:eastAsia="AdvP6975"/>
          <w:b w:val="0"/>
          <w:i w:val="0"/>
          <w:color w:val="221F1F"/>
          <w:sz w:val="20"/>
        </w:rPr>
        <w:t>]</w:t>
      </w:r>
    </w:p>
    <w:p>
      <w:pPr>
        <w:sectPr>
          <w:pgSz w:w="12240" w:h="16199"/>
          <w:pgMar w:top="300" w:right="956" w:bottom="382" w:left="1020" w:header="720" w:footer="720" w:gutter="0"/>
          <w:cols w:space="720" w:num="1" w:equalWidth="0">
            <w:col w:w="10264" w:space="0"/>
          </w:cols>
          <w:docGrid w:linePitch="360"/>
        </w:sectPr>
      </w:pPr>
    </w:p>
    <w:p>
      <w:pPr>
        <w:autoSpaceDN w:val="0"/>
        <w:tabs>
          <w:tab w:pos="360" w:val="left"/>
        </w:tabs>
        <w:autoSpaceDE w:val="0"/>
        <w:widowControl/>
        <w:spacing w:line="238" w:lineRule="exact" w:before="0" w:after="0"/>
        <w:ind w:left="0" w:right="144" w:firstLine="0"/>
        <w:jc w:val="left"/>
      </w:pP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Ferroelectricity is the property of materials that can sus-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tain an electrical polarization after the inducing electric field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is removed.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Although many applications of ferroelectric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materials have been proposed, a widespread approach has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been replacing the dielectric in memory devices with ferro-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electric thin films to produce non-volatile memory devices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such as the ferroelectric field-effect transistor (FeFET),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2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–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5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ferroelectric random access memory (FeRAM).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6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Other than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non-volatile data retention, these technologies have addi-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tional benefits such as the fast writing speeds, low required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powers, and high read-write endurance. Up until recently,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lead zirconate titanate (PZT) has been the main compound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used for ferroelectric memories. A major difficulty with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PZT, however, is the integration into CMOS devices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7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device scaling. Alternative materials are therefore being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investigated. A method of stabilizing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thin films into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ferroelectric state could be very useful for ferroelectric mem-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ory applications because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is already fully integrated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into standard CMOS processing in contemporary technology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nodes.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 xml:space="preserve">8 </w:t>
      </w:r>
      <w:r>
        <w:br/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High permittivity crystalline phases in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have been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shown to be the result of techniques such as mechanical con-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fined crystallization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9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and doping with various metals such 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yttrium.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10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Crystallization-altering techniques such as these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may also induce ferroelectricity in previous paraelectric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materials, forming so-called incipient ferroelectrics.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11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 xml:space="preserve">12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At room temperature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crystallizes into a mono-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clinic phase (P2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1</w:t>
      </w:r>
      <w:r>
        <w:rPr>
          <w:rFonts w:ascii="AdvP6975" w:hAnsi="AdvP6975" w:eastAsia="AdvP6975"/>
          <w:b w:val="0"/>
          <w:i w:val="0"/>
          <w:color w:val="221F1F"/>
          <w:sz w:val="20"/>
        </w:rPr>
        <w:t>/c),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13</w:t>
      </w:r>
      <w:r>
        <w:rPr>
          <w:rFonts w:ascii="AdvP6975" w:hAnsi="AdvP6975" w:eastAsia="AdvP6975"/>
          <w:b w:val="0"/>
          <w:i w:val="0"/>
          <w:color w:val="221F1F"/>
          <w:sz w:val="20"/>
        </w:rPr>
        <w:t>but at elevated temperatures it is trans-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formed into tetragonal and then cubic phases.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14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Moderate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doping can cause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to crystallize and stabilize in these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other phases at significantly lower annealing temperatures.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has been shown in doped thin films fabricated by atomic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layer deposition (ALD). Grazing incidence x-ray diffraction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(GIXRD) scans have shown that the dopants Si,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15</w:t>
      </w:r>
      <w:r>
        <w:rPr>
          <w:rFonts w:ascii="AdvP6975" w:hAnsi="AdvP6975" w:eastAsia="AdvP6975"/>
          <w:b w:val="0"/>
          <w:i w:val="0"/>
          <w:color w:val="221F1F"/>
          <w:sz w:val="20"/>
        </w:rPr>
        <w:t>Y,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16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Al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17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can all facilitate this lower temperature crystallization</w:t>
      </w:r>
    </w:p>
    <w:p>
      <w:pPr>
        <w:autoSpaceDN w:val="0"/>
        <w:tabs>
          <w:tab w:pos="94" w:val="left"/>
        </w:tabs>
        <w:autoSpaceDE w:val="0"/>
        <w:widowControl/>
        <w:spacing w:line="190" w:lineRule="exact" w:before="332" w:after="0"/>
        <w:ind w:left="0" w:right="144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a)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Author to whom correspondence should be addressed. Electronic mail: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trevor.olsen@ualberta.ca.</w:t>
      </w:r>
    </w:p>
    <w:p>
      <w:pPr>
        <w:sectPr>
          <w:type w:val="continuous"/>
          <w:pgSz w:w="12240" w:h="16199"/>
          <w:pgMar w:top="300" w:right="956" w:bottom="382" w:left="1020" w:header="720" w:footer="720" w:gutter="0"/>
          <w:cols w:space="720" w:num="2" w:equalWidth="0"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50"/>
        <w:ind w:left="202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in thin films.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These films were monoclinic at low dopant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.00000000000068" w:type="dxa"/>
      </w:tblPr>
      <w:tblGrid>
        <w:gridCol w:w="10264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concentrations, and transformed into cubic or tetragonal</w:t>
            </w:r>
          </w:p>
        </w:tc>
      </w:tr>
    </w:tbl>
    <w:p>
      <w:pPr>
        <w:autoSpaceDN w:val="0"/>
        <w:autoSpaceDE w:val="0"/>
        <w:widowControl/>
        <w:spacing w:line="200" w:lineRule="exact" w:before="42" w:after="50"/>
        <w:ind w:left="202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phases at higher dopant concentrations.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Yttrium stabilizes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.00000000000068" w:type="dxa"/>
      </w:tblPr>
      <w:tblGrid>
        <w:gridCol w:w="10264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the cubic phase, whereas Al and Si stabilize the tetragonal</w:t>
            </w:r>
          </w:p>
        </w:tc>
      </w:tr>
      <w:tr>
        <w:trPr>
          <w:trHeight w:hRule="exact" w:val="982"/>
        </w:trPr>
        <w:tc>
          <w:tcPr>
            <w:tcW w:type="dxa" w:w="5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44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  <w:highlight w:val="yellow"/>
              </w:rPr>
              <w:t>phase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  <w:highlight w:val="yellow"/>
              </w:rPr>
              <w:t>.</w:t>
            </w:r>
            <w:r>
              <w:rPr>
                <w:w w:val="101.00952557155065"/>
                <w:rFonts w:ascii="AdvP6975" w:hAnsi="AdvP6975" w:eastAsia="AdvP6975"/>
                <w:b w:val="0"/>
                <w:i w:val="0"/>
                <w:color w:val="0000FF"/>
                <w:sz w:val="14"/>
                <w:highlight w:val="yellow"/>
              </w:rPr>
              <w:t>1</w:t>
            </w:r>
            <w:r>
              <w:rPr>
                <w:w w:val="101.00952557155065"/>
                <w:rFonts w:ascii="AdvP6975" w:hAnsi="AdvP6975" w:eastAsia="AdvP6975"/>
                <w:b w:val="0"/>
                <w:i w:val="0"/>
                <w:color w:val="0000FF"/>
                <w:sz w:val="14"/>
                <w:highlight w:val="yellow"/>
              </w:rPr>
              <w:t>8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 xml:space="preserve">In contrast to Al or Si, whose atomic radius is 40% 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smaller than hafnium’s, yttrium’s atomic radius is</w:t>
            </w:r>
            <w:r>
              <w:rPr>
                <w:rFonts w:ascii="AdvP4C4E74" w:hAnsi="AdvP4C4E74" w:eastAsia="AdvP4C4E74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 xml:space="preserve">15% 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larger.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404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For all three of the tested dopants (Si,</w:t>
            </w:r>
            <w:r>
              <w:rPr>
                <w:w w:val="101.00952557155065"/>
                <w:rFonts w:ascii="AdvP6975" w:hAnsi="AdvP6975" w:eastAsia="AdvP6975"/>
                <w:b w:val="0"/>
                <w:i w:val="0"/>
                <w:color w:val="0000FF"/>
                <w:sz w:val="14"/>
              </w:rPr>
              <w:t>15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Y,</w:t>
            </w:r>
            <w:r>
              <w:rPr>
                <w:w w:val="101.00952557155065"/>
                <w:rFonts w:ascii="AdvP6975" w:hAnsi="AdvP6975" w:eastAsia="AdvP6975"/>
                <w:b w:val="0"/>
                <w:i w:val="0"/>
                <w:color w:val="0000FF"/>
                <w:sz w:val="14"/>
              </w:rPr>
              <w:t>16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and Al</w:t>
            </w:r>
            <w:r>
              <w:rPr>
                <w:w w:val="101.00952557155065"/>
                <w:rFonts w:ascii="AdvP6975" w:hAnsi="AdvP6975" w:eastAsia="AdvP6975"/>
                <w:b w:val="0"/>
                <w:i w:val="0"/>
                <w:color w:val="0000FF"/>
                <w:sz w:val="14"/>
              </w:rPr>
              <w:t>17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34" w:lineRule="exact" w:before="0" w:after="50"/>
        <w:ind w:left="202" w:right="64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 transitional region was observed by GIXRD at moderate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dopant concentrations. In this region, polarization hysteresis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loops indicated ferroelectricity.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The origin of this ferroelec-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.00000000000068" w:type="dxa"/>
      </w:tblPr>
      <w:tblGrid>
        <w:gridCol w:w="10264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tricity was attributed to a non-centrosymmetric orthorhombic</w:t>
            </w:r>
          </w:p>
        </w:tc>
      </w:tr>
    </w:tbl>
    <w:p>
      <w:pPr>
        <w:autoSpaceDN w:val="0"/>
        <w:autoSpaceDE w:val="0"/>
        <w:widowControl/>
        <w:spacing w:line="234" w:lineRule="exact" w:before="30" w:after="50"/>
        <w:ind w:left="202" w:right="64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phase transition of space group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Pbc2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  <w:highlight w:val="yellow"/>
        </w:rPr>
        <w:t>1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strongest ferro-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electric properties were reported when the dopant concentra-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tion was in the range of 4–7 mol. %. However, at higher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concentrations Al and Si induce anti ferroelectricity whereas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Y doped films stay ferroelectric.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The purpose of this study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.00000000000068" w:type="dxa"/>
      </w:tblPr>
      <w:tblGrid>
        <w:gridCol w:w="10264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to shed light on the role of Y doping in stabilizing the coexis-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.00000000000068" w:type="dxa"/>
      </w:tblPr>
      <w:tblGrid>
        <w:gridCol w:w="10264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tence of the cubic and orthorhombic crystalline phases in</w:t>
            </w:r>
          </w:p>
        </w:tc>
      </w:tr>
    </w:tbl>
    <w:p>
      <w:pPr>
        <w:autoSpaceDN w:val="0"/>
        <w:autoSpaceDE w:val="0"/>
        <w:widowControl/>
        <w:spacing w:line="228" w:lineRule="exact" w:before="48" w:after="0"/>
        <w:ind w:left="202" w:right="64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Y:HfO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thin films. Using yttrium as a dopant is of great in-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terest because it has so far shown the highest remanent polar-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ization (up to 24</w:t>
      </w:r>
      <w:r>
        <w:rPr>
          <w:rFonts w:ascii="AdvPSMP10" w:hAnsi="AdvPSMP10" w:eastAsia="AdvPSMP10"/>
          <w:b w:val="0"/>
          <w:i w:val="0"/>
          <w:color w:val="221F1F"/>
          <w:sz w:val="20"/>
        </w:rPr>
        <w:t xml:space="preserve"> l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C/cm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)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16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of the three previously tested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dopants.</w:t>
      </w:r>
    </w:p>
    <w:p>
      <w:pPr>
        <w:autoSpaceDN w:val="0"/>
        <w:autoSpaceDE w:val="0"/>
        <w:widowControl/>
        <w:spacing w:line="240" w:lineRule="exact" w:before="0" w:after="0"/>
        <w:ind w:left="202" w:right="64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In this study, physical vapor deposition (PVD) was used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to fabricate yttrium-doped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thin films. This was done 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order to exclude ALD specific process parameters as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source of ferrroelectricity. Moreover, choosing a deposition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method which typically has different contaminants (Ar, Fe,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Cr at very low levels) than ALD (C) as well as a more kinetic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deposition process makes an interesting comparison to ear-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lier ALD based work.</w:t>
      </w:r>
    </w:p>
    <w:p>
      <w:pPr>
        <w:autoSpaceDN w:val="0"/>
        <w:autoSpaceDE w:val="0"/>
        <w:widowControl/>
        <w:spacing w:line="240" w:lineRule="exact" w:before="0" w:after="290"/>
        <w:ind w:left="202" w:right="64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Since the doping concentrations which induce these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effects are very low, it is important to have a high level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certainty about film contamination and the influence of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deposition parameters. Additionally, using ALD may be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disadvantageous due to its low deposition rates and rather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high costs. Metal-insulator-metal (MIM) capacitor structures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were deposited onto a silicon substrate in a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three chamber</w:t>
      </w:r>
    </w:p>
    <w:p>
      <w:pPr>
        <w:sectPr>
          <w:type w:val="nextColumn"/>
          <w:pgSz w:w="12240" w:h="16199"/>
          <w:pgMar w:top="300" w:right="956" w:bottom="382" w:left="1020" w:header="720" w:footer="720" w:gutter="0"/>
          <w:cols w:space="720" w:num="2" w:equalWidth="0">
            <w:col w:w="5078" w:space="0"/>
            <w:col w:w="5186" w:space="0"/>
            <w:col w:w="10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1"/>
        <w:gridCol w:w="3421"/>
        <w:gridCol w:w="3421"/>
      </w:tblGrid>
      <w:tr>
        <w:trPr>
          <w:trHeight w:hRule="exact" w:val="162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0003-6951/2012/101(8)/082905/4/$30.00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988" w:firstLine="0"/>
              <w:jc w:val="right"/>
            </w:pP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>101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082905-1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20" w:firstLine="0"/>
              <w:jc w:val="right"/>
            </w:pPr>
            <w:r>
              <w:rPr>
                <w:rFonts w:ascii="AdvP80516" w:hAnsi="AdvP80516" w:eastAsia="AdvP80516"/>
                <w:b w:val="0"/>
                <w:i w:val="0"/>
                <w:color w:val="221F1F"/>
                <w:sz w:val="14"/>
              </w:rPr>
              <w:t xml:space="preserve">V </w:t>
            </w:r>
            <w:r>
              <w:rPr>
                <w:w w:val="95.61599731445312"/>
                <w:rFonts w:ascii="AdvHelv_R" w:hAnsi="AdvHelv_R" w:eastAsia="AdvHelv_R"/>
                <w:b w:val="0"/>
                <w:i w:val="0"/>
                <w:color w:val="221F1F"/>
                <w:sz w:val="10"/>
              </w:rPr>
              <w:t>C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 xml:space="preserve"> 2012 American Institute of Physics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6199"/>
          <w:pgMar w:top="300" w:right="956" w:bottom="382" w:left="1020" w:header="720" w:footer="720" w:gutter="0"/>
          <w:cols w:space="720" w:num="1" w:equalWidth="0"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1270000</wp:posOffset>
            </wp:positionV>
            <wp:extent cx="3175000" cy="304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5105400</wp:posOffset>
            </wp:positionV>
            <wp:extent cx="3175000" cy="279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5410200</wp:posOffset>
            </wp:positionV>
            <wp:extent cx="3175000" cy="279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36"/>
        <w:gridCol w:w="3436"/>
        <w:gridCol w:w="3436"/>
      </w:tblGrid>
      <w:tr>
        <w:trPr>
          <w:trHeight w:hRule="exact" w:val="14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4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082905-2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Olsen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18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101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082905 (2012)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10"/>
        <w:ind w:left="0" w:right="0"/>
      </w:pPr>
    </w:p>
    <w:p>
      <w:pPr>
        <w:sectPr>
          <w:pgSz w:w="12240" w:h="16199"/>
          <w:pgMar w:top="306" w:right="956" w:bottom="400" w:left="976" w:header="720" w:footer="720" w:gutter="0"/>
          <w:cols w:space="720" w:num="1" w:equalWidth="0"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44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ultra-high vacuum (UHV) sputter cluster.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In this machine, it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is possible to deposit the entire MIM stack without breaking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vacuum, avoiding film and interface contamination.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12 nm thick TiN bottom and top electrodes were deposited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 a designated metal deposition chamber at 300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 at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pressure of 1.2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10</w:t>
      </w:r>
      <w:r>
        <w:rPr>
          <w:w w:val="101.00952557155065"/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3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mbar.</w:t>
      </w:r>
    </w:p>
    <w:p>
      <w:pPr>
        <w:autoSpaceDN w:val="0"/>
        <w:autoSpaceDE w:val="0"/>
        <w:widowControl/>
        <w:spacing w:line="206" w:lineRule="exact" w:before="28" w:after="0"/>
        <w:ind w:left="44" w:right="144" w:firstLine="36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The yttrium-doped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dielectric layer was deposited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 a designated oxide deposition chamber. In this chamber,</w:t>
      </w:r>
    </w:p>
    <w:p>
      <w:pPr>
        <w:sectPr>
          <w:type w:val="continuous"/>
          <w:pgSz w:w="12240" w:h="16199"/>
          <w:pgMar w:top="306" w:right="956" w:bottom="400" w:left="976" w:header="720" w:footer="720" w:gutter="0"/>
          <w:cols w:space="720" w:num="2" w:equalWidth="0"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80" w:right="64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using the shared bottom TiN electrode as the second electri-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cal contact. Polarization hysteresis loops were measured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using an aixACCT TF Analyzer 1000 measurement system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and capacitance measurements were taken using a Keithley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SCS-4200 measurement system.</w:t>
      </w:r>
    </w:p>
    <w:p>
      <w:pPr>
        <w:autoSpaceDN w:val="0"/>
        <w:autoSpaceDE w:val="0"/>
        <w:widowControl/>
        <w:spacing w:line="240" w:lineRule="exact" w:before="0" w:after="40"/>
        <w:ind w:left="180" w:right="64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For consistent comparison of hysteresis loops between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samples of different yttrium concentrations, the same posi-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tive and negative peak voltage of 5 V was used for each mea-</w:t>
      </w:r>
    </w:p>
    <w:p>
      <w:pPr>
        <w:sectPr>
          <w:type w:val="nextColumn"/>
          <w:pgSz w:w="12240" w:h="16199"/>
          <w:pgMar w:top="306" w:right="956" w:bottom="400" w:left="976" w:header="720" w:footer="720" w:gutter="0"/>
          <w:cols w:space="720" w:num="2" w:equalWidth="0"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73"/>
        <w:gridCol w:w="1473"/>
        <w:gridCol w:w="1473"/>
        <w:gridCol w:w="1473"/>
        <w:gridCol w:w="1473"/>
        <w:gridCol w:w="1473"/>
        <w:gridCol w:w="1473"/>
      </w:tblGrid>
      <w:tr>
        <w:trPr>
          <w:trHeight w:hRule="exact" w:val="180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3-in. sputter sources were arranged confocally to enable co-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surement.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Also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consistency,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5000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7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bipolar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2240" w:h="16199"/>
          <w:pgMar w:top="306" w:right="956" w:bottom="400" w:left="976" w:header="720" w:footer="720" w:gutter="0"/>
          <w:cols w:space="720" w:num="1" w:equalWidth="0"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44" w:right="20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sputtering of a variety of different oxide compositions onto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rotating substrate. The targets used for these dielectric films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were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 Y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3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 They were sputtered at room tempera-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ture with an Ar pressure of 1.1</w:t>
      </w:r>
      <w:r>
        <w:rPr>
          <w:rFonts w:ascii="AdvP4C4E74" w:hAnsi="AdvP4C4E74" w:eastAsia="AdvP4C4E74"/>
          <w:b w:val="0"/>
          <w:i w:val="0"/>
          <w:color w:val="221F1F"/>
          <w:sz w:val="20"/>
        </w:rPr>
        <w:t xml:space="preserve"> 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10</w:t>
      </w:r>
      <w:r>
        <w:rPr>
          <w:w w:val="101.00952557155065"/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3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mbar.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To vary the yt-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trium content between samples, the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  <w:highlight w:val="yellow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source power was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kept constant (at 150 W) while the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Y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  <w:highlight w:val="yellow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  <w:highlight w:val="yellow"/>
        </w:rPr>
        <w:t>3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source power was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varied from 16 W to 80 W.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X-ray photoelectron spectroscopy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(XPS) calibrated by Rutherford backscattering spectrometry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(RBS) was used to determine the molar concentrations of</w:t>
      </w:r>
    </w:p>
    <w:p>
      <w:pPr>
        <w:sectPr>
          <w:type w:val="continuous"/>
          <w:pgSz w:w="12240" w:h="16199"/>
          <w:pgMar w:top="306" w:right="956" w:bottom="400" w:left="976" w:header="720" w:footer="720" w:gutter="0"/>
          <w:cols w:space="720" w:num="2" w:equalWidth="0"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58" w:right="64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preconditioning “wake up” cycles were applied (at a peak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voltage of 4 V) before each 5 V measurement. The cycling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effects of this “wake up” have been seen before in PZT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experiments,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20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but their effects appear to be quite substantial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 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6" w:lineRule="exact" w:before="0" w:after="40"/>
        <w:ind w:left="158" w:right="64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crystal structure of each sample was characterized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by GIXRD scans performed on a Bruker D8 Discover XRD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system (Cu K</w:t>
      </w:r>
      <w:r>
        <w:rPr>
          <w:w w:val="101.00952557155065"/>
          <w:rFonts w:ascii="AdvPSMP10" w:hAnsi="AdvPSMP10" w:eastAsia="AdvPSMP10"/>
          <w:b w:val="0"/>
          <w:i w:val="0"/>
          <w:color w:val="221F1F"/>
          <w:sz w:val="14"/>
        </w:rPr>
        <w:t>a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radiation source) equipped with a G</w:t>
      </w:r>
      <w:r>
        <w:rPr>
          <w:rFonts w:ascii="AdvP4C4E59" w:hAnsi="AdvP4C4E59" w:eastAsia="AdvP4C4E59"/>
          <w:b w:val="0"/>
          <w:i w:val="0"/>
          <w:color w:val="221F1F"/>
          <w:sz w:val="20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obel mir-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ror on the primary side and a lynxeye line detector on the</w:t>
      </w:r>
    </w:p>
    <w:p>
      <w:pPr>
        <w:sectPr>
          <w:type w:val="nextColumn"/>
          <w:pgSz w:w="12240" w:h="16199"/>
          <w:pgMar w:top="306" w:right="956" w:bottom="400" w:left="976" w:header="720" w:footer="720" w:gutter="0"/>
          <w:cols w:space="720" w:num="2" w:equalWidth="0"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tabs>
          <w:tab w:pos="5324" w:val="left"/>
        </w:tabs>
        <w:autoSpaceDE w:val="0"/>
        <w:widowControl/>
        <w:spacing w:line="200" w:lineRule="exact" w:before="0" w:after="40"/>
        <w:ind w:left="44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each sample.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secondary side. These scans helped to identify different crys-</w:t>
      </w:r>
    </w:p>
    <w:p>
      <w:pPr>
        <w:sectPr>
          <w:type w:val="continuous"/>
          <w:pgSz w:w="12240" w:h="16199"/>
          <w:pgMar w:top="306" w:right="956" w:bottom="400" w:left="976" w:header="720" w:footer="720" w:gutter="0"/>
          <w:cols w:space="720" w:num="1" w:equalWidth="0"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308"/>
      </w:tblGrid>
      <w:tr>
        <w:trPr>
          <w:trHeight w:hRule="exact" w:val="186"/>
        </w:trPr>
        <w:tc>
          <w:tcPr>
            <w:tcW w:type="dxa" w:w="464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The purpose of the top TiN layer is to mechanically con-</w:t>
            </w:r>
          </w:p>
        </w:tc>
      </w:tr>
    </w:tbl>
    <w:p>
      <w:pPr>
        <w:autoSpaceDN w:val="0"/>
        <w:autoSpaceDE w:val="0"/>
        <w:widowControl/>
        <w:spacing w:line="236" w:lineRule="exact" w:before="42" w:after="50"/>
        <w:ind w:left="44" w:right="20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fine the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  <w:highlight w:val="yellow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film when it is crystallized by annealing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(RTP).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This mechanical confinement during crystallization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was identified to be mandatory to achieve ferroelectricity 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Si-doped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samples made by ALD.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15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Similar ALD sam-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ples made using Y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16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Al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17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as a dopant found that mechan-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ical confinement was not mandatory, but that it produced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improved ferroelectric properties. Only mechanically con-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fined samples were tested within this study.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308"/>
      </w:tblGrid>
      <w:tr>
        <w:trPr>
          <w:trHeight w:hRule="exact" w:val="186"/>
        </w:trPr>
        <w:tc>
          <w:tcPr>
            <w:tcW w:type="dxa" w:w="464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After sputtering, crystallization was induced in the sam-</w:t>
            </w:r>
          </w:p>
        </w:tc>
      </w:tr>
    </w:tbl>
    <w:p>
      <w:pPr>
        <w:autoSpaceDN w:val="0"/>
        <w:tabs>
          <w:tab w:pos="404" w:val="left"/>
        </w:tabs>
        <w:autoSpaceDE w:val="0"/>
        <w:widowControl/>
        <w:spacing w:line="240" w:lineRule="exact" w:before="4" w:after="0"/>
        <w:ind w:left="44" w:right="144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ples by rapid thermal processing (RTP) in nitrogen for 1 s at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1000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C. This annealing temperature yielded the best electri-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cal results, so it was used for all measurements provided 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study. Even though the yttrium content between different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samples was varied, it has been reported that this yttrium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content should have no significant influence on the required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crystallization temperature.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 xml:space="preserve">19 </w:t>
      </w:r>
      <w:r>
        <w:br/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To form individual capacitor structures, 55 nm thick cir-</w:t>
      </w:r>
    </w:p>
    <w:p>
      <w:pPr>
        <w:sectPr>
          <w:type w:val="continuous"/>
          <w:pgSz w:w="12240" w:h="16199"/>
          <w:pgMar w:top="306" w:right="956" w:bottom="400" w:left="976" w:header="720" w:footer="720" w:gutter="0"/>
          <w:cols w:space="720" w:num="2" w:equalWidth="0"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58" w:right="64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tal phases between samples based on the angles of peak dif-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fraction intensity. X-ray reflectivity (XRR) scans were also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performed on the same Bruker system to verify the thickness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density of different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/TiN sample stacks after the top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TiN films were etched away.</w:t>
      </w:r>
    </w:p>
    <w:p>
      <w:pPr>
        <w:autoSpaceDN w:val="0"/>
        <w:autoSpaceDE w:val="0"/>
        <w:widowControl/>
        <w:spacing w:line="244" w:lineRule="exact" w:before="0" w:after="0"/>
        <w:ind w:left="158" w:right="64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Figure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GIXRD measurements that were taken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on a set of samples that were fabricated with varying yttrium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concentrations. The measurements were taken using constant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incidence angle of 0.5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and the detector angle was varied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from 15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to 100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20"/>
        <w:ind w:left="158" w:right="64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Figure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1(a)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that as the yttrium concentration is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increased from sample to sample,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the monoclinic phase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pure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(characterized by two large reflections around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30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) transforms into a clean tetragonal/cubic phase. The tet-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ragonal/cubic phase is characterized by a set of well-defined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sharp reflections, which can all be easily identified with a tet-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ragonal/cubic powder diffraction pattern known for bulk pol-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ycrystalline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14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More interesting, however, are the</w:t>
      </w:r>
    </w:p>
    <w:p>
      <w:pPr>
        <w:sectPr>
          <w:type w:val="nextColumn"/>
          <w:pgSz w:w="12240" w:h="16199"/>
          <w:pgMar w:top="306" w:right="956" w:bottom="400" w:left="976" w:header="720" w:footer="720" w:gutter="0"/>
          <w:cols w:space="720" w:num="2" w:equalWidth="0"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73"/>
        <w:gridCol w:w="1473"/>
        <w:gridCol w:w="1473"/>
        <w:gridCol w:w="1473"/>
        <w:gridCol w:w="1473"/>
        <w:gridCol w:w="1473"/>
        <w:gridCol w:w="1473"/>
      </w:tblGrid>
      <w:tr>
        <w:trPr>
          <w:trHeight w:hRule="exact" w:val="186"/>
        </w:trPr>
        <w:tc>
          <w:tcPr>
            <w:tcW w:type="dxa" w:w="52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cular probing pads were deposited onto the top TiN layer</w:t>
            </w:r>
          </w:p>
        </w:tc>
        <w:tc>
          <w:tcPr>
            <w:tcW w:type="dxa" w:w="924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reflections</w:t>
            </w:r>
          </w:p>
        </w:tc>
        <w:tc>
          <w:tcPr>
            <w:tcW w:type="dxa" w:w="55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552"/>
            </w:tblGrid>
            <w:tr>
              <w:trPr>
                <w:trHeight w:hRule="exact" w:val="166"/>
              </w:trPr>
              <w:tc>
                <w:tcPr>
                  <w:tcW w:type="dxa" w:w="478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from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.99999999999909" w:type="dxa"/>
            </w:tblPr>
            <w:tblGrid>
              <w:gridCol w:w="410"/>
            </w:tblGrid>
            <w:tr>
              <w:trPr>
                <w:trHeight w:hRule="exact" w:val="166"/>
              </w:trPr>
              <w:tc>
                <w:tcPr>
                  <w:tcW w:type="dxa" w:w="334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the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1068"/>
            </w:tblGrid>
            <w:tr>
              <w:trPr>
                <w:trHeight w:hRule="exact" w:val="166"/>
              </w:trPr>
              <w:tc>
                <w:tcPr>
                  <w:tcW w:type="dxa" w:w="994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transitional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794"/>
            </w:tblGrid>
            <w:tr>
              <w:trPr>
                <w:trHeight w:hRule="exact" w:val="166"/>
              </w:trPr>
              <w:tc>
                <w:tcPr>
                  <w:tcW w:type="dxa" w:w="644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doping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5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concentrations</w:t>
            </w:r>
          </w:p>
        </w:tc>
      </w:tr>
      <w:tr>
        <w:trPr>
          <w:trHeight w:hRule="exact" w:val="242"/>
        </w:trPr>
        <w:tc>
          <w:tcPr>
            <w:tcW w:type="dxa" w:w="52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4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using an evaporation chamber and a shadow mask.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  <w:highlight w:val="yellow"/>
              </w:rPr>
              <w:t xml:space="preserve"> The evap-</w:t>
            </w:r>
          </w:p>
        </w:tc>
        <w:tc>
          <w:tcPr>
            <w:tcW w:type="dxa" w:w="50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(0.2 mol. % to 1.9 mol. %), where additional reflections are</w:t>
            </w:r>
          </w:p>
        </w:tc>
      </w:tr>
    </w:tbl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78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2"/>
        <w:sectPr>
          <w:type w:val="continuous"/>
          <w:pgSz w:w="12240" w:h="16199"/>
          <w:pgMar w:top="306" w:right="956" w:bottom="400" w:left="976" w:header="720" w:footer="720" w:gutter="0"/>
          <w:cols w:space="720" w:num="1" w:equalWidth="0"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44" w:right="158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50 nm platinum layer.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circular pads were used as a hard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mask for the top TiN layer, which was etched in a 5:1:1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H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O:H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:NH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4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OH solution (RCA SC-1) for 5 min.</w:t>
      </w:r>
    </w:p>
    <w:p>
      <w:pPr>
        <w:autoSpaceDN w:val="0"/>
        <w:autoSpaceDE w:val="0"/>
        <w:widowControl/>
        <w:spacing w:line="230" w:lineRule="exact" w:before="0" w:after="0"/>
        <w:ind w:left="44" w:right="144" w:firstLine="36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Electrical characterization was performed in an electri-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cal probing station by probing one of the top Pt pads and</w:t>
      </w:r>
    </w:p>
    <w:p>
      <w:pPr>
        <w:sectPr>
          <w:type w:val="continuous"/>
          <w:pgSz w:w="12240" w:h="16199"/>
          <w:pgMar w:top="306" w:right="956" w:bottom="400" w:left="976" w:header="720" w:footer="720" w:gutter="0"/>
          <w:cols w:space="720" w:num="2" w:equalWidth="0"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202" w:right="64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or the tetragonal/cubic phases.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 zoomed in look at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80–90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2</w:t>
      </w:r>
      <w:r>
        <w:rPr>
          <w:rFonts w:ascii="AdvPSMP13" w:hAnsi="AdvPSMP13" w:eastAsia="AdvPSMP13"/>
          <w:b w:val="0"/>
          <w:i w:val="0"/>
          <w:color w:val="221F1F"/>
          <w:sz w:val="20"/>
        </w:rPr>
        <w:t>H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range (Fig.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1(b)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) shows an additional reflection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at 83.5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which disappears for higher yttrium concentrations.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same is observed for reflections around 39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and 54</w:t>
      </w:r>
      <w:r>
        <w:rPr>
          <w:rFonts w:ascii="AdvP4C4E74" w:hAnsi="AdvP4C4E74" w:eastAsia="AdvP4C4E74"/>
          <w:b w:val="0"/>
          <w:i w:val="0"/>
          <w:color w:val="221F1F"/>
          <w:sz w:val="14"/>
        </w:rPr>
        <w:t>�</w:t>
      </w:r>
    </w:p>
    <w:p>
      <w:pPr>
        <w:autoSpaceDN w:val="0"/>
        <w:autoSpaceDE w:val="0"/>
        <w:widowControl/>
        <w:spacing w:line="200" w:lineRule="exact" w:before="24" w:after="458"/>
        <w:ind w:left="202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(zoomed areas not shown here). These three reflections fit</w:t>
      </w:r>
    </w:p>
    <w:p>
      <w:pPr>
        <w:sectPr>
          <w:type w:val="nextColumn"/>
          <w:pgSz w:w="12240" w:h="16199"/>
          <w:pgMar w:top="306" w:right="956" w:bottom="400" w:left="976" w:header="720" w:footer="720" w:gutter="0"/>
          <w:cols w:space="720" w:num="2" w:equalWidth="0"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>
        <w:trPr>
          <w:trHeight w:hRule="exact" w:val="1000"/>
        </w:trPr>
        <w:tc>
          <w:tcPr>
            <w:tcW w:type="dxa" w:w="718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94200" cy="1689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168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84" w:after="0"/>
              <w:ind w:left="186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FIG. 1. (a) GIXRD scans on HfO</w:t>
            </w:r>
            <w:r>
              <w:rPr>
                <w:w w:val="102.84214886752041"/>
                <w:rFonts w:ascii="AdvP6975" w:hAnsi="AdvP6975" w:eastAsia="AdvP6975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 xml:space="preserve"> samples 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with varying yttrium contents as indicated</w:t>
            </w:r>
          </w:p>
          <w:p>
            <w:pPr>
              <w:autoSpaceDN w:val="0"/>
              <w:autoSpaceDE w:val="0"/>
              <w:widowControl/>
              <w:spacing w:line="160" w:lineRule="exact" w:before="30" w:after="0"/>
              <w:ind w:left="186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by the yttrium sputtering power and XPS/</w:t>
            </w:r>
          </w:p>
        </w:tc>
      </w:tr>
      <w:tr>
        <w:trPr>
          <w:trHeight w:hRule="exact" w:val="200"/>
        </w:trPr>
        <w:tc>
          <w:tcPr>
            <w:tcW w:type="dxa" w:w="7137"/>
            <w:gridSpan w:val="9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92" w:firstLine="0"/>
              <w:jc w:val="righ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RBS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concentration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measurement.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20" w:firstLine="0"/>
              <w:jc w:val="righ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500"/>
        </w:trPr>
        <w:tc>
          <w:tcPr>
            <w:tcW w:type="dxa" w:w="7137"/>
            <w:gridSpan w:val="9"/>
            <w:vMerge/>
            <w:tcBorders/>
          </w:tcPr>
          <w:p/>
        </w:tc>
        <w:tc>
          <w:tcPr>
            <w:tcW w:type="dxa" w:w="30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86" w:right="18" w:firstLine="0"/>
              <w:jc w:val="both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 xml:space="preserve">reflections marked with short solid lines 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indicate the non-centrosymmetric Ortho-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 xml:space="preserve">rhombic phase, which appears only between 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 xml:space="preserve">0 mol. %–1.9 mol. %. (b) Closer look at the 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80</w:t>
            </w:r>
            <w:r>
              <w:rPr>
                <w:w w:val="101.81454745205967"/>
                <w:rFonts w:ascii="AdvP4C4E74" w:hAnsi="AdvP4C4E74" w:eastAsia="AdvP4C4E74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–90</w:t>
            </w:r>
            <w:r>
              <w:rPr>
                <w:w w:val="101.81454745205967"/>
                <w:rFonts w:ascii="AdvP4C4E74" w:hAnsi="AdvP4C4E74" w:eastAsia="AdvP4C4E74"/>
                <w:b w:val="0"/>
                <w:i w:val="0"/>
                <w:color w:val="221F1F"/>
                <w:sz w:val="11"/>
              </w:rPr>
              <w:t>�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range shows the orthorhombic tri-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 xml:space="preserve">plet observed at 1.9 mol. % change into a 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tetragonal/cubic duplet as yttrium concentra-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tion increases.</w:t>
            </w:r>
          </w:p>
        </w:tc>
      </w:tr>
      <w:tr>
        <w:trPr>
          <w:trHeight w:hRule="exact" w:val="18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304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72"/>
            <w:gridSpan w:val="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5400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2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6700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72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6199"/>
          <w:pgMar w:top="306" w:right="956" w:bottom="400" w:left="976" w:header="720" w:footer="720" w:gutter="0"/>
          <w:cols w:space="720" w:num="1" w:equalWidth="0"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22"/>
        <w:gridCol w:w="3422"/>
        <w:gridCol w:w="3422"/>
      </w:tblGrid>
      <w:tr>
        <w:trPr>
          <w:trHeight w:hRule="exact" w:val="14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4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082905-3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Olsen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101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082905 (2012)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8"/>
        <w:ind w:left="0" w:right="0"/>
      </w:pPr>
    </w:p>
    <w:p>
      <w:pPr>
        <w:sectPr>
          <w:pgSz w:w="12240" w:h="16199"/>
          <w:pgMar w:top="306" w:right="998" w:bottom="378" w:left="976" w:header="720" w:footer="720" w:gutter="0"/>
          <w:cols w:space="720" w:num="1" w:equalWidth="0"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1800" cy="2057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13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44600" cy="127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84" w:after="0"/>
        <w:ind w:left="44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>FIG. 2. Dependence of ferroelectric hysteresis properties on the concentra-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tion of yttrium dopant. For sputtering powers in the range of 20 W, clear fer-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roelectric hysteresis is visible. For lower and higher doping concentrations,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a transition to paraelectric behaviour occurs.</w:t>
      </w:r>
    </w:p>
    <w:p>
      <w:pPr>
        <w:autoSpaceDN w:val="0"/>
        <w:autoSpaceDE w:val="0"/>
        <w:widowControl/>
        <w:spacing w:line="234" w:lineRule="exact" w:before="478" w:after="0"/>
        <w:ind w:left="44" w:right="18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well to the non-centrosymmetric orthorhombic Pbc2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phase.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It should be noted that there are signs of this orthorhombic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phase appearing in the pure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sample, which was pre-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pared in the same way as the other samples, but with the yt-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trium sputtering source turned off. This indicates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existence of asymmetric phase structures in the sputtered</w:t>
      </w:r>
    </w:p>
    <w:p>
      <w:pPr>
        <w:sectPr>
          <w:type w:val="continuous"/>
          <w:pgSz w:w="12240" w:h="16199"/>
          <w:pgMar w:top="306" w:right="998" w:bottom="378" w:left="976" w:header="720" w:footer="720" w:gutter="0"/>
          <w:cols w:space="720" w:num="2" w:equalWidth="0"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4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57500" cy="1981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1467"/>
        <w:gridCol w:w="1467"/>
        <w:gridCol w:w="1467"/>
        <w:gridCol w:w="1467"/>
        <w:gridCol w:w="1467"/>
        <w:gridCol w:w="1467"/>
        <w:gridCol w:w="1467"/>
      </w:tblGrid>
      <w:tr>
        <w:trPr>
          <w:trHeight w:hRule="exact" w:val="19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2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89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50" w:after="0"/>
        <w:ind w:left="0" w:right="13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92200" cy="1143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90" w:after="0"/>
        <w:ind w:left="180" w:right="2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FIG. 3. Comparison of relative permittivity (from CV measurements) of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12 nm thick HfO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capacitor structures with varying yttrium dopant concen-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trations (labeled by yttrium sputtering power and XPS/RBS concentration 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measurements).</w:t>
      </w:r>
    </w:p>
    <w:p>
      <w:pPr>
        <w:autoSpaceDN w:val="0"/>
        <w:autoSpaceDE w:val="0"/>
        <w:widowControl/>
        <w:spacing w:line="240" w:lineRule="exact" w:before="266" w:after="6"/>
        <w:ind w:left="180" w:right="2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values in the figure. The occurrence of two capacitance max-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ima as shown in the figure is an indicator for ferroelectricity.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These maxima have been attributed to maximum domain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wall motion at the points where the polarization reaches zero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(at the coercive electric fields).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21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gives further evidence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that the hysteretic charge-voltage behavior is indeed origi-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nating from an intrinsic non-centrosymmetry of the stabi-</w:t>
      </w:r>
    </w:p>
    <w:p>
      <w:pPr>
        <w:sectPr>
          <w:type w:val="nextColumn"/>
          <w:pgSz w:w="12240" w:h="16199"/>
          <w:pgMar w:top="306" w:right="998" w:bottom="378" w:left="976" w:header="720" w:footer="720" w:gutter="0"/>
          <w:cols w:space="720" w:num="2" w:equalWidth="0"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67"/>
        <w:gridCol w:w="1467"/>
        <w:gridCol w:w="1467"/>
        <w:gridCol w:w="1467"/>
        <w:gridCol w:w="1467"/>
        <w:gridCol w:w="1467"/>
        <w:gridCol w:w="1467"/>
      </w:tblGrid>
      <w:tr>
        <w:trPr>
          <w:trHeight w:hRule="exact" w:val="21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0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HfO</w:t>
            </w:r>
            <w:r>
              <w:rPr>
                <w:w w:val="101.00952557155065"/>
                <w:rFonts w:ascii="AdvP6975" w:hAnsi="AdvP6975" w:eastAsia="AdvP6975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90" w:firstLine="0"/>
              <w:jc w:val="righ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lized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crystalline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phase.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02" w:right="0" w:firstLine="0"/>
              <w:jc w:val="left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non-centrosymmetric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2240" w:h="16199"/>
          <w:pgMar w:top="306" w:right="998" w:bottom="378" w:left="976" w:header="720" w:footer="720" w:gutter="0"/>
          <w:cols w:space="720" w:num="1" w:equalWidth="0"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44" w:right="18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Figure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how the polarization hysteresis curves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yttrium-doped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capacitor structures change as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doping concentration of each dielectric layer is changed.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Electrical measurements revealed that between 16 and 24 W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of yttrium sputtering power (yttrium concentration between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0.2 and 1.9 mol. %), the hysteresis plots were most pro-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nounced. Higher amounts of incorporated yttrium led to a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transition to the tetragonal/cubic phase, which is centrosym-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metric and therefore paraelectric. However, the transition is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not abrupt. A gradual change from ferroelectric curves to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paraelectric curves was observed because in the transitional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region the film represents a mixture of grains of different</w:t>
      </w:r>
    </w:p>
    <w:p>
      <w:pPr>
        <w:sectPr>
          <w:type w:val="continuous"/>
          <w:pgSz w:w="12240" w:h="16199"/>
          <w:pgMar w:top="306" w:right="998" w:bottom="378" w:left="976" w:header="720" w:footer="720" w:gutter="0"/>
          <w:cols w:space="720" w:num="2" w:equalWidth="0">
            <w:col w:w="5144" w:space="0"/>
            <w:col w:w="5122" w:space="0"/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80" w:right="2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orthorhombic phase was predicted for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by Lowther </w:t>
      </w:r>
      <w:r>
        <w:rPr>
          <w:rFonts w:ascii="AdvP696A" w:hAnsi="AdvP696A" w:eastAsia="AdvP696A"/>
          <w:b w:val="0"/>
          <w:i w:val="0"/>
          <w:color w:val="221F1F"/>
          <w:sz w:val="20"/>
        </w:rPr>
        <w:t>et al.</w:t>
      </w:r>
      <w:r>
        <w:rPr>
          <w:rFonts w:ascii="AdvP6975" w:hAnsi="AdvP6975" w:eastAsia="AdvP6975"/>
          <w:b w:val="0"/>
          <w:i w:val="0"/>
          <w:color w:val="221F1F"/>
          <w:sz w:val="20"/>
        </w:rPr>
        <w:t>,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22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using an</w:t>
      </w:r>
      <w:r>
        <w:rPr>
          <w:rFonts w:ascii="AdvP696A" w:hAnsi="AdvP696A" w:eastAsia="AdvP696A"/>
          <w:b w:val="0"/>
          <w:i w:val="0"/>
          <w:color w:val="221F1F"/>
          <w:sz w:val="20"/>
        </w:rPr>
        <w:t xml:space="preserve"> ab initio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approach. In such a material,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remanent polarization is due to the displacement of the O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atoms against the Hf atoms in the crystal lattice. Further-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more, Figure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the dependence of the relative permit-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tivity on the amount of incorporated yttrium, with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highest results occurring in the 0.9 mol. % sample.</w:t>
      </w:r>
    </w:p>
    <w:p>
      <w:pPr>
        <w:autoSpaceDN w:val="0"/>
        <w:autoSpaceDE w:val="0"/>
        <w:widowControl/>
        <w:spacing w:line="240" w:lineRule="exact" w:before="0" w:after="6"/>
        <w:ind w:left="180" w:right="2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In Figure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4</w:t>
      </w:r>
      <w:r>
        <w:rPr>
          <w:rFonts w:ascii="AdvP6975" w:hAnsi="AdvP6975" w:eastAsia="AdvP6975"/>
          <w:b w:val="0"/>
          <w:i w:val="0"/>
          <w:color w:val="221F1F"/>
          <w:sz w:val="20"/>
        </w:rPr>
        <w:t>, the remanent polarizations and the mini-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mum relative permittivities from Figures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are plotted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against the yttrium concentration. It should be noted that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remanent polarizations are not at their maximum values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because the samples were not driven all the way to satura-</w:t>
      </w:r>
    </w:p>
    <w:p>
      <w:pPr>
        <w:sectPr>
          <w:type w:val="nextColumn"/>
          <w:pgSz w:w="12240" w:h="16199"/>
          <w:pgMar w:top="306" w:right="998" w:bottom="378" w:left="976" w:header="720" w:footer="720" w:gutter="0"/>
          <w:cols w:space="720" w:num="2" w:equalWidth="0">
            <w:col w:w="5144" w:space="0"/>
            <w:col w:w="5122" w:space="0"/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tabs>
          <w:tab w:pos="5324" w:val="left"/>
        </w:tabs>
        <w:autoSpaceDE w:val="0"/>
        <w:widowControl/>
        <w:spacing w:line="200" w:lineRule="exact" w:before="0" w:after="4"/>
        <w:ind w:left="44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crystalline phases. </w:t>
      </w:r>
      <w:r>
        <w:tab/>
      </w:r>
      <w:r>
        <w:rPr>
          <w:rFonts w:ascii="AdvP6975" w:hAnsi="AdvP6975" w:eastAsia="AdvP6975"/>
          <w:b w:val="0"/>
          <w:i w:val="0"/>
          <w:color w:val="221F1F"/>
          <w:sz w:val="20"/>
        </w:rPr>
        <w:t>tion, but to a common near-saturation voltage for consistent</w:t>
      </w:r>
    </w:p>
    <w:p>
      <w:pPr>
        <w:sectPr>
          <w:type w:val="continuous"/>
          <w:pgSz w:w="12240" w:h="16199"/>
          <w:pgMar w:top="306" w:right="998" w:bottom="378" w:left="976" w:header="720" w:footer="720" w:gutter="0"/>
          <w:cols w:space="720" w:num="1" w:equalWidth="0">
            <w:col w:w="10266" w:space="0"/>
            <w:col w:w="5144" w:space="0"/>
            <w:col w:w="5122" w:space="0"/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266"/>
      </w:tblGrid>
      <w:tr>
        <w:trPr>
          <w:trHeight w:hRule="exact" w:val="188"/>
        </w:trPr>
        <w:tc>
          <w:tcPr>
            <w:tcW w:type="dxa" w:w="464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It is, however, interesting to note that even pure hafnium</w:t>
            </w: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1"/>
        <w:gridCol w:w="1711"/>
        <w:gridCol w:w="1711"/>
        <w:gridCol w:w="1711"/>
        <w:gridCol w:w="1711"/>
        <w:gridCol w:w="1711"/>
      </w:tblGrid>
      <w:tr>
        <w:trPr>
          <w:trHeight w:hRule="exact" w:val="188"/>
        </w:trPr>
        <w:tc>
          <w:tcPr>
            <w:tcW w:type="dxa" w:w="5008"/>
            <w:gridSpan w:val="6"/>
            <w:tcBorders/>
            <w:shd w:fill="ffff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oxide thin films (which were mechanically confined by a top</w:t>
            </w:r>
          </w:p>
        </w:tc>
      </w:tr>
      <w:tr>
        <w:trPr>
          <w:trHeight w:hRule="exact" w:val="240"/>
        </w:trPr>
        <w:tc>
          <w:tcPr>
            <w:tcW w:type="dxa" w:w="4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12"/>
            </w:tblGrid>
            <w:tr>
              <w:trPr>
                <w:trHeight w:hRule="exact" w:val="168"/>
              </w:trPr>
              <w:tc>
                <w:tcPr>
                  <w:tcW w:type="dxa" w:w="412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TiN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.99999999999989" w:type="dxa"/>
            </w:tblPr>
            <w:tblGrid>
              <w:gridCol w:w="898"/>
            </w:tblGrid>
            <w:tr>
              <w:trPr>
                <w:trHeight w:hRule="exact" w:val="168"/>
              </w:trPr>
              <w:tc>
                <w:tcPr>
                  <w:tcW w:type="dxa" w:w="826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electrode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688"/>
            </w:tblGrid>
            <w:tr>
              <w:trPr>
                <w:trHeight w:hRule="exact" w:val="168"/>
              </w:trPr>
              <w:tc>
                <w:tcPr>
                  <w:tcW w:type="dxa" w:w="614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during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.00000000000045" w:type="dxa"/>
            </w:tblPr>
            <w:tblGrid>
              <w:gridCol w:w="518"/>
            </w:tblGrid>
            <w:tr>
              <w:trPr>
                <w:trHeight w:hRule="exact" w:val="168"/>
              </w:trPr>
              <w:tc>
                <w:tcPr>
                  <w:tcW w:type="dxa" w:w="446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high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.99999999999989" w:type="dxa"/>
            </w:tblPr>
            <w:tblGrid>
              <w:gridCol w:w="1120"/>
            </w:tblGrid>
            <w:tr>
              <w:trPr>
                <w:trHeight w:hRule="exact" w:val="168"/>
              </w:trPr>
              <w:tc>
                <w:tcPr>
                  <w:tcW w:type="dxa" w:w="1048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temperature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.00000000000023" w:type="dxa"/>
            </w:tblPr>
            <w:tblGrid>
              <w:gridCol w:w="1372"/>
            </w:tblGrid>
            <w:tr>
              <w:trPr>
                <w:trHeight w:hRule="exact" w:val="168"/>
              </w:trPr>
              <w:tc>
                <w:tcPr>
                  <w:tcW w:type="dxa" w:w="1294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P6975" w:hAnsi="AdvP6975" w:eastAsia="AdvP6975"/>
                      <w:b w:val="0"/>
                      <w:i w:val="0"/>
                      <w:color w:val="221F1F"/>
                      <w:sz w:val="20"/>
                    </w:rPr>
                    <w:t>crystallization)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66"/>
      </w:tblGrid>
      <w:tr>
        <w:trPr>
          <w:trHeight w:hRule="exact" w:val="188"/>
        </w:trPr>
        <w:tc>
          <w:tcPr>
            <w:tcW w:type="dxa" w:w="5006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showed some signs of hysteresis which cannot be explained</w:t>
            </w:r>
          </w:p>
        </w:tc>
      </w:tr>
    </w:tbl>
    <w:p>
      <w:pPr>
        <w:autoSpaceDN w:val="0"/>
        <w:autoSpaceDE w:val="0"/>
        <w:widowControl/>
        <w:spacing w:line="240" w:lineRule="exact" w:before="2" w:after="50"/>
        <w:ind w:left="44" w:right="20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by leakage current.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observation is in agreement with the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GIXRD measurements for pure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, which showed signs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of an orthorhombic phase already starting to stabilize.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66"/>
      </w:tblGrid>
      <w:tr>
        <w:trPr>
          <w:trHeight w:hRule="exact" w:val="188"/>
        </w:trPr>
        <w:tc>
          <w:tcPr>
            <w:tcW w:type="dxa" w:w="5006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an important finding because it has not been previously</w:t>
            </w:r>
          </w:p>
        </w:tc>
      </w:tr>
    </w:tbl>
    <w:p>
      <w:pPr>
        <w:autoSpaceDN w:val="0"/>
        <w:autoSpaceDE w:val="0"/>
        <w:widowControl/>
        <w:spacing w:line="232" w:lineRule="exact" w:before="44" w:after="0"/>
        <w:ind w:left="44" w:right="202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reported in pure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  <w:highlight w:val="yellow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thin film capacitors fabricated by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ALD deposition.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Further investigation is required to deter-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mine whether this is a material property of pure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or if it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is a side effect from the sputtering process such as contami-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nation or sputter damage.</w:t>
      </w:r>
    </w:p>
    <w:p>
      <w:pPr>
        <w:autoSpaceDN w:val="0"/>
        <w:autoSpaceDE w:val="0"/>
        <w:widowControl/>
        <w:spacing w:line="240" w:lineRule="exact" w:before="0" w:after="0"/>
        <w:ind w:left="44" w:right="202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Capacitance-voltage (CV) measurements were also per-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formed to further validate the occurrence of ferroelectricity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in the Y-doped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thin films. Figure</w:t>
      </w:r>
      <w:r>
        <w:rPr>
          <w:rFonts w:ascii="AdvP6975" w:hAnsi="AdvP6975" w:eastAsia="AdvP6975"/>
          <w:b w:val="0"/>
          <w:i w:val="0"/>
          <w:color w:val="0000FF"/>
          <w:sz w:val="20"/>
        </w:rPr>
        <w:t xml:space="preserve"> 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shows the depend-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ence of small signal CV characteristics on the amount of yt-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trium dopant. CV measurements were taken at a frequency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of 50 kHz and were used to calculate the relative permittivity</w:t>
      </w:r>
    </w:p>
    <w:p>
      <w:pPr>
        <w:sectPr>
          <w:type w:val="continuous"/>
          <w:pgSz w:w="12240" w:h="16199"/>
          <w:pgMar w:top="306" w:right="998" w:bottom="378" w:left="976" w:header="720" w:footer="720" w:gutter="0"/>
          <w:cols w:space="720" w:num="2" w:equalWidth="0">
            <w:col w:w="5166" w:space="0"/>
            <w:col w:w="5100" w:space="0"/>
            <w:col w:w="10266" w:space="0"/>
            <w:col w:w="5144" w:space="0"/>
            <w:col w:w="5122" w:space="0"/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5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</w:rPr>
        <w:t>comparison. The figure shows that the highest values of</w:t>
      </w:r>
    </w:p>
    <w:p>
      <w:pPr>
        <w:autoSpaceDN w:val="0"/>
        <w:autoSpaceDE w:val="0"/>
        <w:widowControl/>
        <w:spacing w:line="240" w:lineRule="auto" w:before="384" w:after="30"/>
        <w:ind w:left="2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46400" cy="17907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7.9999999999995" w:type="dxa"/>
      </w:tblPr>
      <w:tblGrid>
        <w:gridCol w:w="1467"/>
        <w:gridCol w:w="1467"/>
        <w:gridCol w:w="1467"/>
        <w:gridCol w:w="1467"/>
        <w:gridCol w:w="1467"/>
        <w:gridCol w:w="1467"/>
        <w:gridCol w:w="1467"/>
      </w:tblGrid>
      <w:tr>
        <w:trPr>
          <w:trHeight w:hRule="exact" w:val="22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889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889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889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889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889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889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3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889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50" w:after="0"/>
        <w:ind w:left="0" w:right="1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49400" cy="127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exact" w:before="194" w:after="0"/>
        <w:ind w:left="158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FIG. 4. Remanent polarizations and minimum relative permittivities of capaci-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tors with varying yttrium concentrations, extracted from Figures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2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and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.</w:t>
      </w:r>
    </w:p>
    <w:p>
      <w:pPr>
        <w:sectPr>
          <w:type w:val="nextColumn"/>
          <w:pgSz w:w="12240" w:h="16199"/>
          <w:pgMar w:top="306" w:right="998" w:bottom="378" w:left="976" w:header="720" w:footer="720" w:gutter="0"/>
          <w:cols w:space="720" w:num="2" w:equalWidth="0">
            <w:col w:w="5166" w:space="0"/>
            <w:col w:w="5100" w:space="0"/>
            <w:col w:w="10266" w:space="0"/>
            <w:col w:w="5144" w:space="0"/>
            <w:col w:w="5122" w:space="0"/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33"/>
        <w:gridCol w:w="3433"/>
        <w:gridCol w:w="3433"/>
      </w:tblGrid>
      <w:tr>
        <w:trPr>
          <w:trHeight w:hRule="exact" w:val="14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4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082905-4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70" w:right="0" w:firstLine="0"/>
              <w:jc w:val="lef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Olsen</w:t>
            </w:r>
            <w:r>
              <w:rPr>
                <w:rFonts w:ascii="AdvHelv_O" w:hAnsi="AdvHelv_O" w:eastAsia="AdvHelv_O"/>
                <w:b w:val="0"/>
                <w:i w:val="0"/>
                <w:color w:val="221F1F"/>
                <w:sz w:val="16"/>
              </w:rPr>
              <w:t xml:space="preserve"> et al.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18" w:firstLine="0"/>
              <w:jc w:val="right"/>
            </w:pP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Appl. Phys. Lett.</w:t>
            </w:r>
            <w:r>
              <w:rPr>
                <w:rFonts w:ascii="AdvHelv_B" w:hAnsi="AdvHelv_B" w:eastAsia="AdvHelv_B"/>
                <w:b w:val="0"/>
                <w:i w:val="0"/>
                <w:color w:val="221F1F"/>
                <w:sz w:val="16"/>
              </w:rPr>
              <w:t xml:space="preserve"> 101</w:t>
            </w:r>
            <w:r>
              <w:rPr>
                <w:rFonts w:ascii="AdvHelv_R" w:hAnsi="AdvHelv_R" w:eastAsia="AdvHelv_R"/>
                <w:b w:val="0"/>
                <w:i w:val="0"/>
                <w:color w:val="221F1F"/>
                <w:sz w:val="16"/>
              </w:rPr>
              <w:t>, 082905 (2012)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310"/>
        <w:ind w:left="0" w:right="0"/>
      </w:pPr>
    </w:p>
    <w:p>
      <w:pPr>
        <w:sectPr>
          <w:pgSz w:w="12240" w:h="16199"/>
          <w:pgMar w:top="306" w:right="964" w:bottom="1440" w:left="976" w:header="720" w:footer="720" w:gutter="0"/>
          <w:cols w:space="720" w:num="1" w:equalWidth="0">
            <w:col w:w="10300" w:space="0"/>
            <w:col w:w="5166" w:space="0"/>
            <w:col w:w="5100" w:space="0"/>
            <w:col w:w="10266" w:space="0"/>
            <w:col w:w="5144" w:space="0"/>
            <w:col w:w="5122" w:space="0"/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0"/>
        <w:ind w:left="44" w:right="19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relative permittivity and remanent polarization occur at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slightly different yttrium concentrations (0.9 and 1.9 mol. %,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respectively). In ALD-deposited yttrium-doped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films,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the highest values of relative permittivity and remanent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polarization were found at a much higher yttrium dopant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concentration of 5.2 mol. %.</w:t>
      </w:r>
      <w:r>
        <w:rPr>
          <w:w w:val="101.00952557155065"/>
          <w:rFonts w:ascii="AdvP6975" w:hAnsi="AdvP6975" w:eastAsia="AdvP6975"/>
          <w:b w:val="0"/>
          <w:i w:val="0"/>
          <w:color w:val="0000FF"/>
          <w:sz w:val="14"/>
        </w:rPr>
        <w:t>16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There are many differences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00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between the two processes that could cause this, but a likely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00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very important difference is the uniformity of the dopant dis-</w:t>
            </w:r>
          </w:p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00"/>
      </w:tblGrid>
      <w:tr>
        <w:trPr>
          <w:trHeight w:hRule="exact" w:val="188"/>
        </w:trPr>
        <w:tc>
          <w:tcPr>
            <w:tcW w:type="dxa" w:w="2106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tribution in each process.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16"/>
        <w:ind w:left="44" w:right="19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>In conclusion, yttrium-doped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thin film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(12 nm)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capacitors were fabricated by co-sputtering from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Y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3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sources. The samples were characterized by electrical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polarization, capacitance-voltage, XPS/RBS, and GIXRD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measurements.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It was demonstrated that sputtered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  <w:highlight w:val="yellow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>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00"/>
      </w:tblGrid>
      <w:tr>
        <w:trPr>
          <w:trHeight w:hRule="exact" w:val="188"/>
        </w:trPr>
        <w:tc>
          <w:tcPr>
            <w:tcW w:type="dxa" w:w="500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films show ferroelectric properties when light yttrium dopant</w:t>
            </w:r>
          </w:p>
        </w:tc>
      </w:tr>
    </w:tbl>
    <w:p>
      <w:pPr>
        <w:autoSpaceDN w:val="0"/>
        <w:autoSpaceDE w:val="0"/>
        <w:widowControl/>
        <w:spacing w:line="200" w:lineRule="exact" w:before="42" w:after="20"/>
        <w:ind w:left="44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20"/>
          <w:highlight w:val="yellow"/>
        </w:rPr>
        <w:t xml:space="preserve">concentrations (0.9–1.9 mol. %) are incorporated.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Electrical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24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polarization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CV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measurements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both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20"/>
              </w:rPr>
              <w:t>demonstrated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44" w:right="190" w:firstLine="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ferroelectric characteristics while GIXRD measurements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validated that, as proposed for ALD-deposited films, a non-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centrosymmetric transitional phase between the lower sym-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metry monoclinic and the higher symmetry cubic phase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might be the origin for the observed ferroelectric properties.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The fact that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can be stabilized into a ferroelectric state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by PVD co-sputtering enhances the understanding of ferroe-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lectricity in doped HfO</w:t>
      </w:r>
      <w:r>
        <w:rPr>
          <w:w w:val="101.00952557155065"/>
          <w:rFonts w:ascii="AdvP6975" w:hAnsi="AdvP6975" w:eastAsia="AdvP6975"/>
          <w:b w:val="0"/>
          <w:i w:val="0"/>
          <w:color w:val="221F1F"/>
          <w:sz w:val="14"/>
        </w:rPr>
        <w:t>2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 and gives a higher degree of free-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dom in the optimization of ferroelectric thin film devices,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opening the door to additional device applications that can-</w:t>
      </w:r>
      <w:r>
        <w:rPr>
          <w:rFonts w:ascii="AdvP6975" w:hAnsi="AdvP6975" w:eastAsia="AdvP6975"/>
          <w:b w:val="0"/>
          <w:i w:val="0"/>
          <w:color w:val="221F1F"/>
          <w:sz w:val="20"/>
        </w:rPr>
        <w:t>not be addressed using ALD.</w:t>
      </w:r>
    </w:p>
    <w:p>
      <w:pPr>
        <w:autoSpaceDN w:val="0"/>
        <w:autoSpaceDE w:val="0"/>
        <w:widowControl/>
        <w:spacing w:line="240" w:lineRule="exact" w:before="160" w:after="0"/>
        <w:ind w:left="44" w:right="190" w:firstLine="360"/>
        <w:jc w:val="both"/>
      </w:pP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This work was financially supported by the Free State of </w:t>
      </w:r>
      <w:r>
        <w:rPr>
          <w:rFonts w:ascii="AdvP6975" w:hAnsi="AdvP6975" w:eastAsia="AdvP6975"/>
          <w:b w:val="0"/>
          <w:i w:val="0"/>
          <w:color w:val="221F1F"/>
          <w:sz w:val="20"/>
        </w:rPr>
        <w:t xml:space="preserve">Saxony and the European Union EFRE fund (HEIKO project </w:t>
      </w:r>
      <w:r>
        <w:rPr>
          <w:rFonts w:ascii="AdvP6975" w:hAnsi="AdvP6975" w:eastAsia="AdvP6975"/>
          <w:b w:val="0"/>
          <w:i w:val="0"/>
          <w:color w:val="221F1F"/>
          <w:sz w:val="20"/>
        </w:rPr>
        <w:t>100064806).</w:t>
      </w:r>
    </w:p>
    <w:p>
      <w:pPr>
        <w:sectPr>
          <w:type w:val="continuous"/>
          <w:pgSz w:w="12240" w:h="16199"/>
          <w:pgMar w:top="306" w:right="964" w:bottom="1440" w:left="976" w:header="720" w:footer="720" w:gutter="0"/>
          <w:cols w:space="720" w:num="2" w:equalWidth="0">
            <w:col w:w="5154" w:space="0"/>
            <w:col w:w="5145" w:space="0"/>
            <w:col w:w="10300" w:space="0"/>
            <w:col w:w="5166" w:space="0"/>
            <w:col w:w="5100" w:space="0"/>
            <w:col w:w="10266" w:space="0"/>
            <w:col w:w="5144" w:space="0"/>
            <w:col w:w="5122" w:space="0"/>
            <w:col w:w="10266" w:space="0"/>
            <w:col w:w="5144" w:space="0"/>
            <w:col w:w="5122" w:space="0"/>
            <w:col w:w="10266" w:space="0"/>
            <w:col w:w="10308" w:space="0"/>
            <w:col w:w="5121" w:space="0"/>
            <w:col w:w="5186" w:space="0"/>
            <w:col w:w="10308" w:space="0"/>
            <w:col w:w="5166" w:space="0"/>
            <w:col w:w="5142" w:space="0"/>
            <w:col w:w="10308" w:space="0"/>
            <w:col w:w="5166" w:space="0"/>
            <w:col w:w="5142" w:space="0"/>
            <w:col w:w="10308" w:space="0"/>
            <w:col w:w="5144" w:space="0"/>
            <w:col w:w="5164" w:space="0"/>
            <w:col w:w="10308" w:space="0"/>
            <w:col w:w="10264" w:space="0"/>
            <w:col w:w="5078" w:space="0"/>
            <w:col w:w="5186" w:space="0"/>
            <w:col w:w="10264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M. E. Lines and A. M. Glass,</w:t>
      </w:r>
      <w:r>
        <w:rPr>
          <w:rFonts w:ascii="AdvP696A" w:hAnsi="AdvP696A" w:eastAsia="AdvP696A"/>
          <w:b w:val="0"/>
          <w:i w:val="0"/>
          <w:color w:val="221F1F"/>
          <w:sz w:val="16"/>
        </w:rPr>
        <w:t xml:space="preserve"> Principles and Applications of Ferroelec-</w:t>
      </w:r>
    </w:p>
    <w:p>
      <w:pPr>
        <w:autoSpaceDN w:val="0"/>
        <w:tabs>
          <w:tab w:pos="290" w:val="left"/>
        </w:tabs>
        <w:autoSpaceDE w:val="0"/>
        <w:widowControl/>
        <w:spacing w:line="184" w:lineRule="exact" w:before="8" w:after="0"/>
        <w:ind w:left="230" w:right="144" w:firstLine="0"/>
        <w:jc w:val="left"/>
      </w:pPr>
      <w:r>
        <w:rPr>
          <w:rFonts w:ascii="AdvP696A" w:hAnsi="AdvP696A" w:eastAsia="AdvP696A"/>
          <w:b w:val="0"/>
          <w:i w:val="0"/>
          <w:color w:val="221F1F"/>
          <w:sz w:val="16"/>
        </w:rPr>
        <w:t>trics and Related Materials</w:t>
      </w:r>
      <w:r>
        <w:rPr>
          <w:rFonts w:ascii="AdvP6975" w:hAnsi="AdvP6975" w:eastAsia="AdvP6975"/>
          <w:b w:val="0"/>
          <w:i w:val="0"/>
          <w:color w:val="221F1F"/>
          <w:sz w:val="16"/>
        </w:rPr>
        <w:t xml:space="preserve"> (Clarendon, University of Michigan, 1977). 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</w:rPr>
        <w:t>D. H. Looney, U.S. patent no. 2791758 (1957).</w:t>
      </w:r>
    </w:p>
    <w:p>
      <w:pPr>
        <w:autoSpaceDN w:val="0"/>
        <w:autoSpaceDE w:val="0"/>
        <w:widowControl/>
        <w:spacing w:line="194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N. Setter, D. Damjanovic, L. Eng, G. Fox, S. Gevorgian, S. Hong, A.</w:t>
      </w:r>
    </w:p>
    <w:p>
      <w:pPr>
        <w:autoSpaceDN w:val="0"/>
        <w:autoSpaceDE w:val="0"/>
        <w:widowControl/>
        <w:spacing w:line="160" w:lineRule="exact" w:before="30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Kingon, H. Kohlstedt, N. Y. Park, G. B. Stephenson, I. Stolitchnov, A. K.</w:t>
      </w:r>
    </w:p>
    <w:p>
      <w:pPr>
        <w:autoSpaceDN w:val="0"/>
        <w:autoSpaceDE w:val="0"/>
        <w:widowControl/>
        <w:spacing w:line="164" w:lineRule="exact" w:before="30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Taganstev, D. V. Taylor, T. Yamada, and S. Streiffer,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7" w:history="1">
          <w:r>
            <w:rPr>
              <w:rStyle w:val="Hyperlink"/>
            </w:rPr>
            <w:t>J. Appl. 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</w:t>
      </w:r>
    </w:p>
    <w:p>
      <w:pPr>
        <w:autoSpaceDN w:val="0"/>
        <w:autoSpaceDE w:val="0"/>
        <w:widowControl/>
        <w:spacing w:line="160" w:lineRule="exact" w:before="26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51606 (2006).</w:t>
      </w:r>
    </w:p>
    <w:p>
      <w:pPr>
        <w:autoSpaceDN w:val="0"/>
        <w:autoSpaceDE w:val="0"/>
        <w:widowControl/>
        <w:spacing w:line="198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S. Y. Wu,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8" w:history="1">
          <w:r>
            <w:rPr>
              <w:rStyle w:val="Hyperlink"/>
            </w:rPr>
            <w:t>IEEE Trans. Electron Devices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ED-21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499 (1974).</w:t>
      </w:r>
    </w:p>
    <w:p>
      <w:pPr>
        <w:autoSpaceDN w:val="0"/>
        <w:autoSpaceDE w:val="0"/>
        <w:widowControl/>
        <w:spacing w:line="194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Hoffman, X. Pan, J. W. Reiner, F. J. Walker, J. P. Han, and C. H. Ahn,</w:t>
      </w:r>
    </w:p>
    <w:p>
      <w:pPr>
        <w:autoSpaceDN w:val="0"/>
        <w:autoSpaceDE w:val="0"/>
        <w:widowControl/>
        <w:spacing w:line="164" w:lineRule="exact" w:before="30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0000FF"/>
          <w:sz w:val="16"/>
        </w:rPr>
        <w:hyperlink r:id="rId49" w:history="1">
          <w:r>
            <w:rPr>
              <w:rStyle w:val="Hyperlink"/>
            </w:rPr>
            <w:t>Adv. Mater.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22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2957 (2010).</w:t>
      </w:r>
    </w:p>
    <w:p>
      <w:pPr>
        <w:autoSpaceDN w:val="0"/>
        <w:autoSpaceDE w:val="0"/>
        <w:widowControl/>
        <w:spacing w:line="194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6</w:t>
      </w:r>
      <w:r>
        <w:rPr>
          <w:rFonts w:ascii="AdvP6975" w:hAnsi="AdvP6975" w:eastAsia="AdvP6975"/>
          <w:b w:val="0"/>
          <w:i w:val="0"/>
          <w:color w:val="221F1F"/>
          <w:sz w:val="16"/>
        </w:rPr>
        <w:t>H. Koike, U.S. patent no. 5600587 (1997).</w:t>
      </w:r>
    </w:p>
    <w:p>
      <w:pPr>
        <w:autoSpaceDN w:val="0"/>
        <w:autoSpaceDE w:val="0"/>
        <w:widowControl/>
        <w:spacing w:line="198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K. Kim and S. Lee,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0" w:history="1">
          <w:r>
            <w:rPr>
              <w:rStyle w:val="Hyperlink"/>
            </w:rPr>
            <w:t>J. Appl. 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100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51604 (2006).</w:t>
      </w:r>
    </w:p>
    <w:p>
      <w:pPr>
        <w:autoSpaceDN w:val="0"/>
        <w:autoSpaceDE w:val="0"/>
        <w:widowControl/>
        <w:spacing w:line="198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8</w:t>
      </w:r>
      <w:r>
        <w:rPr>
          <w:rFonts w:ascii="AdvP6975" w:hAnsi="AdvP6975" w:eastAsia="AdvP6975"/>
          <w:b w:val="0"/>
          <w:i w:val="0"/>
          <w:color w:val="221F1F"/>
          <w:sz w:val="16"/>
        </w:rPr>
        <w:t>M. T. Bohr, R. S. Chau, T. Ghani, and K. Mistry,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1" w:history="1">
          <w:r>
            <w:rPr>
              <w:rStyle w:val="Hyperlink"/>
            </w:rPr>
            <w:t>IEEE Spectrum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44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(10),</w:t>
      </w:r>
    </w:p>
    <w:p>
      <w:pPr>
        <w:autoSpaceDN w:val="0"/>
        <w:autoSpaceDE w:val="0"/>
        <w:widowControl/>
        <w:spacing w:line="160" w:lineRule="exact" w:before="26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29 (2007).</w:t>
      </w:r>
    </w:p>
    <w:p>
      <w:pPr>
        <w:autoSpaceDN w:val="0"/>
        <w:autoSpaceDE w:val="0"/>
        <w:widowControl/>
        <w:spacing w:line="194" w:lineRule="exact" w:before="0" w:after="0"/>
        <w:ind w:left="23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9</w:t>
      </w:r>
      <w:r>
        <w:rPr>
          <w:rFonts w:ascii="AdvP6975" w:hAnsi="AdvP6975" w:eastAsia="AdvP6975"/>
          <w:b w:val="0"/>
          <w:i w:val="0"/>
          <w:color w:val="221F1F"/>
          <w:sz w:val="16"/>
        </w:rPr>
        <w:t>S. Migita, Y. Watanabe, H. Ota, H. Ito, Y. Kamimuta, T. Nabatame, and</w:t>
      </w:r>
    </w:p>
    <w:p>
      <w:pPr>
        <w:autoSpaceDN w:val="0"/>
        <w:autoSpaceDE w:val="0"/>
        <w:widowControl/>
        <w:spacing w:line="166" w:lineRule="exact" w:before="30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A. Toriumi,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2" w:history="1">
          <w:r>
            <w:rPr>
              <w:rStyle w:val="Hyperlink"/>
            </w:rPr>
            <w:t>Dig. Tech. Pap.-Symp. VLSI Technol.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2008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152.</w:t>
      </w:r>
    </w:p>
    <w:p>
      <w:pPr>
        <w:autoSpaceDN w:val="0"/>
        <w:autoSpaceDE w:val="0"/>
        <w:widowControl/>
        <w:spacing w:line="194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Y. Dai, P. F. Lee, K. H. Wong, H. L. W. Chan, and C. L. Choy,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3" w:history="1">
          <w:r>
            <w:rPr>
              <w:rStyle w:val="Hyperlink"/>
            </w:rPr>
            <w:t>J. Appl.</w:t>
          </w:r>
        </w:hyperlink>
      </w:r>
    </w:p>
    <w:p>
      <w:pPr>
        <w:autoSpaceDN w:val="0"/>
        <w:autoSpaceDE w:val="0"/>
        <w:widowControl/>
        <w:spacing w:line="166" w:lineRule="exact" w:before="30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3" w:history="1">
          <w:r>
            <w:rPr>
              <w:rStyle w:val="Hyperlink"/>
            </w:rPr>
            <w:t>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912 (2003).</w:t>
      </w:r>
    </w:p>
    <w:p>
      <w:pPr>
        <w:autoSpaceDN w:val="0"/>
        <w:autoSpaceDE w:val="0"/>
        <w:widowControl/>
        <w:spacing w:line="198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</w:t>
      </w:r>
      <w:r>
        <w:rPr>
          <w:rFonts w:ascii="AdvP6975" w:hAnsi="AdvP6975" w:eastAsia="AdvP6975"/>
          <w:b w:val="0"/>
          <w:i w:val="0"/>
          <w:color w:val="221F1F"/>
          <w:sz w:val="16"/>
          <w:highlight w:val="yellow"/>
        </w:rPr>
        <w:t>K. A. M</w:t>
      </w:r>
      <w:r>
        <w:rPr>
          <w:rFonts w:ascii="AdvP4C4E59" w:hAnsi="AdvP4C4E59" w:eastAsia="AdvP4C4E59"/>
          <w:b w:val="0"/>
          <w:i w:val="0"/>
          <w:color w:val="221F1F"/>
          <w:sz w:val="16"/>
          <w:highlight w:val="yellow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  <w:highlight w:val="yellow"/>
        </w:rPr>
        <w:t>uller and H. Burkard,</w:t>
      </w:r>
      <w:r>
        <w:rPr>
          <w:rFonts w:ascii="AdvP6975" w:hAnsi="AdvP6975" w:eastAsia="AdvP6975"/>
          <w:b w:val="0"/>
          <w:i w:val="0"/>
          <w:color w:val="0000FF"/>
          <w:sz w:val="16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  <w:highlight w:val="yellow"/>
        </w:rPr>
        <w:hyperlink r:id="rId54" w:history="1">
          <w:r>
            <w:rPr>
              <w:rStyle w:val="Hyperlink"/>
            </w:rPr>
            <w:t>Phys. Rev. B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  <w:highlight w:val="yellow"/>
        </w:rPr>
        <w:t xml:space="preserve"> 19</w:t>
      </w:r>
      <w:r>
        <w:rPr>
          <w:rFonts w:ascii="AdvP6975" w:hAnsi="AdvP6975" w:eastAsia="AdvP6975"/>
          <w:b w:val="0"/>
          <w:i w:val="0"/>
          <w:color w:val="221F1F"/>
          <w:sz w:val="16"/>
          <w:highlight w:val="yellow"/>
        </w:rPr>
        <w:t>, 3593 (1979).</w:t>
      </w:r>
    </w:p>
    <w:p>
      <w:pPr>
        <w:autoSpaceDN w:val="0"/>
        <w:autoSpaceDE w:val="0"/>
        <w:widowControl/>
        <w:spacing w:line="194" w:lineRule="exact" w:before="0" w:after="38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</w:t>
      </w:r>
      <w:r>
        <w:rPr>
          <w:rFonts w:ascii="AdvP6975" w:hAnsi="AdvP6975" w:eastAsia="AdvP6975"/>
          <w:b w:val="0"/>
          <w:i w:val="0"/>
          <w:color w:val="221F1F"/>
          <w:sz w:val="16"/>
          <w:highlight w:val="yellow"/>
        </w:rPr>
        <w:t>E. A. Eliseev, M. D. Glinchuk, and A. N. Morozovska,</w:t>
      </w:r>
      <w:r>
        <w:rPr>
          <w:rFonts w:ascii="AdvP6975" w:hAnsi="AdvP6975" w:eastAsia="AdvP6975"/>
          <w:b w:val="0"/>
          <w:i w:val="0"/>
          <w:color w:val="0000FF"/>
          <w:sz w:val="16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  <w:highlight w:val="yellow"/>
        </w:rPr>
        <w:hyperlink r:id="rId55" w:history="1">
          <w:r>
            <w:rPr>
              <w:rStyle w:val="Hyperlink"/>
            </w:rPr>
            <w:t>Phys. Status Solidi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3.99999999999977" w:type="dxa"/>
      </w:tblPr>
      <w:tblGrid>
        <w:gridCol w:w="10300"/>
      </w:tblGrid>
      <w:tr>
        <w:trPr>
          <w:trHeight w:hRule="exact" w:val="150"/>
        </w:trPr>
        <w:tc>
          <w:tcPr>
            <w:tcW w:type="dxa" w:w="1362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0000FF"/>
                <w:sz w:val="16"/>
              </w:rPr>
              <w:t>B</w:t>
            </w:r>
            <w:r>
              <w:rPr>
                <w:rFonts w:ascii="AdvP6960" w:hAnsi="AdvP6960" w:eastAsia="AdvP6960"/>
                <w:b w:val="0"/>
                <w:i w:val="0"/>
                <w:color w:val="221F1F"/>
                <w:sz w:val="16"/>
              </w:rPr>
              <w:t xml:space="preserve"> 244</w:t>
            </w: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, 3660 (2007).</w:t>
            </w:r>
          </w:p>
        </w:tc>
      </w:tr>
    </w:tbl>
    <w:p>
      <w:pPr>
        <w:autoSpaceDN w:val="0"/>
        <w:autoSpaceDE w:val="0"/>
        <w:widowControl/>
        <w:spacing w:line="198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13</w:t>
      </w:r>
      <w:r>
        <w:rPr>
          <w:rFonts w:ascii="AdvP6975" w:hAnsi="AdvP6975" w:eastAsia="AdvP6975"/>
          <w:b w:val="0"/>
          <w:i w:val="0"/>
          <w:color w:val="221F1F"/>
          <w:sz w:val="16"/>
        </w:rPr>
        <w:t>X. Zhao and D. Vanderbilt,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6" w:history="1">
          <w:r>
            <w:rPr>
              <w:rStyle w:val="Hyperlink"/>
            </w:rPr>
            <w:t>Phys. Rev. B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65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233106 (2002).</w:t>
      </w:r>
    </w:p>
    <w:p>
      <w:pPr>
        <w:autoSpaceDN w:val="0"/>
        <w:autoSpaceDE w:val="0"/>
        <w:widowControl/>
        <w:spacing w:line="200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14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Wang, H. P. Li, and R. Stevens,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7" w:history="1">
          <w:r>
            <w:rPr>
              <w:rStyle w:val="Hyperlink"/>
            </w:rPr>
            <w:t>J. Mater. Sci.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5397 (1992).</w:t>
      </w:r>
    </w:p>
    <w:p>
      <w:pPr>
        <w:autoSpaceDN w:val="0"/>
        <w:autoSpaceDE w:val="0"/>
        <w:widowControl/>
        <w:spacing w:line="196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15</w:t>
      </w:r>
      <w:r>
        <w:rPr>
          <w:rFonts w:ascii="AdvP6975" w:hAnsi="AdvP6975" w:eastAsia="AdvP6975"/>
          <w:b w:val="0"/>
          <w:i w:val="0"/>
          <w:color w:val="221F1F"/>
          <w:sz w:val="16"/>
        </w:rPr>
        <w:t>T.S. B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oscke, J. M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uller, D. Br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auhaus, U. Schr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oder, and U. B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ottger,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8" w:history="1">
          <w:r>
            <w:rPr>
              <w:rStyle w:val="Hyperlink"/>
            </w:rPr>
            <w:t>Appl.</w:t>
          </w:r>
        </w:hyperlink>
      </w:r>
    </w:p>
    <w:p>
      <w:pPr>
        <w:autoSpaceDN w:val="0"/>
        <w:autoSpaceDE w:val="0"/>
        <w:widowControl/>
        <w:spacing w:line="166" w:lineRule="exact" w:before="28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8" w:history="1">
          <w:r>
            <w:rPr>
              <w:rStyle w:val="Hyperlink"/>
            </w:rPr>
            <w:t>Phys. Lett.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99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102903 (2011).</w:t>
      </w:r>
    </w:p>
    <w:p>
      <w:pPr>
        <w:autoSpaceDN w:val="0"/>
        <w:autoSpaceDE w:val="0"/>
        <w:widowControl/>
        <w:spacing w:line="196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16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M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uller, U. Schr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oder, T. S. B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oscke, I. M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uller, U. B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ottger, L. Wilde, J.</w:t>
      </w:r>
    </w:p>
    <w:p>
      <w:pPr>
        <w:autoSpaceDN w:val="0"/>
        <w:autoSpaceDE w:val="0"/>
        <w:widowControl/>
        <w:spacing w:line="162" w:lineRule="exact" w:before="28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Sundqvist, M. Lemberger, P. K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ucher, T. Mikolajick, and L. Frey,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9" w:history="1">
          <w:r>
            <w:rPr>
              <w:rStyle w:val="Hyperlink"/>
            </w:rPr>
            <w:t>J. Appl.</w:t>
          </w:r>
        </w:hyperlink>
      </w:r>
    </w:p>
    <w:p>
      <w:pPr>
        <w:autoSpaceDN w:val="0"/>
        <w:autoSpaceDE w:val="0"/>
        <w:widowControl/>
        <w:spacing w:line="164" w:lineRule="exact" w:before="28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0000FF"/>
          <w:sz w:val="16"/>
        </w:rPr>
        <w:hyperlink r:id="rId59" w:history="1">
          <w:r>
            <w:rPr>
              <w:rStyle w:val="Hyperlink"/>
            </w:rPr>
            <w:t>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110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114113 (2011).</w:t>
      </w:r>
    </w:p>
    <w:p>
      <w:pPr>
        <w:autoSpaceDN w:val="0"/>
        <w:autoSpaceDE w:val="0"/>
        <w:widowControl/>
        <w:spacing w:line="196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S. M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uller, J. M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uller, A. Singh, S. Riedel, J. Sundqvist, U. Schr</w:t>
      </w:r>
      <w:r>
        <w:rPr>
          <w:rFonts w:ascii="AdvP4C4E59" w:hAnsi="AdvP4C4E59" w:eastAsia="AdvP4C4E59"/>
          <w:b w:val="0"/>
          <w:i w:val="0"/>
          <w:color w:val="221F1F"/>
          <w:sz w:val="16"/>
        </w:rPr>
        <w:t>€</w:t>
      </w:r>
      <w:r>
        <w:rPr>
          <w:rFonts w:ascii="AdvP6975" w:hAnsi="AdvP6975" w:eastAsia="AdvP6975"/>
          <w:b w:val="0"/>
          <w:i w:val="0"/>
          <w:color w:val="221F1F"/>
          <w:sz w:val="16"/>
        </w:rPr>
        <w:t>oder, and T.</w:t>
      </w:r>
    </w:p>
    <w:p>
      <w:pPr>
        <w:autoSpaceDN w:val="0"/>
        <w:autoSpaceDE w:val="0"/>
        <w:widowControl/>
        <w:spacing w:line="166" w:lineRule="exact" w:before="28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Mikolajick,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60" w:history="1">
          <w:r>
            <w:rPr>
              <w:rStyle w:val="Hyperlink"/>
            </w:rPr>
            <w:t>Adv. Funct. Mater.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22</w:t>
      </w:r>
      <w:r>
        <w:rPr>
          <w:rFonts w:ascii="AdvP6975" w:hAnsi="AdvP6975" w:eastAsia="AdvP6975"/>
          <w:b w:val="0"/>
          <w:i w:val="0"/>
          <w:color w:val="221F1F"/>
          <w:sz w:val="16"/>
        </w:rPr>
        <w:t>(11), 2412–2417 (2012).</w:t>
      </w:r>
    </w:p>
    <w:p>
      <w:pPr>
        <w:autoSpaceDN w:val="0"/>
        <w:autoSpaceDE w:val="0"/>
        <w:widowControl/>
        <w:spacing w:line="198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18</w:t>
      </w:r>
      <w:r>
        <w:rPr>
          <w:rFonts w:ascii="AdvP6975" w:hAnsi="AdvP6975" w:eastAsia="AdvP6975"/>
          <w:b w:val="0"/>
          <w:i w:val="0"/>
          <w:color w:val="221F1F"/>
          <w:sz w:val="16"/>
        </w:rPr>
        <w:t>C. K. Lee, E. Cho, H. S. Lee, C. S. Hwang, and S. Han,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61" w:history="1">
          <w:r>
            <w:rPr>
              <w:rStyle w:val="Hyperlink"/>
            </w:rPr>
            <w:t>Phys. Rev. B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78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</w:t>
      </w:r>
    </w:p>
    <w:p>
      <w:pPr>
        <w:autoSpaceDN w:val="0"/>
        <w:autoSpaceDE w:val="0"/>
        <w:widowControl/>
        <w:spacing w:line="160" w:lineRule="exact" w:before="26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012102 (2008).</w:t>
      </w:r>
    </w:p>
    <w:p>
      <w:pPr>
        <w:autoSpaceDN w:val="0"/>
        <w:autoSpaceDE w:val="0"/>
        <w:widowControl/>
        <w:spacing w:line="198" w:lineRule="exact" w:before="0" w:after="34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1</w:t>
      </w: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9</w:t>
      </w:r>
      <w:r>
        <w:rPr>
          <w:rFonts w:ascii="AdvP6975" w:hAnsi="AdvP6975" w:eastAsia="AdvP6975"/>
          <w:b w:val="0"/>
          <w:i w:val="0"/>
          <w:color w:val="221F1F"/>
          <w:sz w:val="16"/>
          <w:highlight w:val="yellow"/>
        </w:rPr>
        <w:t>S. V. Ushakov, C. E. Brown, and A. Navrotsky,</w:t>
      </w:r>
      <w:r>
        <w:rPr>
          <w:rFonts w:ascii="AdvP6975" w:hAnsi="AdvP6975" w:eastAsia="AdvP6975"/>
          <w:b w:val="0"/>
          <w:i w:val="0"/>
          <w:color w:val="0000FF"/>
          <w:sz w:val="16"/>
          <w:highlight w:val="yellow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  <w:highlight w:val="yellow"/>
        </w:rPr>
        <w:hyperlink r:id="rId62" w:history="1">
          <w:r>
            <w:rPr>
              <w:rStyle w:val="Hyperlink"/>
            </w:rPr>
            <w:t>J. Mater. Res.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  <w:highlight w:val="yellow"/>
        </w:rPr>
        <w:t xml:space="preserve"> 19</w:t>
      </w:r>
      <w:r>
        <w:rPr>
          <w:rFonts w:ascii="AdvP6975" w:hAnsi="AdvP6975" w:eastAsia="AdvP6975"/>
          <w:b w:val="0"/>
          <w:i w:val="0"/>
          <w:color w:val="221F1F"/>
          <w:sz w:val="16"/>
          <w:highlight w:val="yellow"/>
        </w:rPr>
        <w:t>, 693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3.99999999999977" w:type="dxa"/>
      </w:tblPr>
      <w:tblGrid>
        <w:gridCol w:w="10300"/>
      </w:tblGrid>
      <w:tr>
        <w:trPr>
          <w:trHeight w:hRule="exact" w:val="150"/>
        </w:trPr>
        <w:tc>
          <w:tcPr>
            <w:tcW w:type="dxa" w:w="538"/>
            <w:tcBorders/>
            <w:shd w:fill="ffff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AdvP6975" w:hAnsi="AdvP6975" w:eastAsia="AdvP6975"/>
                <w:b w:val="0"/>
                <w:i w:val="0"/>
                <w:color w:val="221F1F"/>
                <w:sz w:val="16"/>
              </w:rPr>
              <w:t>(2004).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N. Menou, Ch. Muller, I. S. Baturin, V. Y. Shur, and J.-L. Hodeau,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63" w:history="1">
          <w:r>
            <w:rPr>
              <w:rStyle w:val="Hyperlink"/>
            </w:rPr>
            <w:t>J.</w:t>
          </w:r>
        </w:hyperlink>
      </w:r>
    </w:p>
    <w:p>
      <w:pPr>
        <w:autoSpaceDN w:val="0"/>
        <w:autoSpaceDE w:val="0"/>
        <w:widowControl/>
        <w:spacing w:line="164" w:lineRule="exact" w:before="30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0000FF"/>
          <w:sz w:val="16"/>
        </w:rPr>
        <w:hyperlink r:id="rId63" w:history="1">
          <w:r>
            <w:rPr>
              <w:rStyle w:val="Hyperlink"/>
            </w:rPr>
            <w:t>Appl. Phys.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97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 064108 (2005).</w:t>
      </w:r>
    </w:p>
    <w:p>
      <w:pPr>
        <w:autoSpaceDN w:val="0"/>
        <w:autoSpaceDE w:val="0"/>
        <w:widowControl/>
        <w:spacing w:line="200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D. Bolten, O. Lohse, M. Grossmann, and R. Waser,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64" w:history="1">
          <w:r>
            <w:rPr>
              <w:rStyle w:val="Hyperlink"/>
            </w:rPr>
            <w:t>Ferroelectrics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221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</w:t>
      </w:r>
    </w:p>
    <w:p>
      <w:pPr>
        <w:autoSpaceDN w:val="0"/>
        <w:autoSpaceDE w:val="0"/>
        <w:widowControl/>
        <w:spacing w:line="160" w:lineRule="exact" w:before="24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251 (1999).</w:t>
      </w:r>
    </w:p>
    <w:p>
      <w:pPr>
        <w:autoSpaceDN w:val="0"/>
        <w:autoSpaceDE w:val="0"/>
        <w:widowControl/>
        <w:spacing w:line="200" w:lineRule="exact" w:before="0" w:after="0"/>
        <w:ind w:left="170" w:right="0" w:firstLine="0"/>
        <w:jc w:val="left"/>
      </w:pPr>
      <w:r>
        <w:rPr>
          <w:w w:val="102.84214886752041"/>
          <w:rFonts w:ascii="AdvP6975" w:hAnsi="AdvP6975" w:eastAsia="AdvP6975"/>
          <w:b w:val="0"/>
          <w:i w:val="0"/>
          <w:color w:val="221F1F"/>
          <w:sz w:val="11"/>
        </w:rPr>
        <w:t>22</w:t>
      </w:r>
      <w:r>
        <w:rPr>
          <w:rFonts w:ascii="AdvP6975" w:hAnsi="AdvP6975" w:eastAsia="AdvP6975"/>
          <w:b w:val="0"/>
          <w:i w:val="0"/>
          <w:color w:val="221F1F"/>
          <w:sz w:val="16"/>
        </w:rPr>
        <w:t>J. E. Lowther, J. K. Dewhurst, J. M. Leger, and J. Haines,</w:t>
      </w:r>
      <w:r>
        <w:rPr>
          <w:rFonts w:ascii="AdvP6975" w:hAnsi="AdvP6975" w:eastAsia="AdvP6975"/>
          <w:b w:val="0"/>
          <w:i w:val="0"/>
          <w:color w:val="0000FF"/>
          <w:sz w:val="16"/>
        </w:rPr>
        <w:t xml:space="preserve"> </w:t>
      </w:r>
      <w:r>
        <w:rPr>
          <w:rFonts w:ascii="AdvP6975" w:hAnsi="AdvP6975" w:eastAsia="AdvP6975"/>
          <w:b w:val="0"/>
          <w:i w:val="0"/>
          <w:color w:val="0000FF"/>
          <w:sz w:val="16"/>
        </w:rPr>
        <w:hyperlink r:id="rId65" w:history="1">
          <w:r>
            <w:rPr>
              <w:rStyle w:val="Hyperlink"/>
            </w:rPr>
            <w:t>Phys. Rev. B</w:t>
          </w:r>
        </w:hyperlink>
      </w:r>
      <w:r>
        <w:rPr>
          <w:rFonts w:ascii="AdvP6960" w:hAnsi="AdvP6960" w:eastAsia="AdvP6960"/>
          <w:b w:val="0"/>
          <w:i w:val="0"/>
          <w:color w:val="221F1F"/>
          <w:sz w:val="16"/>
        </w:rPr>
        <w:t xml:space="preserve"> 60</w:t>
      </w:r>
      <w:r>
        <w:rPr>
          <w:rFonts w:ascii="AdvP6975" w:hAnsi="AdvP6975" w:eastAsia="AdvP6975"/>
          <w:b w:val="0"/>
          <w:i w:val="0"/>
          <w:color w:val="221F1F"/>
          <w:sz w:val="16"/>
        </w:rPr>
        <w:t>,</w:t>
      </w:r>
    </w:p>
    <w:p>
      <w:pPr>
        <w:autoSpaceDN w:val="0"/>
        <w:autoSpaceDE w:val="0"/>
        <w:widowControl/>
        <w:spacing w:line="160" w:lineRule="exact" w:before="24" w:after="0"/>
        <w:ind w:left="290" w:right="0" w:firstLine="0"/>
        <w:jc w:val="left"/>
      </w:pPr>
      <w:r>
        <w:rPr>
          <w:rFonts w:ascii="AdvP6975" w:hAnsi="AdvP6975" w:eastAsia="AdvP6975"/>
          <w:b w:val="0"/>
          <w:i w:val="0"/>
          <w:color w:val="221F1F"/>
          <w:sz w:val="16"/>
        </w:rPr>
        <w:t>14485 (1999).</w:t>
      </w:r>
    </w:p>
    <w:sectPr w:rsidR="00FC693F" w:rsidRPr="0006063C" w:rsidSect="00034616">
      <w:type w:val="nextColumn"/>
      <w:pgSz w:w="12240" w:h="16199"/>
      <w:pgMar w:top="306" w:right="964" w:bottom="1440" w:left="976" w:header="720" w:footer="720" w:gutter="0"/>
      <w:cols w:space="720" w:num="2" w:equalWidth="0">
        <w:col w:w="5154" w:space="0"/>
        <w:col w:w="5145" w:space="0"/>
        <w:col w:w="10300" w:space="0"/>
        <w:col w:w="5166" w:space="0"/>
        <w:col w:w="5100" w:space="0"/>
        <w:col w:w="10266" w:space="0"/>
        <w:col w:w="5144" w:space="0"/>
        <w:col w:w="5122" w:space="0"/>
        <w:col w:w="10266" w:space="0"/>
        <w:col w:w="5144" w:space="0"/>
        <w:col w:w="5122" w:space="0"/>
        <w:col w:w="10266" w:space="0"/>
        <w:col w:w="10308" w:space="0"/>
        <w:col w:w="5121" w:space="0"/>
        <w:col w:w="5186" w:space="0"/>
        <w:col w:w="10308" w:space="0"/>
        <w:col w:w="5166" w:space="0"/>
        <w:col w:w="5142" w:space="0"/>
        <w:col w:w="10308" w:space="0"/>
        <w:col w:w="5166" w:space="0"/>
        <w:col w:w="5142" w:space="0"/>
        <w:col w:w="10308" w:space="0"/>
        <w:col w:w="5144" w:space="0"/>
        <w:col w:w="5164" w:space="0"/>
        <w:col w:w="10308" w:space="0"/>
        <w:col w:w="10264" w:space="0"/>
        <w:col w:w="5078" w:space="0"/>
        <w:col w:w="5186" w:space="0"/>
        <w:col w:w="102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63/1.4747209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hyperlink" Target="http://dx.doi.org/10.1063/1.2336999" TargetMode="External"/><Relationship Id="rId48" Type="http://schemas.openxmlformats.org/officeDocument/2006/relationships/hyperlink" Target="http://dx.doi.org/10.1109/T-ED.1974.17955" TargetMode="External"/><Relationship Id="rId49" Type="http://schemas.openxmlformats.org/officeDocument/2006/relationships/hyperlink" Target="http://dx.doi.org/10.1002/adma.200904327" TargetMode="External"/><Relationship Id="rId50" Type="http://schemas.openxmlformats.org/officeDocument/2006/relationships/hyperlink" Target="http://dx.doi.org/10.1063/1.2337361" TargetMode="External"/><Relationship Id="rId51" Type="http://schemas.openxmlformats.org/officeDocument/2006/relationships/hyperlink" Target="http://dx.doi.org/10.1109/MSPEC.2007.4337663" TargetMode="External"/><Relationship Id="rId52" Type="http://schemas.openxmlformats.org/officeDocument/2006/relationships/hyperlink" Target="http://dx.doi.org/10.1109/VLSIT.2008.4588599" TargetMode="External"/><Relationship Id="rId53" Type="http://schemas.openxmlformats.org/officeDocument/2006/relationships/hyperlink" Target="http://dx.doi.org/10.1063/1.1585116" TargetMode="External"/><Relationship Id="rId54" Type="http://schemas.openxmlformats.org/officeDocument/2006/relationships/hyperlink" Target="http://dx.doi.org/10.1103/PhysRevB.19.3593" TargetMode="External"/><Relationship Id="rId55" Type="http://schemas.openxmlformats.org/officeDocument/2006/relationships/hyperlink" Target="http://dx.doi.org/10.1002/pssb.200743159" TargetMode="External"/><Relationship Id="rId56" Type="http://schemas.openxmlformats.org/officeDocument/2006/relationships/hyperlink" Target="http://dx.doi.org/10.1103/PhysRevB.65.233106" TargetMode="External"/><Relationship Id="rId57" Type="http://schemas.openxmlformats.org/officeDocument/2006/relationships/hyperlink" Target="http://dx.doi.org/10.1007/BF00541601" TargetMode="External"/><Relationship Id="rId58" Type="http://schemas.openxmlformats.org/officeDocument/2006/relationships/hyperlink" Target="http://dx.doi.org/10.1063/1.3634052" TargetMode="External"/><Relationship Id="rId59" Type="http://schemas.openxmlformats.org/officeDocument/2006/relationships/hyperlink" Target="http://dx.doi.org/10.1063/1.3667205" TargetMode="External"/><Relationship Id="rId60" Type="http://schemas.openxmlformats.org/officeDocument/2006/relationships/hyperlink" Target="http://dx.doi.org/10.1002/adfm.201103119" TargetMode="External"/><Relationship Id="rId61" Type="http://schemas.openxmlformats.org/officeDocument/2006/relationships/hyperlink" Target="http://dx.doi.org/10.1103/PhysRevB.78.012102" TargetMode="External"/><Relationship Id="rId62" Type="http://schemas.openxmlformats.org/officeDocument/2006/relationships/hyperlink" Target="http://dx.doi.org/10.1557/jmr.2004.19.3.693" TargetMode="External"/><Relationship Id="rId63" Type="http://schemas.openxmlformats.org/officeDocument/2006/relationships/hyperlink" Target="http://dx.doi.org/10.1063/1.1870098" TargetMode="External"/><Relationship Id="rId64" Type="http://schemas.openxmlformats.org/officeDocument/2006/relationships/hyperlink" Target="http://dx.doi.org/10.1080/00150199908016462" TargetMode="External"/><Relationship Id="rId65" Type="http://schemas.openxmlformats.org/officeDocument/2006/relationships/hyperlink" Target="http://dx.doi.org/10.1103/PhysRevB.60.14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