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0"/>
        <w:ind w:left="0" w:right="0"/>
      </w:pPr>
    </w:p>
    <w:p>
      <w:pPr>
        <w:sectPr>
          <w:pgSz w:w="11900" w:h="16840"/>
          <w:pgMar w:top="660" w:right="1020" w:bottom="582" w:left="105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20"/>
        <w:ind w:left="40" w:right="0" w:firstLine="0"/>
        <w:jc w:val="left"/>
      </w:pPr>
      <w:r>
        <w:rPr>
          <w:rFonts w:ascii="Frutiger" w:hAnsi="Frutiger" w:eastAsia="Frutiger"/>
          <w:b w:val="0"/>
          <w:i w:val="0"/>
          <w:color w:val="000000"/>
          <w:sz w:val="18"/>
        </w:rPr>
        <w:t xml:space="preserve">Phys. Status Solidi RRL </w:t>
      </w:r>
      <w:r>
        <w:rPr>
          <w:rFonts w:ascii="Frutiger" w:hAnsi="Frutiger" w:eastAsia="Frutiger"/>
          <w:b/>
          <w:i w:val="0"/>
          <w:color w:val="000000"/>
          <w:sz w:val="18"/>
        </w:rPr>
        <w:t>8</w:t>
      </w:r>
      <w:r>
        <w:rPr>
          <w:rFonts w:ascii="Frutiger" w:hAnsi="Frutiger" w:eastAsia="Frutiger"/>
          <w:b w:val="0"/>
          <w:i w:val="0"/>
          <w:color w:val="000000"/>
          <w:sz w:val="18"/>
        </w:rPr>
        <w:t xml:space="preserve">, No. 6, 532–535 (2014) / </w:t>
      </w:r>
      <w:r>
        <w:rPr>
          <w:rFonts w:ascii="Frutiger" w:hAnsi="Frutiger" w:eastAsia="Frutiger"/>
          <w:b/>
          <w:i w:val="0"/>
          <w:color w:val="000000"/>
          <w:sz w:val="18"/>
        </w:rPr>
        <w:t>DOI</w:t>
      </w:r>
      <w:r>
        <w:rPr>
          <w:rFonts w:ascii="Frutiger" w:hAnsi="Frutiger" w:eastAsia="Frutiger"/>
          <w:b w:val="0"/>
          <w:i w:val="0"/>
          <w:color w:val="000000"/>
          <w:sz w:val="18"/>
        </w:rPr>
        <w:t xml:space="preserve"> 10.1002/pssr.201409017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824"/>
      </w:tblGrid>
      <w:tr>
        <w:trPr>
          <w:trHeight w:hRule="exact" w:val="716"/>
        </w:trPr>
        <w:tc>
          <w:tcPr>
            <w:tcW w:type="dxa" w:w="625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8" w:after="0"/>
              <w:ind w:left="4442" w:right="0" w:hanging="136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FFFFFF"/>
                <w:sz w:val="18"/>
              </w:rPr>
              <w:t xml:space="preserve">Part of Focus Issue on </w:t>
            </w:r>
            <w:r>
              <w:br/>
            </w:r>
            <w:r>
              <w:rPr>
                <w:rFonts w:ascii="Frutiger" w:hAnsi="Frutiger" w:eastAsia="Frutiger"/>
                <w:b/>
                <w:i w:val="0"/>
                <w:color w:val="FFFFFF"/>
                <w:sz w:val="18"/>
              </w:rPr>
              <w:t>Functional Oxides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24"/>
      </w:tblGrid>
      <w:tr>
        <w:trPr>
          <w:trHeight w:hRule="exact" w:val="304"/>
        </w:trPr>
        <w:tc>
          <w:tcPr>
            <w:tcW w:type="dxa" w:w="6290"/>
            <w:tcBorders/>
            <w:shd w:fill="d719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6" w:right="0" w:firstLine="0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FFFFFF"/>
                <w:sz w:val="18"/>
              </w:rPr>
              <w:t>Eds.: T. Frauenheim, J. M. Knaup, P. Broqvist, S. Ramanathan</w:t>
            </w:r>
          </w:p>
        </w:tc>
      </w:tr>
    </w:tbl>
    <w:p>
      <w:pPr>
        <w:autoSpaceDN w:val="0"/>
        <w:autoSpaceDE w:val="0"/>
        <w:widowControl/>
        <w:spacing w:line="426" w:lineRule="exact" w:before="392" w:after="0"/>
        <w:ind w:left="0" w:right="0" w:firstLine="0"/>
        <w:jc w:val="left"/>
      </w:pPr>
      <w:r>
        <w:rPr>
          <w:rFonts w:ascii="Frutiger" w:hAnsi="Frutiger" w:eastAsia="Frutiger"/>
          <w:b w:val="0"/>
          <w:i w:val="0"/>
          <w:color w:val="000000"/>
          <w:sz w:val="36"/>
        </w:rPr>
        <w:t xml:space="preserve">Ferroelectric properties and switching </w:t>
      </w:r>
    </w:p>
    <w:p>
      <w:pPr>
        <w:sectPr>
          <w:type w:val="continuous"/>
          <w:pgSz w:w="11900" w:h="16840"/>
          <w:pgMar w:top="660" w:right="1020" w:bottom="582" w:left="1056" w:header="720" w:footer="720" w:gutter="0"/>
          <w:cols w:space="720" w:num="2" w:equalWidth="0">
            <w:col w:w="6540" w:space="0"/>
            <w:col w:w="32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9824"/>
      </w:tblGrid>
      <w:tr>
        <w:trPr>
          <w:trHeight w:hRule="exact" w:val="1720"/>
        </w:trPr>
        <w:tc>
          <w:tcPr>
            <w:tcW w:type="dxa" w:w="3080"/>
            <w:tcBorders>
              <w:start w:sz="2.1760001182556152" w:val="single" w:color="#000000"/>
              <w:top w:sz="2.1760001182556152" w:val="single" w:color="#000000"/>
              <w:end w:sz="2.1760001182556152" w:val="single" w:color="#000000"/>
              <w:bottom w:sz="2.1760001182556152" w:val="single" w:color="#000000"/>
            </w:tcBorders>
            <w:shd w:fill="d71920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1.999999999999318" w:type="dxa"/>
            </w:tblPr>
            <w:tblGrid>
              <w:gridCol w:w="1540"/>
              <w:gridCol w:w="1540"/>
            </w:tblGrid>
            <w:tr>
              <w:trPr>
                <w:trHeight w:hRule="exact" w:val="1472"/>
              </w:trPr>
              <w:tc>
                <w:tcPr>
                  <w:tcW w:type="dxa" w:w="444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444" w:lineRule="exact" w:before="0" w:after="0"/>
                    <w:ind w:left="0" w:right="222" w:firstLine="0"/>
                    <w:jc w:val="right"/>
                  </w:pPr>
                  <w:r>
                    <w:rPr>
                      <w:rFonts w:ascii="Frutiger" w:hAnsi="Frutiger" w:eastAsia="Frutiger"/>
                      <w:b/>
                      <w:i w:val="0"/>
                      <w:color w:val="BFBFBF"/>
                      <w:sz w:val="38"/>
                    </w:rPr>
                    <w:t>pss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663700" cy="92964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3700" cy="9296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6" w:lineRule="exact" w:before="12" w:after="0"/>
              <w:ind w:left="498" w:right="0" w:firstLine="0"/>
              <w:jc w:val="left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20"/>
              </w:rPr>
              <w:t>www.pss-rapid.com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356"/>
        <w:ind w:left="0" w:right="0"/>
      </w:pPr>
    </w:p>
    <w:p>
      <w:pPr>
        <w:sectPr>
          <w:type w:val="nextColumn"/>
          <w:pgSz w:w="11900" w:h="16840"/>
          <w:pgMar w:top="660" w:right="1020" w:bottom="582" w:left="1056" w:header="720" w:footer="720" w:gutter="0"/>
          <w:cols w:space="720" w:num="2" w:equalWidth="0"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460" w:lineRule="exact" w:before="12" w:after="0"/>
        <w:ind w:left="0" w:right="864" w:firstLine="0"/>
        <w:jc w:val="left"/>
      </w:pPr>
      <w:r>
        <w:rPr>
          <w:rFonts w:ascii="Frutiger" w:hAnsi="Frutiger" w:eastAsia="Frutiger"/>
          <w:b w:val="0"/>
          <w:i w:val="0"/>
          <w:color w:val="000000"/>
          <w:sz w:val="36"/>
        </w:rPr>
        <w:t>endurance of Hf</w:t>
      </w:r>
      <w:r>
        <w:rPr>
          <w:rFonts w:ascii="Frutiger" w:hAnsi="Frutiger" w:eastAsia="Frutiger"/>
          <w:b w:val="0"/>
          <w:i w:val="0"/>
          <w:color w:val="000000"/>
          <w:sz w:val="18"/>
        </w:rPr>
        <w:t>0.5</w:t>
      </w:r>
      <w:r>
        <w:rPr>
          <w:rFonts w:ascii="Frutiger" w:hAnsi="Frutiger" w:eastAsia="Frutiger"/>
          <w:b w:val="0"/>
          <w:i w:val="0"/>
          <w:color w:val="000000"/>
          <w:sz w:val="36"/>
        </w:rPr>
        <w:t>Zr</w:t>
      </w:r>
      <w:r>
        <w:rPr>
          <w:rFonts w:ascii="Frutiger" w:hAnsi="Frutiger" w:eastAsia="Frutiger"/>
          <w:b w:val="0"/>
          <w:i w:val="0"/>
          <w:color w:val="000000"/>
          <w:sz w:val="18"/>
        </w:rPr>
        <w:t>0.5</w:t>
      </w:r>
      <w:r>
        <w:rPr>
          <w:rFonts w:ascii="Frutiger" w:hAnsi="Frutiger" w:eastAsia="Frutiger"/>
          <w:b w:val="0"/>
          <w:i w:val="0"/>
          <w:color w:val="000000"/>
          <w:sz w:val="36"/>
        </w:rPr>
        <w:t>O</w:t>
      </w:r>
      <w:r>
        <w:rPr>
          <w:rFonts w:ascii="Frutiger" w:hAnsi="Frutiger" w:eastAsia="Frutiger"/>
          <w:b w:val="0"/>
          <w:i w:val="0"/>
          <w:color w:val="000000"/>
          <w:sz w:val="18"/>
        </w:rPr>
        <w:t>2</w:t>
      </w:r>
      <w:r>
        <w:rPr>
          <w:rFonts w:ascii="Frutiger" w:hAnsi="Frutiger" w:eastAsia="Frutiger"/>
          <w:b w:val="0"/>
          <w:i w:val="0"/>
          <w:color w:val="000000"/>
          <w:sz w:val="36"/>
        </w:rPr>
        <w:t xml:space="preserve"> films on TiN bottom and TiN </w:t>
      </w:r>
      <w:r>
        <w:rPr>
          <w:rFonts w:ascii="Frutiger" w:hAnsi="Frutiger" w:eastAsia="Frutiger"/>
          <w:b w:val="0"/>
          <w:i w:val="0"/>
          <w:color w:val="000000"/>
          <w:sz w:val="36"/>
        </w:rPr>
        <w:t>or RuO</w:t>
      </w:r>
      <w:r>
        <w:rPr>
          <w:rFonts w:ascii="Frutiger" w:hAnsi="Frutiger" w:eastAsia="Frutiger"/>
          <w:b w:val="0"/>
          <w:i w:val="0"/>
          <w:color w:val="000000"/>
          <w:sz w:val="18"/>
        </w:rPr>
        <w:t>2</w:t>
      </w:r>
      <w:r>
        <w:rPr>
          <w:rFonts w:ascii="Frutiger" w:hAnsi="Frutiger" w:eastAsia="Frutiger"/>
          <w:b w:val="0"/>
          <w:i w:val="0"/>
          <w:color w:val="000000"/>
          <w:sz w:val="36"/>
        </w:rPr>
        <w:t xml:space="preserve"> top electrodes </w:t>
      </w:r>
    </w:p>
    <w:p>
      <w:pPr>
        <w:autoSpaceDN w:val="0"/>
        <w:tabs>
          <w:tab w:pos="9190" w:val="left"/>
        </w:tabs>
        <w:autoSpaceDE w:val="0"/>
        <w:widowControl/>
        <w:spacing w:line="124" w:lineRule="exact" w:before="214" w:after="0"/>
        <w:ind w:left="0" w:right="576" w:firstLine="0"/>
        <w:jc w:val="left"/>
      </w:pPr>
      <w:r>
        <w:tab/>
      </w:r>
      <w:r>
        <w:rPr>
          <w:rFonts w:ascii="Frutiger" w:hAnsi="Frutiger" w:eastAsia="Frutiger"/>
          <w:b/>
          <w:i w:val="0"/>
          <w:color w:val="000000"/>
          <w:sz w:val="10"/>
        </w:rPr>
        <w:t xml:space="preserve">* </w:t>
      </w:r>
      <w:r>
        <w:rPr>
          <w:rFonts w:ascii="Frutiger" w:hAnsi="Frutiger" w:eastAsia="Frutiger"/>
          <w:b/>
          <w:i w:val="0"/>
          <w:color w:val="000000"/>
          <w:sz w:val="20"/>
        </w:rPr>
        <w:t>Min Hyuk Park, Han Joon Kim, Yu Jin Kim, Woojin Jeon, Taehwan Moon, and Cheol Seong Hwang</w:t>
      </w:r>
    </w:p>
    <w:p>
      <w:pPr>
        <w:autoSpaceDN w:val="0"/>
        <w:autoSpaceDE w:val="0"/>
        <w:widowControl/>
        <w:spacing w:line="230" w:lineRule="auto" w:before="20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Department of Material Science and Engineering and Inter-University Semiconductor Research Center, Seoul National University, </w:t>
      </w:r>
    </w:p>
    <w:p>
      <w:pPr>
        <w:autoSpaceDN w:val="0"/>
        <w:autoSpaceDE w:val="0"/>
        <w:widowControl/>
        <w:spacing w:line="230" w:lineRule="auto" w:before="2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Seoul 151-744, Republic of Korea </w:t>
      </w:r>
    </w:p>
    <w:p>
      <w:pPr>
        <w:autoSpaceDN w:val="0"/>
        <w:autoSpaceDE w:val="0"/>
        <w:widowControl/>
        <w:spacing w:line="245" w:lineRule="auto" w:before="210" w:after="0"/>
        <w:ind w:left="0" w:right="38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Received 10 January 2014, revised 11 February 2014, accepted 12 February 2014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Published online 17 February 2014 </w:t>
      </w:r>
    </w:p>
    <w:p>
      <w:pPr>
        <w:autoSpaceDN w:val="0"/>
        <w:autoSpaceDE w:val="0"/>
        <w:widowControl/>
        <w:spacing w:line="252" w:lineRule="auto" w:before="208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Keywords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films, TiN electrodes, RuO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electrodes, endurance switching, ferroelectric capacitors </w:t>
      </w:r>
    </w:p>
    <w:p>
      <w:pPr>
        <w:autoSpaceDN w:val="0"/>
        <w:autoSpaceDE w:val="0"/>
        <w:widowControl/>
        <w:spacing w:line="262" w:lineRule="auto" w:before="240" w:after="492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>*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Corresponding author: e-mail </w:t>
      </w:r>
      <w:r>
        <w:rPr>
          <w:rFonts w:ascii="Arial" w:hAnsi="Arial" w:eastAsia="Arial"/>
          <w:b w:val="0"/>
          <w:i w:val="0"/>
          <w:color w:val="000000"/>
          <w:sz w:val="16"/>
        </w:rPr>
        <w:t>cheolsh@snu.ac.kr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912"/>
        <w:gridCol w:w="4912"/>
      </w:tblGrid>
      <w:tr>
        <w:trPr>
          <w:trHeight w:hRule="exact" w:val="1488"/>
        </w:trPr>
        <w:tc>
          <w:tcPr>
            <w:tcW w:type="dxa" w:w="4852"/>
            <w:tcBorders/>
            <w:shd w:fill="f4cb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0" w:after="0"/>
              <w:ind w:left="270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The effect of the top electrode (TE) on the ferroelectric prop-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erties and switching endurance of thin 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films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examined. The TiN/Hf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/TiN capacitor can endure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electric cycling up to 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times, which is promising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next-generation memory. RuO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TE was reduced during an-</w:t>
            </w:r>
          </w:p>
        </w:tc>
        <w:tc>
          <w:tcPr>
            <w:tcW w:type="dxa" w:w="4898"/>
            <w:tcBorders/>
            <w:shd w:fill="f4cb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90" w:after="0"/>
              <w:ind w:left="124" w:right="2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nealing due to the reactive TiN bottom electrode, resulting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degradation of the ferroelectric properties and endurance.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In addition, the endurance of the TiN/Hf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/TiN capaci-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tors was optimized by changing the film thickness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postannealing temperature. </w:t>
            </w:r>
          </w:p>
        </w:tc>
      </w:tr>
    </w:tbl>
    <w:p>
      <w:pPr>
        <w:autoSpaceDN w:val="0"/>
        <w:autoSpaceDE w:val="0"/>
        <w:widowControl/>
        <w:spacing w:line="144" w:lineRule="exact" w:before="304" w:after="464"/>
        <w:ind w:left="0" w:right="38" w:firstLine="0"/>
        <w:jc w:val="right"/>
      </w:pPr>
      <w:r>
        <w:rPr>
          <w:rFonts w:ascii="Frutiger" w:hAnsi="Frutiger" w:eastAsia="Frutiger"/>
          <w:b w:val="0"/>
          <w:i w:val="0"/>
          <w:color w:val="000000"/>
          <w:sz w:val="12"/>
        </w:rPr>
        <w:t xml:space="preserve">© 2014 WILEY-VCH Verlag GmbH &amp; Co. KGaA, Weinheim </w:t>
      </w:r>
    </w:p>
    <w:p>
      <w:pPr>
        <w:sectPr>
          <w:type w:val="continuous"/>
          <w:pgSz w:w="11900" w:h="16840"/>
          <w:pgMar w:top="660" w:right="1020" w:bottom="582" w:left="1056" w:header="720" w:footer="720" w:gutter="0"/>
          <w:cols w:space="720" w:num="1" w:equalWidth="0"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8" w:after="0"/>
        <w:ind w:left="0" w:right="0" w:firstLine="310"/>
        <w:jc w:val="left"/>
      </w:pPr>
      <w:r>
        <w:rPr>
          <w:rFonts w:ascii="Frutiger" w:hAnsi="Frutiger" w:eastAsia="Frutiger"/>
          <w:b/>
          <w:i w:val="0"/>
          <w:color w:val="000000"/>
          <w:sz w:val="20"/>
        </w:rPr>
        <w:t>1 Introduction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ferroelectric/electrode interface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one of the most important factors that affect the ferroelec-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tric properties and endurance of ferroelectric devices [1].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Conventional materials, such as Pb(Zr,Ti)O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(PZT), suf-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fered from the insufficient switching endurance for work-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ing memory application with the Pt electrode [2].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origin of the degradation during electric-field cycling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generally thought to be related to the accumulation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 ordering of oxygen vacancies in the region near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noble-metal electrodes, such as Pt [3, 4]. Therefore,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adopting the oxide electrode, such as IrO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is a promising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 of enhancing the ferroelectric properties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endurance of ferroelectric capacitors up to the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level [2–5]. The oxide electrode can work as an oxygen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vacancy sink, allowing the endurance of ferroelectric ca-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pacitors to be improved significantly [3, 4].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case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(HZO), which is one of the hottest materials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field due to its excellent ferroelectricity with small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film thickness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Si-process compatibility, and matured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deposition techniques, in contrast, the effect of the elec-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trode on the ferroelectric properties and endurance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rarely reported since the first report by Müller et al.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[6]. Park et al. reported that the remnant polarization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</w:p>
    <w:p>
      <w:pPr>
        <w:autoSpaceDN w:val="0"/>
        <w:autoSpaceDE w:val="0"/>
        <w:widowControl/>
        <w:spacing w:line="240" w:lineRule="auto" w:before="390" w:after="0"/>
        <w:ind w:left="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62380" cy="120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660" w:right="1020" w:bottom="582" w:left="1056" w:header="720" w:footer="720" w:gutter="0"/>
          <w:cols w:space="720" w:num="2" w:equalWidth="0"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TiN/HZO/TiN capacitors was ~30% larger than that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Pt/HZO/TiN capacitor, which means that the TiN/HZO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interface was beneficial in achieving better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compared with the Pt/HZO interface [7].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 for such an aspect of the TiN electrode,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has not been clearly elucidated. Meanwhile, TiN is a reac-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tive metal that could be relatively easily oxidized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TiO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which is not expected to be appropriate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achieving the optimum properties [8]. Changing the bot-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tom electrode (BE), however, is a very challenging task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given the fact that the HZO film showed the best ferroelec-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tric properties when they were grown on TiN BE [9].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also noted that the formation energy of the oxide elec-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trode, such as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is relatively smaller than that of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[10, 11]. This means that the severe loss of oxygen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could be induced when it is adopted as the top elec-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trode (TE) in TiN BE through the thin HZO layer. This in-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dicates that adopting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as the TE material may not re-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sult in the optimum endurance performance. Therefore,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an important task to examine the interactions of oxide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 and TiN BE with the ferroelectric HZO thin films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are only ~10 nm. In addition, the coercive field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thin films is larger than that of thin PZT films </w:t>
      </w:r>
    </w:p>
    <w:p>
      <w:pPr>
        <w:autoSpaceDN w:val="0"/>
        <w:autoSpaceDE w:val="0"/>
        <w:widowControl/>
        <w:spacing w:line="142" w:lineRule="exact" w:before="366" w:after="0"/>
        <w:ind w:left="0" w:right="38" w:firstLine="0"/>
        <w:jc w:val="right"/>
      </w:pPr>
      <w:r>
        <w:rPr>
          <w:rFonts w:ascii="Frutiger" w:hAnsi="Frutiger" w:eastAsia="Frutiger"/>
          <w:b w:val="0"/>
          <w:i w:val="0"/>
          <w:color w:val="000000"/>
          <w:sz w:val="12"/>
        </w:rPr>
        <w:t xml:space="preserve">© 2014 WILEY-VCH Verlag GmbH &amp; Co. KGaA, Weinheim </w:t>
      </w:r>
    </w:p>
    <w:p>
      <w:pPr>
        <w:sectPr>
          <w:type w:val="nextColumn"/>
          <w:pgSz w:w="11900" w:h="16840"/>
          <w:pgMar w:top="660" w:right="1020" w:bottom="582" w:left="1056" w:header="720" w:footer="720" w:gutter="0"/>
          <w:cols w:space="720" w:num="2" w:equalWidth="0"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110.0" w:type="dxa"/>
      </w:tblPr>
      <w:tblGrid>
        <w:gridCol w:w="9854"/>
      </w:tblGrid>
      <w:tr>
        <w:trPr>
          <w:trHeight w:hRule="exact" w:val="726"/>
        </w:trPr>
        <w:tc>
          <w:tcPr>
            <w:tcW w:type="dxa" w:w="1514"/>
            <w:tcBorders>
              <w:bottom w:sz="4.800000190734863" w:val="single" w:color="#FFFFFF"/>
            </w:tcBorders>
            <w:shd w:fill="d719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30" w:after="0"/>
              <w:ind w:left="0" w:right="0" w:firstLine="0"/>
              <w:jc w:val="center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21"/>
              </w:rPr>
              <w:t>Rapid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7"/>
        <w:gridCol w:w="4927"/>
      </w:tblGrid>
      <w:tr>
        <w:trPr>
          <w:trHeight w:hRule="exact" w:val="816"/>
        </w:trPr>
        <w:tc>
          <w:tcPr>
            <w:tcW w:type="dxa" w:w="55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92" w:after="0"/>
              <w:ind w:left="30" w:right="0" w:firstLine="0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>Phys. Status Solidi RRL</w:t>
            </w:r>
            <w:r>
              <w:rPr>
                <w:rFonts w:ascii="Frutiger" w:hAnsi="Frutiger" w:eastAsia="Frutiger"/>
                <w:b/>
                <w:i w:val="0"/>
                <w:color w:val="000000"/>
                <w:sz w:val="17"/>
              </w:rPr>
              <w:t xml:space="preserve"> 8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, No. 6 (2014) </w:t>
            </w:r>
          </w:p>
        </w:tc>
        <w:tc>
          <w:tcPr>
            <w:tcW w:type="dxa" w:w="426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8" w:val="left"/>
              </w:tabs>
              <w:autoSpaceDE w:val="0"/>
              <w:widowControl/>
              <w:spacing w:line="398" w:lineRule="exact" w:before="0" w:after="0"/>
              <w:ind w:left="2554" w:right="0" w:firstLine="0"/>
              <w:jc w:val="left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21"/>
              </w:rPr>
              <w:t xml:space="preserve">Research Letter </w:t>
            </w:r>
            <w:r>
              <w:br/>
            </w:r>
            <w:r>
              <w:tab/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533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558"/>
        <w:ind w:left="0" w:right="0"/>
      </w:pPr>
    </w:p>
    <w:p>
      <w:pPr>
        <w:sectPr>
          <w:pgSz w:w="11900" w:h="16840"/>
          <w:pgMar w:top="0" w:right="976" w:bottom="620" w:left="1070" w:header="720" w:footer="720" w:gutter="0"/>
          <w:cols w:space="720" w:num="1" w:equalWidth="0"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about one order of magnitude [7]. Such a large 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is known to change the resistance state of oxide films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through the motion of the defects, such as the oxygen va-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cancy, which can also make a difference in terms of endur-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ance compared to PZT [12]. In this study,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and the endurance of the TiN/HZO/TiN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/HZO/TiN capacitors were compared, and their dif-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ferences were explained via structural and chemical analy-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sis, which have not yet been reported in detail. </w:t>
      </w:r>
    </w:p>
    <w:p>
      <w:pPr>
        <w:autoSpaceDN w:val="0"/>
        <w:autoSpaceDE w:val="0"/>
        <w:widowControl/>
        <w:spacing w:line="226" w:lineRule="exact" w:before="234" w:after="0"/>
        <w:ind w:left="30" w:right="0" w:firstLine="312"/>
        <w:jc w:val="left"/>
      </w:pPr>
      <w:r>
        <w:rPr>
          <w:rFonts w:ascii="Frutiger" w:hAnsi="Frutiger" w:eastAsia="Frutiger"/>
          <w:b/>
          <w:i w:val="0"/>
          <w:color w:val="000000"/>
          <w:sz w:val="20"/>
        </w:rPr>
        <w:t>2 Experimental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HZO films were deposited on a sput-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tered 50 nm thick TiN/Ti/SiO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/Si substrate via thermal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atomic layer deposition (ALD) at a 280 °C wafer tempera-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ture, using Hf[N(C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)CH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]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Zr[N(C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)CH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]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ozone as the Hf precursor, Zr precursor, and oxygen source,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respectively. As the growth per cycles of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almost identical (~0.12 nm/cycle), the HZO films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 Hf:Zr ratio of 0.5:0.5 could be deposited using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:ZrO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ALD cycle ratio of 1:1. For the electrical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characterization, Pt(60 nm)/TiN(20 nm) and Pt(60 nm)/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(20 nm) TEs were deposited via DC (reactive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TiN) sputtering through a shadow mask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300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 hole diameter (TiN and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contacts HZO films).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TiN TE samples were annealed at 500 °C for 30 s 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atmosphere after TE deposition (TiN/PMA). The details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optimized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deposition condition were reported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elsewhere [13]. For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samples, on the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hand, the following three annealing conditions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adopted: (1) postmetallization-annealing (RuO/PMA) –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annealing at 500 °C for 30 s in a N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atmosphere after 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deposition; (2) postdeposition-annealing (RuO/PDA) –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annealing at 500 °C for 30 s in a N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atmosphere before 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deposition; and (3) PDA + curing (RuO/curing) – anneal-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ing the PDA samples at 400 °C for 30 min in an air atmo-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sphere after TE deposition. The cation composition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examined via X-ray fluorescence (Quant’X, Thermo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Scientific) and ellipsometry (L-116d, Gaetner), respec-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tively. For the structural analysis, Pt(10 nm)/TiN(20 nm)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Pt(10 nm)/RuO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(20 nm) layers were deposited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HZO films with no patterning. The crystallographic 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films was examined through a normal </w:t>
      </w:r>
      <w:r>
        <w:rPr>
          <w:rFonts w:ascii="Symbol" w:hAnsi="Symbol" w:eastAsia="Symbol"/>
          <w:b w:val="0"/>
          <w:i w:val="0"/>
          <w:color w:val="000000"/>
          <w:sz w:val="20"/>
        </w:rPr>
        <w:t>θ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–2</w:t>
      </w:r>
      <w:r>
        <w:rPr>
          <w:rFonts w:ascii="Symbol" w:hAnsi="Symbol" w:eastAsia="Symbol"/>
          <w:b w:val="0"/>
          <w:i w:val="0"/>
          <w:color w:val="000000"/>
          <w:sz w:val="20"/>
        </w:rPr>
        <w:t>θ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scan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via grazing-angle incidence X-ray diffraction (GAXRD)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using an X-ray diffractometer (Pananalytical X-pert Pro,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Cu K</w:t>
      </w:r>
      <w:r>
        <w:rPr>
          <w:rFonts w:ascii="Symbol" w:hAnsi="Symbol" w:eastAsia="Symbol"/>
          <w:b w:val="0"/>
          <w:i w:val="0"/>
          <w:color w:val="000000"/>
          <w:sz w:val="13"/>
        </w:rPr>
        <w:t>α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radiation with a 0.15418 nm X-ray wavelength).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Depth profiling was performed via Auger electron spec-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troscopy (AES, Perkin–Elmer, 660). For electrical charac-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terization, the polarization electric field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capaci-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tance–field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were measured at room temperature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using a ferroelectric tester (TF Analyzer 2000, Aixacct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Systems) with a 1 kHz frequency and an impedance ana-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lyzer (4194A, HP) with a 10 kHz AC frequency. An en-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durance test was performed using a ferroelectric tester (TF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Analyzer 2000, Aixacct Systems) with a 100 kHz electrical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cycling frequency. </w:t>
      </w:r>
    </w:p>
    <w:p>
      <w:pPr>
        <w:autoSpaceDN w:val="0"/>
        <w:tabs>
          <w:tab w:pos="342" w:val="left"/>
        </w:tabs>
        <w:autoSpaceDE w:val="0"/>
        <w:widowControl/>
        <w:spacing w:line="220" w:lineRule="exact" w:before="242" w:after="0"/>
        <w:ind w:left="30" w:right="0" w:firstLine="0"/>
        <w:jc w:val="left"/>
      </w:pPr>
      <w:r>
        <w:tab/>
      </w:r>
      <w:r>
        <w:rPr>
          <w:rFonts w:ascii="Frutiger" w:hAnsi="Frutiger" w:eastAsia="Frutiger"/>
          <w:b/>
          <w:i w:val="0"/>
          <w:color w:val="000000"/>
          <w:sz w:val="20"/>
        </w:rPr>
        <w:t>3 Results and discussion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Figure 1a shows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hysteresis  curves  for  the  capacitors  with  10.5 nm thick </w:t>
      </w:r>
    </w:p>
    <w:p>
      <w:pPr>
        <w:autoSpaceDN w:val="0"/>
        <w:autoSpaceDE w:val="0"/>
        <w:widowControl/>
        <w:spacing w:line="168" w:lineRule="exact" w:before="382" w:after="0"/>
        <w:ind w:left="30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14"/>
        </w:rPr>
        <w:t>www.pss-rapid.com</w:t>
      </w:r>
    </w:p>
    <w:p>
      <w:pPr>
        <w:sectPr>
          <w:type w:val="continuous"/>
          <w:pgSz w:w="11900" w:h="16840"/>
          <w:pgMar w:top="0" w:right="976" w:bottom="620" w:left="1070" w:header="720" w:footer="720" w:gutter="0"/>
          <w:cols w:space="720" w:num="2" w:equalWidth="0"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22600" cy="1071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71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8" w:lineRule="exact" w:before="140" w:after="0"/>
        <w:ind w:left="64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18"/>
        </w:rPr>
        <w:t>Figure 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(a)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hysteresis of 10.5 nm thick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capaci-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tors with a TiN and RuO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top electrode with various annealing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conditions. (b) Glancing-incidence angle X-ray diffraction spec-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tra of the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films with an RuO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top layer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various annealing conditions. </w:t>
      </w:r>
    </w:p>
    <w:p>
      <w:pPr>
        <w:autoSpaceDN w:val="0"/>
        <w:autoSpaceDE w:val="0"/>
        <w:widowControl/>
        <w:spacing w:line="245" w:lineRule="auto" w:before="21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HZO films with various TE and annealing conditions.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loops of the capacitors with different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included in the online Supporting Information (SI).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of TiN/PMA and RuO/PMA were ~34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~24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respectively, and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loop of TiN/PMA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almost symmetric, whereas that of RuO/PMA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shifted to the positive bias direction by ~0.48 MV/cm,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might be related to differences in work function,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injection barrier, or oxygen affinity of TE and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[14–17]. This means that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degraded the ferro-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electric properties of the HZO capacitor, which is quite dif-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ferent from the reports on the PZT capacitors [4, 5].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elucidate this unexpected result, the crystal structure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RuO/PMA was analysed using GAXRD spectra, as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seen in Fig. 1b. To confirm the deposition of the fully oxi-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dized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TE, the Pt/RuO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was also deposited on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100 nm thick thermal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/Si substrate, and no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duction was observed, as seen in Fig. 1b. For RuO/PMA,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however, no diffraction peak was seen from both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Ru. This means that there might be chemical reactions re-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lated to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layer. Figure 2a–c show the AES depth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profile results. In Fig. 2b, it can be easily noticed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significantly reduced to Ru, and that the Ru </w:t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28950" cy="21932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3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2" w:lineRule="exact" w:before="124" w:after="0"/>
        <w:ind w:left="64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18"/>
        </w:rPr>
        <w:t>Figure 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Auger electron spectroscopy spectra of (a) TiN/PMA,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(b) RuO/PMA, and (c) PDA/curing. (d) The change of the equi-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valent oxide thickness from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characteristics of various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capacitors as a function of film thickness. </w:t>
      </w:r>
    </w:p>
    <w:p>
      <w:pPr>
        <w:autoSpaceDN w:val="0"/>
        <w:autoSpaceDE w:val="0"/>
        <w:widowControl/>
        <w:spacing w:line="142" w:lineRule="exact" w:before="392" w:after="0"/>
        <w:ind w:left="0" w:right="70" w:firstLine="0"/>
        <w:jc w:val="right"/>
      </w:pPr>
      <w:r>
        <w:rPr>
          <w:rFonts w:ascii="Frutiger" w:hAnsi="Frutiger" w:eastAsia="Frutiger"/>
          <w:b w:val="0"/>
          <w:i w:val="0"/>
          <w:color w:val="000000"/>
          <w:sz w:val="12"/>
        </w:rPr>
        <w:t>© 2014 WILEY-VCH Verlag GmbH &amp; Co. KGaA, Weinheim</w:t>
      </w:r>
    </w:p>
    <w:p>
      <w:pPr>
        <w:sectPr>
          <w:type w:val="nextColumn"/>
          <w:pgSz w:w="11900" w:h="16840"/>
          <w:pgMar w:top="0" w:right="976" w:bottom="620" w:left="1070" w:header="720" w:footer="720" w:gutter="0"/>
          <w:cols w:space="720" w:num="2" w:equalWidth="0"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0</wp:posOffset>
            </wp:positionV>
            <wp:extent cx="1193800" cy="7239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23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4089400</wp:posOffset>
            </wp:positionH>
            <wp:positionV relativeFrom="page">
              <wp:posOffset>1828800</wp:posOffset>
            </wp:positionV>
            <wp:extent cx="38100" cy="38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5168900</wp:posOffset>
            </wp:positionH>
            <wp:positionV relativeFrom="page">
              <wp:posOffset>1752600</wp:posOffset>
            </wp:positionV>
            <wp:extent cx="114300" cy="139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1752600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1701800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1663700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1536700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1511300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1511300</wp:posOffset>
            </wp:positionV>
            <wp:extent cx="508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1511300</wp:posOffset>
            </wp:positionV>
            <wp:extent cx="635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1511300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1511300</wp:posOffset>
            </wp:positionV>
            <wp:extent cx="508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4127500</wp:posOffset>
            </wp:positionH>
            <wp:positionV relativeFrom="page">
              <wp:posOffset>1511300</wp:posOffset>
            </wp:positionV>
            <wp:extent cx="50800" cy="50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6756400</wp:posOffset>
            </wp:positionH>
            <wp:positionV relativeFrom="page">
              <wp:posOffset>2159000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6642100</wp:posOffset>
            </wp:positionH>
            <wp:positionV relativeFrom="page">
              <wp:posOffset>2159000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6769100</wp:posOffset>
            </wp:positionH>
            <wp:positionV relativeFrom="page">
              <wp:posOffset>2044700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6756400</wp:posOffset>
            </wp:positionH>
            <wp:positionV relativeFrom="page">
              <wp:posOffset>1536700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6769100</wp:posOffset>
            </wp:positionH>
            <wp:positionV relativeFrom="page">
              <wp:posOffset>1460500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6692900</wp:posOffset>
            </wp:positionH>
            <wp:positionV relativeFrom="page">
              <wp:posOffset>1397000</wp:posOffset>
            </wp:positionV>
            <wp:extent cx="38100" cy="50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5638800</wp:posOffset>
            </wp:positionH>
            <wp:positionV relativeFrom="page">
              <wp:posOffset>1549400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1536700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6273800</wp:posOffset>
            </wp:positionH>
            <wp:positionV relativeFrom="page">
              <wp:posOffset>1384300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5969000</wp:posOffset>
            </wp:positionH>
            <wp:positionV relativeFrom="page">
              <wp:posOffset>1371600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5054600</wp:posOffset>
            </wp:positionH>
            <wp:positionV relativeFrom="page">
              <wp:posOffset>1485900</wp:posOffset>
            </wp:positionV>
            <wp:extent cx="889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1460500</wp:posOffset>
            </wp:positionV>
            <wp:extent cx="381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4622800</wp:posOffset>
            </wp:positionH>
            <wp:positionV relativeFrom="page">
              <wp:posOffset>1447800</wp:posOffset>
            </wp:positionV>
            <wp:extent cx="508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5156200</wp:posOffset>
            </wp:positionH>
            <wp:positionV relativeFrom="page">
              <wp:posOffset>2095500</wp:posOffset>
            </wp:positionV>
            <wp:extent cx="38100" cy="254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1409700</wp:posOffset>
            </wp:positionV>
            <wp:extent cx="25400" cy="254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3839210</wp:posOffset>
            </wp:positionH>
            <wp:positionV relativeFrom="page">
              <wp:posOffset>1338580</wp:posOffset>
            </wp:positionV>
            <wp:extent cx="3028949" cy="1060437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0604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2159000</wp:posOffset>
            </wp:positionV>
            <wp:extent cx="381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2082800</wp:posOffset>
            </wp:positionV>
            <wp:extent cx="38100" cy="508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1600200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1778000</wp:posOffset>
            </wp:positionV>
            <wp:extent cx="38100" cy="635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2159000</wp:posOffset>
            </wp:positionV>
            <wp:extent cx="381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4089400</wp:posOffset>
            </wp:positionH>
            <wp:positionV relativeFrom="page">
              <wp:posOffset>2159000</wp:posOffset>
            </wp:positionV>
            <wp:extent cx="381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2146300</wp:posOffset>
            </wp:positionV>
            <wp:extent cx="635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2108200</wp:posOffset>
            </wp:positionV>
            <wp:extent cx="63500" cy="635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2095500</wp:posOffset>
            </wp:positionV>
            <wp:extent cx="571500" cy="1016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2082800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1866900</wp:posOffset>
            </wp:positionV>
            <wp:extent cx="381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1854200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5143500</wp:posOffset>
            </wp:positionH>
            <wp:positionV relativeFrom="page">
              <wp:posOffset>1841500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6"/>
        <w:gridCol w:w="1976"/>
        <w:gridCol w:w="1976"/>
        <w:gridCol w:w="1976"/>
        <w:gridCol w:w="1976"/>
      </w:tblGrid>
      <w:tr>
        <w:trPr>
          <w:trHeight w:hRule="exact" w:val="740"/>
        </w:trPr>
        <w:tc>
          <w:tcPr>
            <w:tcW w:type="dxa" w:w="494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64" w:after="0"/>
              <w:ind w:left="0" w:right="0" w:firstLine="0"/>
              <w:jc w:val="center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16"/>
              </w:rPr>
              <w:t>physica</w:t>
            </w:r>
          </w:p>
        </w:tc>
        <w:tc>
          <w:tcPr>
            <w:tcW w:type="dxa" w:w="5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68" w:after="0"/>
              <w:ind w:left="0" w:right="58" w:firstLine="0"/>
              <w:jc w:val="right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16"/>
              </w:rPr>
              <w:t>status</w:t>
            </w:r>
          </w:p>
        </w:tc>
        <w:tc>
          <w:tcPr>
            <w:tcW w:type="dxa" w:w="5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68" w:after="0"/>
              <w:ind w:left="0" w:right="52" w:firstLine="0"/>
              <w:jc w:val="right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16"/>
              </w:rPr>
              <w:t>solidi</w:t>
            </w:r>
          </w:p>
        </w:tc>
        <w:tc>
          <w:tcPr>
            <w:tcW w:type="dxa" w:w="9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66" w:right="0" w:firstLine="0"/>
              <w:jc w:val="left"/>
            </w:pPr>
            <w:r>
              <w:rPr>
                <w:rFonts w:ascii="Frutiger" w:hAnsi="Frutiger" w:eastAsia="Frutiger"/>
                <w:b/>
                <w:i w:val="0"/>
                <w:color w:val="BFBFBF"/>
                <w:sz w:val="16"/>
              </w:rPr>
              <w:t>rrl</w:t>
            </w:r>
          </w:p>
        </w:tc>
        <w:tc>
          <w:tcPr>
            <w:tcW w:type="dxa" w:w="74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92" w:after="0"/>
              <w:ind w:left="642" w:right="0" w:firstLine="0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>M. H. Park et al.: Ferroelectric properties and switching endurance of Hf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9"/>
              </w:rPr>
              <w:t>0.5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>Zr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9"/>
              </w:rPr>
              <w:t>0.5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>O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 films </w:t>
            </w:r>
          </w:p>
        </w:tc>
      </w:tr>
      <w:tr>
        <w:trPr>
          <w:trHeight w:hRule="exact" w:val="396"/>
        </w:trPr>
        <w:tc>
          <w:tcPr>
            <w:tcW w:type="dxa" w:w="4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2" w:after="0"/>
              <w:ind w:left="30" w:right="0" w:firstLine="0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534 </w:t>
            </w:r>
          </w:p>
        </w:tc>
        <w:tc>
          <w:tcPr>
            <w:tcW w:type="dxa" w:w="1976"/>
            <w:vMerge/>
            <w:tcBorders>
              <w:bottom w:sz="4.0" w:val="single" w:color="#000000"/>
            </w:tcBorders>
          </w:tcPr>
          <w:p/>
        </w:tc>
        <w:tc>
          <w:tcPr>
            <w:tcW w:type="dxa" w:w="1976"/>
            <w:vMerge/>
            <w:tcBorders>
              <w:bottom w:sz="4.0" w:val="single" w:color="#000000"/>
            </w:tcBorders>
          </w:tcPr>
          <w:p/>
        </w:tc>
        <w:tc>
          <w:tcPr>
            <w:tcW w:type="dxa" w:w="1976"/>
            <w:vMerge/>
            <w:tcBorders>
              <w:bottom w:sz="4.0" w:val="single" w:color="#000000"/>
            </w:tcBorders>
          </w:tcPr>
          <w:p/>
        </w:tc>
        <w:tc>
          <w:tcPr>
            <w:tcW w:type="dxa" w:w="1976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562" w:after="4"/>
        <w:ind w:left="0" w:right="489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atoms diffused into the Pt layer due to the RuO/PMA. Fig-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ure 2a shows, on the other hand, that the Pt/TiN TE kept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structure intact even after the TiN/PMA. To address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problem related to the reduction of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HZO film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crystallized before the deposition of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(RuO/PDA). The sample, however, showed an even more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distorted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loop, which might have resulted from the </w:t>
      </w:r>
    </w:p>
    <w:p>
      <w:pPr>
        <w:sectPr>
          <w:pgSz w:w="11900" w:h="16840"/>
          <w:pgMar w:top="210" w:right="996" w:bottom="620" w:left="1026" w:header="720" w:footer="720" w:gutter="0"/>
          <w:cols w:space="720" w:num="1" w:equalWidth="0">
            <w:col w:w="9878" w:space="0"/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space-charge layer at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/HZO interface. In fact,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process of TE sputtering is well known as a source of inter-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facial defects [13]. It is surprising to note that an Ru peak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observed even for the GAXRD spectra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RuO/PDA, meaning that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partly reduced during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sputtering process of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even without any thermal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treatment. Therefore, the RuO/PDA capacitor was an-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nealed in an air atmosphere to supplement the oxidation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partly reduced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curve of the RuO/curing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capacitor, however, shifted to the positive bias region even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more. It can be understood that the oxidation of TiN BE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well as the reduction of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occurred during the cur-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ing process from the decrease of the intensity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TiN(111) peak and the increase of the Ru(101) peak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GAXRD spectrum of the sample. </w:t>
      </w:r>
    </w:p>
    <w:p>
      <w:pPr>
        <w:autoSpaceDN w:val="0"/>
        <w:autoSpaceDE w:val="0"/>
        <w:widowControl/>
        <w:spacing w:line="245" w:lineRule="auto" w:before="6" w:after="0"/>
        <w:ind w:left="30" w:right="0" w:firstLine="31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2d shows the change in the equivalent oxide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thickness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), which shows the thickness of the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equivalent capacitance, from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tics of various capacitors as a function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curves of the various samples were included as Fig. S2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online SI.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were extracted from the ca-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pacitance value measured at –2 MV/cm to exclude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 of ferroelectric switching. Generally, the thickness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interfacial low-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can be extracted from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-axis intercept of the linear fitting of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plot. Park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et al. reported, however, that a change in the value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affect the competition of the polymorphs of HZO [18].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report, the portion of the polymorphs of HZO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changed with the changing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Therefore,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cannot be di-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rectly extracted from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-axis intercept, but the obviously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-axis intercept indicated that there were signifi-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cant changes in the interfacial state depending on the 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as well as the annealing conditions. As expected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characteristics, the adverse contribution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interface of RuO/curing was the largest, whereas that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TiN/PMA was the smallest among the samples.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ox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values of RuO/PMA, RuO/PDA, and RuO/curing were lar-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ger than that of TiN/PMA by ~0.2, ~0.4, and ~1.1 nm.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an increase in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could be attributed to the oxidation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TiN electrode. Assuming that the dielectric constant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Symbol" w:hAnsi="Symbol" w:eastAsia="Symbol"/>
          <w:b w:val="0"/>
          <w:i w:val="0"/>
          <w:color w:val="000000"/>
          <w:sz w:val="20"/>
        </w:rPr>
        <w:t>ε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of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~40, 1.1 nm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corresponds to ~11 nm [19].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significant oxidation of TiN BE to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(or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2–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TiO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could be observed in the AES spectra in Fig. 2c.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RuO/PMA, in contrast, the mixing of the reduced Ru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Pt could be observed, which interferes with the crystal-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lization of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Ru, as shown in Fig. 1b. This means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TE of the RuO/PMA sample was the mixture of Pt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Ru, which is not favorable for the optimal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of the HZO film. The formation enthalpy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much smaller (~–280 kJ/mol at 773 K) [10] than </w:t>
      </w:r>
    </w:p>
    <w:p>
      <w:pPr>
        <w:autoSpaceDN w:val="0"/>
        <w:autoSpaceDE w:val="0"/>
        <w:widowControl/>
        <w:spacing w:line="142" w:lineRule="exact" w:before="390" w:after="0"/>
        <w:ind w:left="30" w:right="0" w:firstLine="0"/>
        <w:jc w:val="left"/>
      </w:pPr>
      <w:r>
        <w:rPr>
          <w:rFonts w:ascii="Frutiger" w:hAnsi="Frutiger" w:eastAsia="Frutiger"/>
          <w:b w:val="0"/>
          <w:i w:val="0"/>
          <w:color w:val="000000"/>
          <w:sz w:val="12"/>
        </w:rPr>
        <w:t xml:space="preserve">© 2014 WILEY-VCH Verlag GmbH &amp; Co. KGaA, Weinheim </w:t>
      </w:r>
    </w:p>
    <w:p>
      <w:pPr>
        <w:sectPr>
          <w:type w:val="continuous"/>
          <w:pgSz w:w="11900" w:h="16840"/>
          <w:pgMar w:top="210" w:right="996" w:bottom="620" w:left="1026" w:header="720" w:footer="720" w:gutter="0"/>
          <w:cols w:space="720" w:num="2" w:equalWidth="0">
            <w:col w:w="4934" w:space="0"/>
            <w:col w:w="4944" w:space="0"/>
            <w:col w:w="9878" w:space="0"/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4" w:after="0"/>
        <w:ind w:left="86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18"/>
        </w:rPr>
        <w:t>Figure 3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Endurance properties of (a) TiN/PMA and (b)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RuO/PMA with 2.5 MV/cm, 3 MV/cm, and 3.5 MV/cm electric-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field cycling, respectively. </w:t>
      </w:r>
    </w:p>
    <w:p>
      <w:pPr>
        <w:autoSpaceDN w:val="0"/>
        <w:autoSpaceDE w:val="0"/>
        <w:widowControl/>
        <w:spacing w:line="245" w:lineRule="auto" w:before="314" w:after="0"/>
        <w:ind w:left="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 of TiO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(~–907 kJ/mol at 773 K) [11], which is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fundamental driving force that induces such a significant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reaction. It is also interesting to note that oxygen atoms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could be observed in the TiN TE and BE. It is generally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known that the electrode with oxygen can work as an oxy-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 vacancy sink, which is known as the degradation due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electric-field cycling. Therefore, the TiN electrodes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also expected to work as oxygen vacancy sinks and are ex-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pected to show promising endurance properties, although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they are not oxide electrodes. </w:t>
      </w:r>
    </w:p>
    <w:p>
      <w:pPr>
        <w:autoSpaceDN w:val="0"/>
        <w:autoSpaceDE w:val="0"/>
        <w:widowControl/>
        <w:spacing w:line="245" w:lineRule="auto" w:before="6" w:after="0"/>
        <w:ind w:left="86" w:right="0" w:firstLine="31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Figure 3a and b shows the switching endurance proper-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ties of TiN/PMA and RuO/PMA, respectively. TiN/PMA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shows robust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cycles,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large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(&gt;15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when the switching field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2.5 MV/cm, which is much higher than the usual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field for the endurance test for PZT. Another notable fea-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ture from this endurance test was that the HZO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usually broke down after endurance failure,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usually not the case for PZT. The large coercive field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~1 MV/cm and the small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~10 nm might be the rea-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sons for such hard breakdown with the formation of a per-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manent leakage path through the films. The number of cy-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cles for the breakdown decreased with increasing 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field, and the number of electric cycles was ~10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7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~10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3 MV/cm and 3.5 MV/cm electric fields, respectively.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levels of endurance properties of HZO were as good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those of the Si-doped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films reported by Müller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et al. [20]. In the case of RuO/PMA, however, its endur-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ance was worse than that of TiN/PMA. Even for the case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electric cycling with an electric field of 2.5 MV/cm,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hard breakdown with significant leakage current degrada-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tion could be observed before the number of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cycles increases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7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 This degradation might have re-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sulted from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reduction and from the mixing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reduced Ru and the Pt TE, as already observed in Fig. 2b,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could enhance the roughening and the formation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local current paths. The endurance properties of 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 samples with other annealing conditions could not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tested because their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–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curves were overly imprinted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positive bias direction. As a result, TiN/PMA showed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best endurance among the samples. </w:t>
      </w:r>
    </w:p>
    <w:p>
      <w:pPr>
        <w:autoSpaceDN w:val="0"/>
        <w:autoSpaceDE w:val="0"/>
        <w:widowControl/>
        <w:spacing w:line="245" w:lineRule="auto" w:before="6" w:after="0"/>
        <w:ind w:left="86" w:right="0" w:firstLine="31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Next, the effect of the annealing temperature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the endurance properties were examined to opti-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mize the endurance properties of the TiN/PMA samples.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4a shows the endurance test results of the TiN/PMA </w:t>
      </w:r>
    </w:p>
    <w:p>
      <w:pPr>
        <w:autoSpaceDN w:val="0"/>
        <w:autoSpaceDE w:val="0"/>
        <w:widowControl/>
        <w:spacing w:line="168" w:lineRule="exact" w:before="380" w:after="0"/>
        <w:ind w:left="0" w:right="96" w:firstLine="0"/>
        <w:jc w:val="right"/>
      </w:pPr>
      <w:r>
        <w:rPr>
          <w:rFonts w:ascii="Frutiger" w:hAnsi="Frutiger" w:eastAsia="Frutiger"/>
          <w:b/>
          <w:i w:val="0"/>
          <w:color w:val="000000"/>
          <w:sz w:val="14"/>
        </w:rPr>
        <w:t>www.pss-rapid.com</w:t>
      </w:r>
    </w:p>
    <w:p>
      <w:pPr>
        <w:sectPr>
          <w:type w:val="nextColumn"/>
          <w:pgSz w:w="11900" w:h="16840"/>
          <w:pgMar w:top="210" w:right="996" w:bottom="620" w:left="1026" w:header="720" w:footer="720" w:gutter="0"/>
          <w:cols w:space="720" w:num="2" w:equalWidth="0">
            <w:col w:w="4934" w:space="0"/>
            <w:col w:w="4944" w:space="0"/>
            <w:col w:w="9878" w:space="0"/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110.0" w:type="dxa"/>
      </w:tblPr>
      <w:tblGrid>
        <w:gridCol w:w="9854"/>
      </w:tblGrid>
      <w:tr>
        <w:trPr>
          <w:trHeight w:hRule="exact" w:val="726"/>
        </w:trPr>
        <w:tc>
          <w:tcPr>
            <w:tcW w:type="dxa" w:w="1514"/>
            <w:tcBorders>
              <w:bottom w:sz="4.800000190734863" w:val="single" w:color="#FFFFFF"/>
            </w:tcBorders>
            <w:shd w:fill="d719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30" w:after="0"/>
              <w:ind w:left="0" w:right="0" w:firstLine="0"/>
              <w:jc w:val="center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21"/>
              </w:rPr>
              <w:t>Rapid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7"/>
        <w:gridCol w:w="4927"/>
      </w:tblGrid>
      <w:tr>
        <w:trPr>
          <w:trHeight w:hRule="exact" w:val="816"/>
        </w:trPr>
        <w:tc>
          <w:tcPr>
            <w:tcW w:type="dxa" w:w="55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92" w:after="0"/>
              <w:ind w:left="30" w:right="0" w:firstLine="0"/>
              <w:jc w:val="left"/>
            </w:pP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>Phys. Status Solidi RRL</w:t>
            </w:r>
            <w:r>
              <w:rPr>
                <w:rFonts w:ascii="Frutiger" w:hAnsi="Frutiger" w:eastAsia="Frutiger"/>
                <w:b/>
                <w:i w:val="0"/>
                <w:color w:val="000000"/>
                <w:sz w:val="17"/>
              </w:rPr>
              <w:t xml:space="preserve"> 8</w:t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, No. 6 (2014) </w:t>
            </w:r>
          </w:p>
        </w:tc>
        <w:tc>
          <w:tcPr>
            <w:tcW w:type="dxa" w:w="426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8" w:val="left"/>
              </w:tabs>
              <w:autoSpaceDE w:val="0"/>
              <w:widowControl/>
              <w:spacing w:line="398" w:lineRule="exact" w:before="0" w:after="0"/>
              <w:ind w:left="2554" w:right="0" w:firstLine="0"/>
              <w:jc w:val="left"/>
            </w:pPr>
            <w:r>
              <w:rPr>
                <w:rFonts w:ascii="Frutiger" w:hAnsi="Frutiger" w:eastAsia="Frutiger"/>
                <w:b/>
                <w:i w:val="0"/>
                <w:color w:val="FFFFFF"/>
                <w:sz w:val="21"/>
              </w:rPr>
              <w:t xml:space="preserve">Research Letter </w:t>
            </w:r>
            <w:r>
              <w:br/>
            </w:r>
            <w:r>
              <w:tab/>
            </w:r>
            <w:r>
              <w:rPr>
                <w:rFonts w:ascii="Frutiger" w:hAnsi="Frutiger" w:eastAsia="Frutiger"/>
                <w:b w:val="0"/>
                <w:i w:val="0"/>
                <w:color w:val="000000"/>
                <w:sz w:val="17"/>
              </w:rPr>
              <w:t xml:space="preserve">535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548"/>
        <w:ind w:left="0" w:right="0"/>
      </w:pPr>
    </w:p>
    <w:p>
      <w:pPr>
        <w:sectPr>
          <w:pgSz w:w="11900" w:h="16840"/>
          <w:pgMar w:top="0" w:right="976" w:bottom="620" w:left="1070" w:header="720" w:footer="720" w:gutter="0"/>
          <w:cols w:space="720" w:num="1" w:equalWidth="0">
            <w:col w:w="9854" w:space="0"/>
            <w:col w:w="4934" w:space="0"/>
            <w:col w:w="4944" w:space="0"/>
            <w:col w:w="9878" w:space="0"/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22600" cy="104520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45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2" w:lineRule="exact" w:before="84" w:after="0"/>
        <w:ind w:left="30" w:right="94" w:firstLine="0"/>
        <w:jc w:val="both"/>
      </w:pPr>
      <w:r>
        <w:rPr>
          <w:rFonts w:ascii="Frutiger" w:hAnsi="Frutiger" w:eastAsia="Frutiger"/>
          <w:b/>
          <w:i w:val="0"/>
          <w:color w:val="000000"/>
          <w:sz w:val="18"/>
        </w:rPr>
        <w:t>Figure 4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Endurance properties of (a) TiN/PMA with a 10 nm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film thickness and annealed at 400 °C, 500 °C, and 600 °C,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(b) TiN/PMA with 5.5 nm, 10 nm, and 17 nm film thicknesses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a 500 °C annealing temperature, respectively. </w:t>
      </w:r>
    </w:p>
    <w:p>
      <w:pPr>
        <w:autoSpaceDN w:val="0"/>
        <w:autoSpaceDE w:val="0"/>
        <w:widowControl/>
        <w:spacing w:line="245" w:lineRule="auto" w:before="192" w:after="0"/>
        <w:ind w:left="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samples with 10 nm thick HZO films whose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400 °C, 500 °C, and 600 °C, respectively. The physical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ferroelectric properties of the samples were reported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elsewhere [18]. With an electric field for cycling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MV/cm, the initial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sample annealed at 500 °C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the largest, whereas that of the sample annealed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400 °C was the smallest. It is believed that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affects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crystalline quality of the ferroelectric film, and that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400 °C is too low to produce a high-quality film with a 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density of defects. In addition, the interface between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film and the electrode could also be affected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Meanwhile, an increase in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result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formation of the partial monoclinic phase (m-phase),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also affect the ferroelectric properties and endurance.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Especially, a double-layered structure with an upper m-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phase and a lower ferroelectric orthorhombic phase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formed partly with the increasing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HZO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films [18]. The effect of the m-phase formation can be ob-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served more clearly in Fig. 4b. TiN/PMA, whose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17 nm,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contains more m-phase than the thinner films do,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consistent with the previous report [11]. The m-phase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work as a dead layer in ferroelectrics and would thus de-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grade both the ferroelectric properties [18] and the endur-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ance of the HZO capacitors. For the endurance, the problem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even worse because the loss of the switching 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across the m-phase with a low </w:t>
      </w:r>
      <w:r>
        <w:rPr>
          <w:rFonts w:ascii="Symbol" w:hAnsi="Symbol" w:eastAsia="Symbol"/>
          <w:b w:val="0"/>
          <w:i w:val="0"/>
          <w:color w:val="000000"/>
          <w:sz w:val="20"/>
        </w:rPr>
        <w:t>ε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must be more severe,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an even higher voltage is necessary to induce sufficient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electrical switching. The concentred electric field across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low-</w:t>
      </w:r>
      <w:r>
        <w:rPr>
          <w:rFonts w:ascii="Symbol" w:hAnsi="Symbol" w:eastAsia="Symbol"/>
          <w:b w:val="0"/>
          <w:i w:val="0"/>
          <w:color w:val="000000"/>
          <w:sz w:val="20"/>
        </w:rPr>
        <w:t>ε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region can more easily result in a hard breakdown.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seen in Fig. 4b, the TiN/PMA sample, whose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17 nm,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broken down at an electric cycling of only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6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times,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whereas the samples whose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were 10 nm and 5.5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showed robust ferroelectric characteristics up to ~10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8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~10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cycles, respectively. Even though the 5.5 nm thick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TiN/PMA could switch to a cycle number more than 10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one, its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much smaller than that of the 10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one. This might have been due to the increase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portion of nonferroelectric tetragonal phase or the increase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low-</w:t>
      </w:r>
      <w:r>
        <w:rPr>
          <w:rFonts w:ascii="Symbol" w:hAnsi="Symbol" w:eastAsia="Symbol"/>
          <w:b w:val="0"/>
          <w:i w:val="0"/>
          <w:color w:val="000000"/>
          <w:sz w:val="20"/>
        </w:rPr>
        <w:t>ε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interfacial layer. Therefore, the ~10 nm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found to be the best for the optimum ferroelectric prop-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erties and endurance. </w:t>
      </w:r>
    </w:p>
    <w:p>
      <w:pPr>
        <w:autoSpaceDN w:val="0"/>
        <w:autoSpaceDE w:val="0"/>
        <w:widowControl/>
        <w:spacing w:line="232" w:lineRule="exact" w:before="192" w:after="0"/>
        <w:ind w:left="30" w:right="88" w:firstLine="312"/>
        <w:jc w:val="both"/>
      </w:pPr>
      <w:r>
        <w:rPr>
          <w:rFonts w:ascii="Frutiger" w:hAnsi="Frutiger" w:eastAsia="Frutiger"/>
          <w:b/>
          <w:i w:val="0"/>
          <w:color w:val="000000"/>
          <w:sz w:val="20"/>
        </w:rPr>
        <w:t>4 Conclusions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conclusion, unlike the conventional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ferroelectrics, such as Pb(Zr,Ti)O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a noble-metal BE,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electrode could not improve the ferroelectric </w:t>
      </w:r>
    </w:p>
    <w:p>
      <w:pPr>
        <w:autoSpaceDN w:val="0"/>
        <w:autoSpaceDE w:val="0"/>
        <w:widowControl/>
        <w:spacing w:line="168" w:lineRule="exact" w:before="372" w:after="0"/>
        <w:ind w:left="30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14"/>
        </w:rPr>
        <w:t>www.pss-rapid.com</w:t>
      </w:r>
    </w:p>
    <w:p>
      <w:pPr>
        <w:sectPr>
          <w:type w:val="continuous"/>
          <w:pgSz w:w="11900" w:h="16840"/>
          <w:pgMar w:top="0" w:right="976" w:bottom="620" w:left="1070" w:header="720" w:footer="720" w:gutter="0"/>
          <w:cols w:space="720" w:num="2" w:equalWidth="0">
            <w:col w:w="4932" w:space="0"/>
            <w:col w:w="4922" w:space="0"/>
            <w:col w:w="9854" w:space="0"/>
            <w:col w:w="4934" w:space="0"/>
            <w:col w:w="4944" w:space="0"/>
            <w:col w:w="9878" w:space="0"/>
            <w:col w:w="4956" w:space="0"/>
            <w:col w:w="4898" w:space="0"/>
            <w:col w:w="9854" w:space="0"/>
            <w:col w:w="4901" w:space="0"/>
            <w:col w:w="4922" w:space="0"/>
            <w:col w:w="9824" w:space="0"/>
            <w:col w:w="6540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and endurance of the HZO capacitors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TiN BE. The reason for this was the reduction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RuO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 by the chemical reaction with the reactive TiN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BE. However, this does not mean that an oxide electrode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cannot work with HZO film, and it is still expected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improve the endurance HZO capacitors, if there is no fab-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rication issue. TiN appears to be the best and only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that is known to work well with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films, and as such, it seems unlikely that TiN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will be replaced with another electrode material. Mean-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while, the TiN electrode contained a significant amount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oxygen atoms, which may decrease the oxygen vacancy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concentration in the HZO layer during the repeated switch-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ing, which in turn can improve the endurance of the ferro-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capacitors. The TiN/PMA sample showed robust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properties even after electric cycling for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9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times with a switching field of 2.5 MV/cm. The effect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also examined. With a 3 MV/cm 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for cycling, the 500 °C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anneal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showed the best endur-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ance, which can be ascribed to the minimized m-phase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formation and the improved crystalline quality of the HZO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film. </w:t>
      </w:r>
    </w:p>
    <w:p>
      <w:pPr>
        <w:autoSpaceDN w:val="0"/>
        <w:autoSpaceDE w:val="0"/>
        <w:widowControl/>
        <w:spacing w:line="210" w:lineRule="exact" w:before="196" w:after="0"/>
        <w:ind w:left="88" w:right="0" w:firstLine="312"/>
        <w:jc w:val="left"/>
      </w:pPr>
      <w:r>
        <w:rPr>
          <w:rFonts w:ascii="Frutiger" w:hAnsi="Frutiger" w:eastAsia="Frutiger"/>
          <w:b/>
          <w:i w:val="0"/>
          <w:color w:val="000000"/>
          <w:sz w:val="18"/>
        </w:rPr>
        <w:t>Acknowledgements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This work was supported by the Con-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verging Research Center Program (2013K000158) and the Global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Research Laboratory Program (2012040157) through the Minis-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try of Science, ICT, and Future Planning, Republic of Korea. </w:t>
      </w:r>
    </w:p>
    <w:p>
      <w:pPr>
        <w:autoSpaceDN w:val="0"/>
        <w:autoSpaceDE w:val="0"/>
        <w:widowControl/>
        <w:spacing w:line="238" w:lineRule="exact" w:before="238" w:after="0"/>
        <w:ind w:left="400" w:right="0" w:firstLine="0"/>
        <w:jc w:val="left"/>
      </w:pPr>
      <w:r>
        <w:rPr>
          <w:rFonts w:ascii="Frutiger" w:hAnsi="Frutiger" w:eastAsia="Frutiger"/>
          <w:b/>
          <w:i w:val="0"/>
          <w:color w:val="000000"/>
          <w:sz w:val="20"/>
        </w:rPr>
        <w:t xml:space="preserve">References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8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[1] T. M. Shaw, S. Trolier-McKinstry, and P. C. McIntyre, Annu.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Rev. Mater. Sci.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30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263 (2000). </w:t>
      </w:r>
    </w:p>
    <w:p>
      <w:pPr>
        <w:autoSpaceDN w:val="0"/>
        <w:autoSpaceDE w:val="0"/>
        <w:widowControl/>
        <w:spacing w:line="230" w:lineRule="auto" w:before="12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[2] C. B. Eom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63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2570 (1993).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[3] J. F. Scott and M. Dawber,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76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3801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(2000).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[4] I. K. Yoo and S. B. Desu, Phys. Status Solidi 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133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565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(1992).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[5] J. J. Lee, C. L. Thio, and S. B. Desu, J. Appl. Phys.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78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5073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(1995). </w:t>
      </w:r>
    </w:p>
    <w:p>
      <w:pPr>
        <w:autoSpaceDN w:val="0"/>
        <w:autoSpaceDE w:val="0"/>
        <w:widowControl/>
        <w:spacing w:line="230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[6] J. Müller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99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102903 (2011).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[7] M. H. Park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102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112914 (2013).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[8] H.-Y. Chen and F.-H. Lu, J. Vac. Sci. Technol. 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23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1006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(2005). </w:t>
      </w:r>
    </w:p>
    <w:p>
      <w:pPr>
        <w:autoSpaceDN w:val="0"/>
        <w:autoSpaceDE w:val="0"/>
        <w:widowControl/>
        <w:spacing w:line="230" w:lineRule="auto" w:before="14" w:after="0"/>
        <w:ind w:left="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[9] S. W. Lee et al., Coord. Chem. Rev.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257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3154 (2013).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[10] E. H. P. Cordfunke and R. J. M. Konings, Thermochim.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Acta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129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63 (1988).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2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[11] M. W. Chase, Jr., J. Phys. Chem. Ref. Data, Monograph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(1998).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2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[12] D.-H. Kwon et al., Nature Nanotechnol.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148 (2010).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[13] H. K. Kim et al., ACS Appl. Mater. Interf.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1327–1332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2013. </w:t>
      </w:r>
    </w:p>
    <w:p>
      <w:pPr>
        <w:autoSpaceDN w:val="0"/>
        <w:autoSpaceDE w:val="0"/>
        <w:widowControl/>
        <w:spacing w:line="230" w:lineRule="auto" w:before="14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[14] C. H. Hong et al., Integr. Ferroelectr.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18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 (1997).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2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[15] J. Lee, A. Safari, and R. L. Pfeffer,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61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1643 (1992). </w:t>
      </w:r>
    </w:p>
    <w:p>
      <w:pPr>
        <w:autoSpaceDN w:val="0"/>
        <w:autoSpaceDE w:val="0"/>
        <w:widowControl/>
        <w:spacing w:line="230" w:lineRule="auto" w:before="14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[16] J. Lee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66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1337 (1995). </w:t>
      </w:r>
    </w:p>
    <w:p>
      <w:pPr>
        <w:autoSpaceDN w:val="0"/>
        <w:autoSpaceDE w:val="0"/>
        <w:widowControl/>
        <w:spacing w:line="230" w:lineRule="auto" w:before="14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[17] J. Lee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72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3380 (1998). </w:t>
      </w:r>
    </w:p>
    <w:p>
      <w:pPr>
        <w:autoSpaceDN w:val="0"/>
        <w:autoSpaceDE w:val="0"/>
        <w:widowControl/>
        <w:spacing w:line="245" w:lineRule="auto" w:before="12" w:after="0"/>
        <w:ind w:left="88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[18] M. H. Park et al., Appl. Phys. Lett.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102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242905 (2013).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[19] S. K. Kim et al., Adv. Mater.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20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1429 (2008).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4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[20] S. Müller et al., IEEE Trans. Device Mater. Res.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13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93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(2013). </w:t>
      </w:r>
    </w:p>
    <w:p>
      <w:pPr>
        <w:autoSpaceDN w:val="0"/>
        <w:autoSpaceDE w:val="0"/>
        <w:widowControl/>
        <w:spacing w:line="142" w:lineRule="exact" w:before="374" w:after="0"/>
        <w:ind w:left="0" w:right="70" w:firstLine="0"/>
        <w:jc w:val="right"/>
      </w:pPr>
      <w:r>
        <w:rPr>
          <w:rFonts w:ascii="Frutiger" w:hAnsi="Frutiger" w:eastAsia="Frutiger"/>
          <w:b w:val="0"/>
          <w:i w:val="0"/>
          <w:color w:val="000000"/>
          <w:sz w:val="12"/>
        </w:rPr>
        <w:t>© 2014 WILEY-VCH Verlag GmbH &amp; Co. KGaA, Weinheim</w:t>
      </w:r>
    </w:p>
    <w:sectPr w:rsidR="00FC693F" w:rsidRPr="0006063C" w:rsidSect="00034616">
      <w:type w:val="nextColumn"/>
      <w:pgSz w:w="11900" w:h="16840"/>
      <w:pgMar w:top="0" w:right="976" w:bottom="620" w:left="1070" w:header="720" w:footer="720" w:gutter="0"/>
      <w:cols w:space="720" w:num="2" w:equalWidth="0">
        <w:col w:w="4932" w:space="0"/>
        <w:col w:w="4922" w:space="0"/>
        <w:col w:w="9854" w:space="0"/>
        <w:col w:w="4934" w:space="0"/>
        <w:col w:w="4944" w:space="0"/>
        <w:col w:w="9878" w:space="0"/>
        <w:col w:w="4956" w:space="0"/>
        <w:col w:w="4898" w:space="0"/>
        <w:col w:w="9854" w:space="0"/>
        <w:col w:w="4901" w:space="0"/>
        <w:col w:w="4922" w:space="0"/>
        <w:col w:w="9824" w:space="0"/>
        <w:col w:w="6540" w:space="0"/>
        <w:col w:w="32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