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32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40"/>
        </w:rPr>
        <w:t xml:space="preserve">First Direct Measurement of Sub-Nanosecond Polarization </w:t>
      </w:r>
      <w:r>
        <w:rPr>
          <w:rFonts w:ascii="TimesNewRoman" w:hAnsi="TimesNewRoman" w:eastAsia="TimesNewRoman"/>
          <w:b w:val="0"/>
          <w:i w:val="0"/>
          <w:color w:val="000000"/>
          <w:sz w:val="40"/>
        </w:rPr>
        <w:t xml:space="preserve">Switching in Ferroelectric Hafnium Zirconium Oxide </w:t>
      </w:r>
    </w:p>
    <w:p>
      <w:pPr>
        <w:autoSpaceDN w:val="0"/>
        <w:autoSpaceDE w:val="0"/>
        <w:widowControl/>
        <w:spacing w:line="245" w:lineRule="auto" w:before="322" w:after="0"/>
        <w:ind w:left="432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>X. Lyu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M. Si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P. R. Shrestha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, K. P. Cheung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 and P. D. Ye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1,*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School of Electrical and Computer Engineering, Purdue University, West Lafayette, USA, *email: </w:t>
      </w:r>
      <w:r>
        <w:rPr>
          <w:rFonts w:ascii="TimesNewRoman" w:hAnsi="TimesNewRoman" w:eastAsia="TimesNewRoman"/>
          <w:b w:val="0"/>
          <w:i w:val="0"/>
          <w:color w:val="0000FF"/>
          <w:sz w:val="20"/>
          <w:u w:val="single"/>
        </w:rPr>
        <w:t xml:space="preserve">yep@purdue.edu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Institute of Standards and Technology, Gaithersburg, USA </w:t>
      </w:r>
    </w:p>
    <w:p>
      <w:pPr>
        <w:autoSpaceDN w:val="0"/>
        <w:tabs>
          <w:tab w:pos="5364" w:val="left"/>
        </w:tabs>
        <w:autoSpaceDE w:val="0"/>
        <w:widowControl/>
        <w:spacing w:line="245" w:lineRule="auto" w:before="238" w:after="10"/>
        <w:ind w:left="140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0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—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work, we report on an ultrafast direct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 dependence and film thickness dependence are also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on the transient ferroelectric polarization switching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systematically studied. </w:t>
      </w:r>
    </w:p>
    <w:p>
      <w:pPr>
        <w:sectPr>
          <w:pgSz w:w="12240" w:h="15840"/>
          <w:pgMar w:top="544" w:right="610" w:bottom="15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0" w:right="9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hafnium zirconium oxide with a crossbar metal-insulator-metal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(MIM) structure. A record low sub-nanosecond characteristic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time of 925 ps was achieved, supported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nucleation limited switching model. The impact of electric field,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film thickness and device area on the polarization switching speed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systematically studied. </w:t>
      </w:r>
    </w:p>
    <w:p>
      <w:pPr>
        <w:sectPr>
          <w:type w:val="continuous"/>
          <w:pgSz w:w="12240" w:h="15840"/>
          <w:pgMar w:top="54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2326" w:val="left"/>
        </w:tabs>
        <w:autoSpaceDE w:val="0"/>
        <w:widowControl/>
        <w:spacing w:line="233" w:lineRule="auto" w:before="0" w:after="0"/>
        <w:ind w:left="190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II.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E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XPERIMENTS</w:t>
      </w:r>
    </w:p>
    <w:p>
      <w:pPr>
        <w:autoSpaceDN w:val="0"/>
        <w:autoSpaceDE w:val="0"/>
        <w:widowControl/>
        <w:spacing w:line="245" w:lineRule="auto" w:before="80" w:after="10"/>
        <w:ind w:left="100" w:right="36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photo image of the fabricated W/HZO/W crossbar MIM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 is shown in Fig. 1. W is used for both top and bottom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electrodes. Ti/Au pad is used on top of bottom W electrode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prevent HZO thin film formation during the atomic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deposition (ALD) process and also reduce the probe contact </w:t>
      </w:r>
    </w:p>
    <w:p>
      <w:pPr>
        <w:sectPr>
          <w:type w:val="nextColumn"/>
          <w:pgSz w:w="12240" w:h="15840"/>
          <w:pgMar w:top="54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583"/>
        <w:gridCol w:w="3583"/>
        <w:gridCol w:w="3583"/>
      </w:tblGrid>
      <w:tr>
        <w:trPr>
          <w:trHeight w:hRule="exact" w:val="21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4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I.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I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NTRODUCTION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resistance. An insulating sapphire substrate is employed to reduce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0"/>
        <w:ind w:left="0" w:right="0"/>
      </w:pPr>
    </w:p>
    <w:p>
      <w:pPr>
        <w:sectPr>
          <w:type w:val="continuous"/>
          <w:pgSz w:w="12240" w:h="15840"/>
          <w:pgMar w:top="544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0" w:right="98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Due to the fast speed [1-7], high retention/endurance [8, 9]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CMOS compatible process, ferroelectric (FE) hafnium oxide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such as hafnium zirconium oxide (HZO) [10],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promising material for various ferroelectric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 such as ferroelectric memory (FeRAM),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field-effect transistors (Fe-FETs) [1,2,4] and negative-capacitance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FETs (NC-FETs) [11-13]. In all these devices,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speed is a critical factor, which directly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determines the working speed of the device. The reported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polarization switching times in literatures broadly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scatter from few ns to μs [1-7]. Recently, it was studied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RC time constant in the measurement system can be one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key problems to under-estimate the intrinsic fast switch speed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hafnium oxide, leading to a broad distribution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time [7]. By excluding the impact of RC,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ns full polarization switching or few ns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switching time (t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were achieved [7]. The fast, scalable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dimension and non-volatile properties enable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Fe-FET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a strong energy-efficient candidate for non-volatile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 and even for the faster volatile memories [14].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to replace volatile memories like dynamic 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(DRAM) or even static RAM (SRAM), sub-ns or GHz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operational speed is required and has not been demonstrated in FE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system directly. </w:t>
      </w:r>
    </w:p>
    <w:p>
      <w:pPr>
        <w:autoSpaceDN w:val="0"/>
        <w:autoSpaceDE w:val="0"/>
        <w:widowControl/>
        <w:spacing w:line="245" w:lineRule="auto" w:before="6" w:after="0"/>
        <w:ind w:left="140" w:right="10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work, the transient ferroelectric polarization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dynamics in HZO is directly measured by an ultrafast pulse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setup. A record low characteristic switching time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down to 925 ps is achieved for the first time in sub-ns range,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extracted by a nucleation limited switching (NLS) model [15].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W/HZO/W crossbar capacitor structure and fabrication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are developed to scale down the device area to few μm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RC time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constants are carefully measured by both capacitance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resistance measurements directly. It is demonstrated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area has a significant impact on polarization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 not because of the RC time constant but due to the intrinsic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area dependence. The intrinsic area dependence is ascribed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multi-grain polycrystalline nature of the FE HZO thin film. The </w:t>
      </w:r>
    </w:p>
    <w:p>
      <w:pPr>
        <w:sectPr>
          <w:type w:val="continuous"/>
          <w:pgSz w:w="12240" w:h="15840"/>
          <w:pgMar w:top="54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parasitic effects and signal reflection. The device fabrication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is described in Fig. 2(a). The starting point is an insulating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sapphire substrate. W sputtering followed by CF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/Ar dry etch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 to pattern the bottom W electrodes. Ti/Au contact pads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then defined by photo lithography, e-beam evaporation and a lift-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 process. HZO (Hf:Zr=1:1) was deposited by ALD at 200 °C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using TDMAHf ([(CH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N]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Hf), TDMAZr ([(CH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N]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Zr)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 as Hf, Zr and O precursors. The top W electrodes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defined by sputtering and a lift-off process. A 500 °C rapid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thermal annealing was then performed in N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60 s. Fig. 2(b)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2(c) shows the cross-sectional schematic of fabricated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TEM image on FE HZO. Fig. 3 shows the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versus electric field (P-E) hysteresis loop of a crossbar MIM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with 8 nm HZO, showing well-behaved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properties. Fig. 4 shows the capacitance-voltage (C-V)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of a crossbar MIM capacitor with 15 nm HZO,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 typical butterfly-shape ferroelectric hysteresis. Fig. 5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circuit diagram of the ultrafast pulse measurement setup. A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 pulse generator along with high speed and high power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amplifier (leading to maximum of ~9 V and 300 ps rise time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work) and a 80 GS/s oscilloscope were used to generate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pulses and monitor the transient switching current.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Impedance matched probes and pick-off tee were used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minimize the signal reflections. A positive-up-negative-down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(PUND) pulse sequence was applied to directly measure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current [7, 16], as shown in Fig. 6,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highlighting the preset pulse, switching pulse and non-switching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pulse, as also pointed out in Fig. 3. Fig. 7 shows the resistances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corresponding RC time constant versus different areas,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among which the smallest RC constant is below 200 ps. The RC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 constants are calculated using experimentally measured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resistances and capacitances. </w:t>
      </w:r>
    </w:p>
    <w:p>
      <w:pPr>
        <w:autoSpaceDN w:val="0"/>
        <w:autoSpaceDE w:val="0"/>
        <w:widowControl/>
        <w:spacing w:line="235" w:lineRule="auto" w:before="134" w:after="0"/>
        <w:ind w:left="0" w:right="152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III.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ESULTS AND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D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5" w:lineRule="auto" w:before="80" w:after="1086"/>
        <w:ind w:left="100" w:right="36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voltage pulses with 300 ps rise-time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corresponding transient current responses are shown in Fig. 8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both switching (pulse 1) and non-switching (pulse 2) pulses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PUND measurement. The current response to switching pulse </w:t>
      </w:r>
    </w:p>
    <w:p>
      <w:pPr>
        <w:sectPr>
          <w:type w:val="nextColumn"/>
          <w:pgSz w:w="12240" w:h="15840"/>
          <w:pgMar w:top="544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1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978-1-7281-4032-2/19/$31.00 ©2019 IEEE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15.2.1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IEDM19-342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44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sectPr>
          <w:pgSz w:w="12240" w:h="15840"/>
          <w:pgMar w:top="624" w:right="950" w:bottom="158" w:left="63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"/>
        <w:ind w:left="288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pulse1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is wider compared to the current response to non-switc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hing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pulse (I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pulse2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due to the extra polarization switching current.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Fig.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plots the transient current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pulse1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pulse2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the same time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scale. The net polarization switching current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calculated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=I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pulse1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pulse2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transient polarization charge density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calculated by the integration of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(P = ∫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dt), as shown in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10. A nucleation limited switching model was applied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multi-grain polycrystalline HZO to extract the characteristic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time constant. In NLS model for a single grain element,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polarization switching dynamics follow the equation as 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 =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5330"/>
        <w:gridCol w:w="5330"/>
      </w:tblGrid>
      <w:tr>
        <w:trPr>
          <w:trHeight w:hRule="exact" w:val="45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4" w:val="left"/>
              </w:tabs>
              <w:autoSpaceDE w:val="0"/>
              <w:widowControl/>
              <w:spacing w:line="324" w:lineRule="auto" w:before="2" w:after="0"/>
              <w:ind w:left="1522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tab/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355" w:lineRule="auto" w:before="0" w:after="0"/>
              <w:ind w:left="200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(1 − exp (−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where β is an exponential parameter and </w:t>
            </w:r>
          </w:p>
        </w:tc>
      </w:tr>
      <w:tr>
        <w:trPr>
          <w:trHeight w:hRule="exact" w:val="276"/>
        </w:trPr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voltage-dependent characteristic switching time [5,15]. β=2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is used in this work due to 2-dimentional nature of thin film. Sub-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ns polarization switching was achieved in 15 nm HZO at 9 V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a device area of 8.4 μm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where the extracted characteristic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time is 925 ps, as shown in Fig. 10. </w:t>
      </w:r>
    </w:p>
    <w:p>
      <w:pPr>
        <w:autoSpaceDN w:val="0"/>
        <w:autoSpaceDE w:val="0"/>
        <w:widowControl/>
        <w:spacing w:line="245" w:lineRule="auto" w:before="10" w:after="0"/>
        <w:ind w:left="390" w:right="98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transient FE switching currents for 15 nm HZO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different areas (Voltage=9 V, E=0.6 V/nm) are plotted in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11 and the corresponding transient polarization charge densities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shown in Fig. 12. There is a clear area-dependent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 as indicated in Fig. 13. The RC time constants for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devices (as shown in Fig. 7) are about 5 times smaller than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switching times, suggesting the measured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 is not limited by the RC effect. Therefore,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has an intrinsic area dependence.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understood that the polarization switching process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polycrystalline FE thin film is a sequential switching process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each elemental grain, according to the nucleation limited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model, as shown in Fig. 14. At scaled device size,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grain number is significantly reduced so that the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speed is improved. </w:t>
      </w:r>
    </w:p>
    <w:p>
      <w:pPr>
        <w:autoSpaceDN w:val="0"/>
        <w:autoSpaceDE w:val="0"/>
        <w:widowControl/>
        <w:spacing w:line="245" w:lineRule="auto" w:before="8" w:after="0"/>
        <w:ind w:left="39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Measurements of 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10 nm HZO capacitors under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fields are shown in Fig. 15, showing a clear electric field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dependence. The corresponding transient polarization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densities are shown in Fig. 16. Fig. 17 shows the extracted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switching time versus electric field for 10 nm HZO,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showing faster polarization switching under higher electric field.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18 and Fig. 19 show the thickness-dependent transient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current and transient polarization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density. The HZO capacitors of each thickness are measured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maximum voltage allowed. The corresponding extracted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time constants versus HZO thickness is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20, from which the trend of thickness dependence is clear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thicker films are faster. Fig. 21 is a summary of the thickness-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dependent remnant polarization (P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). </w:t>
      </w:r>
    </w:p>
    <w:p>
      <w:pPr>
        <w:autoSpaceDN w:val="0"/>
        <w:autoSpaceDE w:val="0"/>
        <w:widowControl/>
        <w:spacing w:line="245" w:lineRule="auto" w:before="6" w:after="0"/>
        <w:ind w:left="390" w:right="98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ferroelectric polarization switching time of the FE HZO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crossbar capacitor is benchmarked with the reported fastest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switching times on FE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literatures, as shown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Table. I. The experimental devices have different structures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including capacitor structure (MIM) and FeFET structure,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different FE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different electrode materials including W, WN,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TiN and Ni, different thicknesses from 8 nm to 15 nm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applied voltage so that under different electric fields.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22 shows the switching time versus electric field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benchmark Table I. In this work, a sub-ns (925 ps) record low full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time is achieved for the first time. </w:t>
      </w: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170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IV.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5" w:lineRule="auto" w:before="82" w:after="0"/>
        <w:ind w:left="10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summary, we report on a record low sub-ns characteristic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time of 925 ps on FE HZO, by a direct ultrafast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of transient polarization switching current.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impact of electric field, film thickness and device area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speed is systematically studied.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switching speed is significantly improved compared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previous reports and more importantly is approaching GHz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regime, suggesting FE HZO to be a promising and competitive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high-speed non-volatile memory technology and has the potential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even to replace the DRAM and SRAM for high-density, high-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speed, and both on-chip and off-chip memories. </w:t>
      </w:r>
    </w:p>
    <w:p>
      <w:pPr>
        <w:autoSpaceDN w:val="0"/>
        <w:autoSpaceDE w:val="0"/>
        <w:widowControl/>
        <w:spacing w:line="230" w:lineRule="auto" w:before="17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88" w:after="0"/>
        <w:ind w:left="100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authors gratefully acknowledge valuable discussions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J. P. Campbell and S. Salahuddin, technical support from X.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Sun and H. Wang on TEM imaging, and the funding support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DARPA/SRC JUMP ASCENT Center. </w:t>
      </w:r>
    </w:p>
    <w:p>
      <w:pPr>
        <w:autoSpaceDN w:val="0"/>
        <w:autoSpaceDE w:val="0"/>
        <w:widowControl/>
        <w:spacing w:line="230" w:lineRule="auto" w:before="170" w:after="44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23" w:type="dxa"/>
      </w:tblPr>
      <w:tblGrid>
        <w:gridCol w:w="5330"/>
        <w:gridCol w:w="5330"/>
      </w:tblGrid>
      <w:tr>
        <w:trPr>
          <w:trHeight w:hRule="exact" w:val="40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[1] 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W. Chung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 “First Direct Experimental Studies of 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Ferroelectric Polarization Switching Down to 100-picosecond in Sub-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4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60mV/dec Germanium Ferroelectric Nanowire FETs,”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Symposium 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VLSI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T89-T90, 2018.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4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Yurchuk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“Impact of Scaling on the Performance of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Field Effect Transistors,”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Trans. Electron Devices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vol.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61, pp. 3699-3706, 2014.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4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[3]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H. K. Yoo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“Engineering of Ferroelectric Switching Speed in Si Doped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for High-Speed 1T-FERAM Application,”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International Electron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Devices Meeting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pp. 481-484, 2017.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4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[4]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Dunkel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“A FeFET based super-low-power ultra-fast embedded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NVM technology for 22nm FDSOI and beyond,”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International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Electron Devices Meeting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485-488, 2017. </w:t>
      </w:r>
    </w:p>
    <w:p>
      <w:pPr>
        <w:autoSpaceDN w:val="0"/>
        <w:tabs>
          <w:tab w:pos="460" w:val="left"/>
          <w:tab w:pos="462" w:val="left"/>
        </w:tabs>
        <w:autoSpaceDE w:val="0"/>
        <w:widowControl/>
        <w:spacing w:line="245" w:lineRule="auto" w:before="4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[5]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C. Alessandri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“Switching Dynamics of Ferroelectric Zr-Doped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,”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Electron Device Lett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vol. 39, pp. 1780-1783, 2018.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6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X. Lyu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“Ferroelectric and Anti-Ferroelectric Hafnium Zirconium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Oxide: Scaling Limit, Switching Speed and Record High Polarization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Density,”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Symposium on VLSI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pp. T89-T90, 2019.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6" w:after="4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[7]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M. Si et al., “Ultrafast Measurements of Polarization Switching Dynamics 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and Anti-Ferroelectric Hafnium Zirconium Oxide,”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Appl. Phys.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(under review), 2019.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23" w:type="dxa"/>
      </w:tblPr>
      <w:tblGrid>
        <w:gridCol w:w="5330"/>
        <w:gridCol w:w="5330"/>
      </w:tblGrid>
      <w:tr>
        <w:trPr>
          <w:trHeight w:hRule="exact" w:val="36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[8] 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N. Gong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 “Why is FE–HfO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more suitable than PZT or SBT for scaled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nonvolatile 1-T memory cell? A retention perspective,”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IEEE Electron </w:t>
            </w:r>
          </w:p>
        </w:tc>
      </w:tr>
    </w:tbl>
    <w:p>
      <w:pPr>
        <w:autoSpaceDN w:val="0"/>
        <w:autoSpaceDE w:val="0"/>
        <w:widowControl/>
        <w:spacing w:line="230" w:lineRule="auto" w:before="4" w:after="2"/>
        <w:ind w:left="4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Device Lett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37, pp. 1123-1126, 2016.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23" w:type="dxa"/>
      </w:tblPr>
      <w:tblGrid>
        <w:gridCol w:w="5330"/>
        <w:gridCol w:w="5330"/>
      </w:tblGrid>
      <w:tr>
        <w:trPr>
          <w:trHeight w:hRule="exact" w:val="36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[9] 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K. Ni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 “Critical role of interlayer in 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ferroelectric FET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nonvolatile memory performance,”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IEEE Trans. Electron Devices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65,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4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 2461-2469, 2018.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6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[10] J. Muller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“Ferroelectricity in Simple Binary ZrO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and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Nano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vol. 12, pp.4318-4323, 2012. </w:t>
      </w:r>
    </w:p>
    <w:p>
      <w:pPr>
        <w:autoSpaceDN w:val="0"/>
        <w:autoSpaceDE w:val="0"/>
        <w:widowControl/>
        <w:spacing w:line="245" w:lineRule="auto" w:before="8" w:after="0"/>
        <w:ind w:left="460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[11] S. Salahuddin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“Use of negative capacitance to provide voltage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amplification for low power nanoscale devices,”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Nano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vol. 8, pp. 405-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410, 2008.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6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[12]  M. Si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“Steep-slope hysteresis-free negative capacitance MoS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transistors,”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Nat. Nanotechnol.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13, pp. 24-28, 2018. </w:t>
      </w:r>
    </w:p>
    <w:p>
      <w:pPr>
        <w:autoSpaceDN w:val="0"/>
        <w:autoSpaceDE w:val="0"/>
        <w:widowControl/>
        <w:spacing w:line="245" w:lineRule="auto" w:before="4" w:after="0"/>
        <w:ind w:left="460" w:right="3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[13] M. A. Alam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“A critical review of recent progress on negative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capacitance field-effect transistors”,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Appl. Phys.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114, p. 090401,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2019. </w:t>
      </w:r>
    </w:p>
    <w:p>
      <w:pPr>
        <w:autoSpaceDN w:val="0"/>
        <w:autoSpaceDE w:val="0"/>
        <w:widowControl/>
        <w:spacing w:line="245" w:lineRule="auto" w:before="4" w:after="0"/>
        <w:ind w:left="460" w:right="3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[14] K.-H. Kim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“Ferroelectric DRAM (FEDRAM) FET with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metal/SrBi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/SiN/Si gate structure”,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Electron Device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23,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 82-84, 2002. 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4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[15] J. Y. Jo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“Domain switching kinetics in disordered ferroelectric thin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films,”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Phys. Rev. Lett.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99, p. 267602, 2007. </w:t>
      </w:r>
    </w:p>
    <w:p>
      <w:pPr>
        <w:autoSpaceDN w:val="0"/>
        <w:autoSpaceDE w:val="0"/>
        <w:widowControl/>
        <w:spacing w:line="245" w:lineRule="auto" w:before="4" w:after="1102"/>
        <w:ind w:left="460" w:right="3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[16] A. Grigoriev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“Ultrafast electrical measurements of polarization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dynamics in ferroelectric thin-film capacitors,”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Rev. Sci. Instrum.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vol. 80, 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124704, 2011. </w:t>
      </w:r>
    </w:p>
    <w:p>
      <w:pPr>
        <w:sectPr>
          <w:type w:val="nextColumn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5264" w:val="left"/>
        </w:tabs>
        <w:autoSpaceDE w:val="0"/>
        <w:widowControl/>
        <w:spacing w:line="20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IEDM19-343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15.2.2</w:t>
      </w: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1" w:equalWidth="0"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</w:tblGrid>
      <w:tr>
        <w:trPr>
          <w:trHeight w:hRule="exact" w:val="358"/>
        </w:trPr>
        <w:tc>
          <w:tcPr>
            <w:tcW w:type="dxa" w:w="4028"/>
            <w:gridSpan w:val="1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19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19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6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72310" cy="16116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611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32" w:after="0"/>
              <w:ind w:left="0" w:right="0" w:firstLine="0"/>
              <w:jc w:val="lef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P </w:t>
            </w:r>
            <w:r>
              <w:rPr>
                <w:w w:val="97.92237962995257"/>
                <w:rFonts w:ascii="Arial" w:hAnsi="Arial" w:eastAsia="Arial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101.5170602237477"/>
                <w:rFonts w:ascii="Symbol" w:hAnsi="Symbol" w:eastAsia="Symbol"/>
                <w:b w:val="0"/>
                <w:i w:val="0"/>
                <w:color w:val="000000"/>
                <w:sz w:val="17"/>
              </w:rPr>
              <w:t>μ</w:t>
            </w: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C/cm</w:t>
            </w:r>
            <w:r>
              <w:rPr>
                <w:w w:val="97.58999347686768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97.92237962995257"/>
                <w:rFonts w:ascii="Arial" w:hAnsi="Arial" w:eastAsia="Aria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30</w:t>
            </w:r>
          </w:p>
        </w:tc>
        <w:tc>
          <w:tcPr>
            <w:tcW w:type="dxa" w:w="2854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74" w:right="0" w:firstLine="0"/>
              <w:jc w:val="left"/>
            </w:pPr>
            <w:r>
              <w:rPr>
                <w:w w:val="98.78937005996704"/>
                <w:rFonts w:ascii="Arial,Bold" w:hAnsi="Arial,Bold" w:eastAsia="Arial,Bold"/>
                <w:b/>
                <w:i w:val="0"/>
                <w:color w:val="0000FF"/>
                <w:sz w:val="16"/>
              </w:rPr>
              <w:t>Non-Switching</w:t>
            </w:r>
          </w:p>
        </w:tc>
      </w:tr>
      <w:tr>
        <w:trPr>
          <w:trHeight w:hRule="exact" w:val="8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854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4" w:right="0" w:firstLine="0"/>
              <w:jc w:val="left"/>
            </w:pPr>
            <w:r>
              <w:rPr>
                <w:w w:val="98.78937005996704"/>
                <w:rFonts w:ascii="Arial,Bold" w:hAnsi="Arial,Bold" w:eastAsia="Arial,Bold"/>
                <w:b/>
                <w:i w:val="0"/>
                <w:color w:val="0000FF"/>
                <w:sz w:val="16"/>
              </w:rPr>
              <w:t>Pulse</w:t>
            </w:r>
          </w:p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20</w:t>
            </w:r>
          </w:p>
        </w:tc>
        <w:tc>
          <w:tcPr>
            <w:tcW w:type="dxa" w:w="3402"/>
            <w:gridSpan w:val="1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10</w:t>
            </w:r>
          </w:p>
        </w:tc>
        <w:tc>
          <w:tcPr>
            <w:tcW w:type="dxa" w:w="3402"/>
            <w:gridSpan w:val="1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402"/>
            <w:gridSpan w:val="1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-10</w:t>
            </w:r>
          </w:p>
        </w:tc>
        <w:tc>
          <w:tcPr>
            <w:tcW w:type="dxa" w:w="3402"/>
            <w:gridSpan w:val="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3666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88" w:right="0" w:firstLine="0"/>
              <w:jc w:val="lef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-20</w:t>
            </w:r>
          </w:p>
        </w:tc>
      </w:tr>
      <w:tr>
        <w:trPr>
          <w:trHeight w:hRule="exact" w:val="32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124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-30</w:t>
            </w:r>
          </w:p>
        </w:tc>
        <w:tc>
          <w:tcPr>
            <w:tcW w:type="dxa" w:w="241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468" w:right="0" w:firstLine="0"/>
              <w:jc w:val="left"/>
            </w:pPr>
            <w:r>
              <w:rPr>
                <w:w w:val="98.78937005996704"/>
                <w:rFonts w:ascii="Arial,Bold" w:hAnsi="Arial,Bold" w:eastAsia="Arial,Bold"/>
                <w:b/>
                <w:i w:val="0"/>
                <w:color w:val="000000"/>
                <w:sz w:val="16"/>
              </w:rPr>
              <w:t>Pre-Set State</w:t>
            </w:r>
          </w:p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108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8" w:firstLine="0"/>
              <w:jc w:val="righ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-0.4</w:t>
            </w:r>
          </w:p>
        </w:tc>
        <w:tc>
          <w:tcPr>
            <w:tcW w:type="dxa" w:w="6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-0.2</w:t>
            </w:r>
          </w:p>
        </w:tc>
        <w:tc>
          <w:tcPr>
            <w:tcW w:type="dxa" w:w="57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0.0</w:t>
            </w:r>
          </w:p>
        </w:tc>
        <w:tc>
          <w:tcPr>
            <w:tcW w:type="dxa" w:w="7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0.2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0.4</w:t>
            </w:r>
          </w:p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3666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836" w:firstLine="0"/>
              <w:jc w:val="right"/>
            </w:pPr>
            <w:r>
              <w:rPr>
                <w:w w:val="101.5170602237477"/>
                <w:rFonts w:ascii="Arial,Bold" w:hAnsi="Arial,Bold" w:eastAsia="Arial,Bold"/>
                <w:b/>
                <w:i w:val="0"/>
                <w:color w:val="000000"/>
                <w:sz w:val="17"/>
              </w:rPr>
              <w:t>Electric Field (V/nm)</w:t>
            </w:r>
          </w:p>
        </w:tc>
      </w:tr>
      <w:tr>
        <w:trPr>
          <w:trHeight w:hRule="exact" w:val="200"/>
        </w:trPr>
        <w:tc>
          <w:tcPr>
            <w:tcW w:type="dxa" w:w="4028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1. Photo image of a W/HZO/W crossbar </w:t>
            </w:r>
          </w:p>
        </w:tc>
        <w:tc>
          <w:tcPr>
            <w:tcW w:type="dxa" w:w="328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2. (a) Device fabrication process flow. </w:t>
            </w:r>
          </w:p>
        </w:tc>
        <w:tc>
          <w:tcPr>
            <w:tcW w:type="dxa" w:w="3666"/>
            <w:gridSpan w:val="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3. P-E characteristics of a representative </w:t>
            </w:r>
          </w:p>
        </w:tc>
      </w:tr>
      <w:tr>
        <w:trPr>
          <w:trHeight w:hRule="exact" w:val="179"/>
        </w:trPr>
        <w:tc>
          <w:tcPr>
            <w:tcW w:type="dxa" w:w="4028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capacitor. An insulator sapphire substrate is used to </w:t>
            </w:r>
          </w:p>
        </w:tc>
        <w:tc>
          <w:tcPr>
            <w:tcW w:type="dxa" w:w="3286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(b) Cross-sectional schematic diagram and </w:t>
            </w:r>
          </w:p>
        </w:tc>
        <w:tc>
          <w:tcPr>
            <w:tcW w:type="dxa" w:w="4536"/>
            <w:gridSpan w:val="24"/>
            <w:vMerge/>
            <w:tcBorders/>
          </w:tcPr>
          <w:p/>
        </w:tc>
      </w:tr>
      <w:tr>
        <w:trPr>
          <w:trHeight w:hRule="exact" w:val="41"/>
        </w:trPr>
        <w:tc>
          <w:tcPr>
            <w:tcW w:type="dxa" w:w="4028"/>
            <w:gridSpan w:val="1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minimize parasitic capacitance and signal reflection. </w:t>
            </w:r>
          </w:p>
        </w:tc>
        <w:tc>
          <w:tcPr>
            <w:tcW w:type="dxa" w:w="3024"/>
            <w:gridSpan w:val="16"/>
            <w:vMerge/>
            <w:tcBorders/>
          </w:tcPr>
          <w:p/>
        </w:tc>
        <w:tc>
          <w:tcPr>
            <w:tcW w:type="dxa" w:w="3666"/>
            <w:gridSpan w:val="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capacitor with 8 nm HZO. </w:t>
            </w:r>
          </w:p>
        </w:tc>
      </w:tr>
      <w:tr>
        <w:trPr>
          <w:trHeight w:hRule="exact" w:val="260"/>
        </w:trPr>
        <w:tc>
          <w:tcPr>
            <w:tcW w:type="dxa" w:w="3591"/>
            <w:gridSpan w:val="19"/>
            <w:vMerge/>
            <w:tcBorders/>
          </w:tcPr>
          <w:p/>
        </w:tc>
        <w:tc>
          <w:tcPr>
            <w:tcW w:type="dxa" w:w="328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(c) TEM image of FE HZO. </w:t>
            </w:r>
          </w:p>
        </w:tc>
        <w:tc>
          <w:tcPr>
            <w:tcW w:type="dxa" w:w="4536"/>
            <w:gridSpan w:val="2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68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Capacitance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μ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F/cm</w:t>
            </w:r>
            <w:r>
              <w:rPr>
                <w:w w:val="102.73478031158447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1.8</w:t>
            </w:r>
          </w:p>
        </w:tc>
        <w:tc>
          <w:tcPr>
            <w:tcW w:type="dxa" w:w="2154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0" w:after="0"/>
              <w:ind w:left="116" w:right="0" w:firstLine="0"/>
              <w:jc w:val="left"/>
            </w:pPr>
            <w:r>
              <w:rPr>
                <w:w w:val="101.87665224075317"/>
                <w:rFonts w:ascii="Arial,Bold" w:hAnsi="Arial,Bold" w:eastAsia="Arial,Bold"/>
                <w:b/>
                <w:i w:val="0"/>
                <w:color w:val="000000"/>
                <w:sz w:val="16"/>
              </w:rPr>
              <w:t>15 nm HZO</w:t>
            </w:r>
          </w:p>
        </w:tc>
        <w:tc>
          <w:tcPr>
            <w:tcW w:type="dxa" w:w="74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90" w:after="0"/>
              <w:ind w:left="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1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0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Pick-off Tee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101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50 Ω</w:t>
            </w:r>
          </w:p>
        </w:tc>
        <w:tc>
          <w:tcPr>
            <w:tcW w:type="dxa" w:w="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1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FF"/>
                <w:sz w:val="16"/>
              </w:rPr>
              <w:t>DUT</w:t>
            </w:r>
          </w:p>
        </w:tc>
        <w:tc>
          <w:tcPr>
            <w:tcW w:type="dxa" w:w="103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8" w:after="0"/>
              <w:ind w:left="2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50 Ω</w:t>
            </w:r>
          </w:p>
        </w:tc>
        <w:tc>
          <w:tcPr>
            <w:tcW w:type="dxa" w:w="1428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198" w:firstLine="0"/>
              <w:jc w:val="righ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Voltage</w:t>
            </w:r>
          </w:p>
        </w:tc>
        <w:tc>
          <w:tcPr>
            <w:tcW w:type="dxa" w:w="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10 ns</w:t>
            </w:r>
          </w:p>
        </w:tc>
        <w:tc>
          <w:tcPr>
            <w:tcW w:type="dxa" w:w="10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4" w:right="0" w:firstLine="0"/>
              <w:jc w:val="lef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10 ns</w:t>
            </w:r>
          </w:p>
        </w:tc>
      </w:tr>
      <w:tr>
        <w:trPr>
          <w:trHeight w:hRule="exact" w:val="144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0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11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5.3 Ω</w:t>
            </w:r>
          </w:p>
        </w:tc>
        <w:tc>
          <w:tcPr>
            <w:tcW w:type="dxa" w:w="5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5.3 Ω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2457"/>
            <w:gridSpan w:val="13"/>
            <w:vMerge/>
            <w:tcBorders/>
          </w:tcPr>
          <w:p/>
        </w:tc>
        <w:tc>
          <w:tcPr>
            <w:tcW w:type="dxa" w:w="1134"/>
            <w:gridSpan w:val="6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945"/>
            <w:gridSpan w:val="5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288"/>
            <w:gridSpan w:val="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4" w:right="0" w:firstLine="0"/>
              <w:jc w:val="lef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FF0000"/>
                <w:sz w:val="17"/>
              </w:rPr>
              <w:t>Switching</w:t>
            </w:r>
          </w:p>
        </w:tc>
      </w:tr>
      <w:tr>
        <w:trPr>
          <w:trHeight w:hRule="exact" w:val="322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1.7</w:t>
            </w:r>
          </w:p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945"/>
            <w:gridSpan w:val="5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4158"/>
            <w:gridSpan w:val="22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1.6</w:t>
            </w:r>
          </w:p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183 Ω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Probe</w:t>
            </w:r>
          </w:p>
        </w:tc>
        <w:tc>
          <w:tcPr>
            <w:tcW w:type="dxa" w:w="103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4"/>
              </w:rPr>
              <w:t>Oscilloscope</w:t>
            </w:r>
          </w:p>
        </w:tc>
        <w:tc>
          <w:tcPr>
            <w:tcW w:type="dxa" w:w="60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0 V</w:t>
            </w:r>
          </w:p>
        </w:tc>
        <w:tc>
          <w:tcPr>
            <w:tcW w:type="dxa" w:w="8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64" w:right="0" w:firstLine="0"/>
              <w:jc w:val="lef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Pre-Set</w:t>
            </w:r>
          </w:p>
        </w:tc>
        <w:tc>
          <w:tcPr>
            <w:tcW w:type="dxa" w:w="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0" w:after="0"/>
              <w:ind w:left="80" w:right="0" w:firstLine="0"/>
              <w:jc w:val="lef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FF0000"/>
                <w:sz w:val="17"/>
              </w:rPr>
              <w:t>Pulse 1</w:t>
            </w:r>
          </w:p>
        </w:tc>
        <w:tc>
          <w:tcPr>
            <w:tcW w:type="dxa" w:w="10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44" w:right="0" w:firstLine="0"/>
              <w:jc w:val="lef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FF"/>
                <w:sz w:val="17"/>
              </w:rPr>
              <w:t>Pulse 2</w:t>
            </w:r>
          </w:p>
        </w:tc>
      </w:tr>
      <w:tr>
        <w:trPr>
          <w:trHeight w:hRule="exact" w:val="134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1.5</w:t>
            </w:r>
          </w:p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1134"/>
            <w:gridSpan w:val="6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1134"/>
            <w:gridSpan w:val="6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67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High-speed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1134"/>
            <w:gridSpan w:val="6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1134"/>
            <w:gridSpan w:val="6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288"/>
            <w:gridSpan w:val="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50" w:firstLine="0"/>
              <w:jc w:val="righ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FF"/>
                <w:sz w:val="17"/>
              </w:rPr>
              <w:t>Non-Switching</w:t>
            </w:r>
          </w:p>
        </w:tc>
      </w:tr>
      <w:tr>
        <w:trPr>
          <w:trHeight w:hRule="exact" w:val="168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1.4</w:t>
            </w:r>
          </w:p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6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High-power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03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3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50 Ω</w:t>
            </w:r>
          </w:p>
        </w:tc>
        <w:tc>
          <w:tcPr>
            <w:tcW w:type="dxa" w:w="4158"/>
            <w:gridSpan w:val="2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4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Amplifier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4158"/>
            <w:gridSpan w:val="2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15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w w:val="102.42791175842285"/>
                <w:rFonts w:ascii="Arial,Bold" w:hAnsi="Arial,Bold" w:eastAsia="Arial,Bold"/>
                <w:b/>
                <w:i w:val="0"/>
                <w:color w:val="000000"/>
                <w:sz w:val="16"/>
              </w:rPr>
              <w:t>Freq=1 kHz</w:t>
            </w:r>
          </w:p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288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376" w:firstLine="0"/>
              <w:jc w:val="right"/>
            </w:pPr>
            <w:r>
              <w:rPr>
                <w:w w:val="98.61941618077896"/>
                <w:rFonts w:ascii="Arial,Bold" w:hAnsi="Arial,Bold" w:eastAsia="Arial,Bold"/>
                <w:b/>
                <w:i w:val="0"/>
                <w:color w:val="000000"/>
                <w:sz w:val="17"/>
              </w:rPr>
              <w:t>Time</w:t>
            </w:r>
          </w:p>
        </w:tc>
      </w:tr>
      <w:tr>
        <w:trPr>
          <w:trHeight w:hRule="exact" w:val="142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-0.4</w:t>
            </w:r>
          </w:p>
        </w:tc>
        <w:tc>
          <w:tcPr>
            <w:tcW w:type="dxa" w:w="5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-0.2</w:t>
            </w:r>
          </w:p>
        </w:tc>
        <w:tc>
          <w:tcPr>
            <w:tcW w:type="dxa" w:w="5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0.0</w:t>
            </w:r>
          </w:p>
        </w:tc>
        <w:tc>
          <w:tcPr>
            <w:tcW w:type="dxa" w:w="57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1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Pulse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288"/>
            <w:gridSpan w:val="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6. PUND pulse sequence for </w:t>
            </w:r>
          </w:p>
        </w:tc>
      </w:tr>
      <w:tr>
        <w:trPr>
          <w:trHeight w:hRule="exact" w:val="158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8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Generator</w:t>
            </w:r>
          </w:p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4158"/>
            <w:gridSpan w:val="2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2154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35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Electric Field (V/nm)</w:t>
            </w:r>
          </w:p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4158"/>
            <w:gridSpan w:val="2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1890"/>
            <w:gridSpan w:val="10"/>
            <w:vMerge/>
            <w:tcBorders/>
          </w:tcPr>
          <w:p/>
        </w:tc>
        <w:tc>
          <w:tcPr>
            <w:tcW w:type="dxa" w:w="756"/>
            <w:gridSpan w:val="4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378"/>
            <w:gridSpan w:val="2"/>
            <w:vMerge/>
            <w:tcBorders/>
          </w:tcPr>
          <w:p/>
        </w:tc>
        <w:tc>
          <w:tcPr>
            <w:tcW w:type="dxa" w:w="567"/>
            <w:gridSpan w:val="3"/>
            <w:vMerge/>
            <w:tcBorders/>
          </w:tcPr>
          <w:p/>
        </w:tc>
        <w:tc>
          <w:tcPr>
            <w:tcW w:type="dxa" w:w="1323"/>
            <w:gridSpan w:val="7"/>
            <w:vMerge/>
            <w:tcBorders/>
          </w:tcPr>
          <w:p/>
        </w:tc>
        <w:tc>
          <w:tcPr>
            <w:tcW w:type="dxa" w:w="87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transient </w:t>
            </w:r>
          </w:p>
        </w:tc>
        <w:tc>
          <w:tcPr>
            <w:tcW w:type="dxa" w:w="120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ferroelectric </w:t>
            </w:r>
          </w:p>
        </w:tc>
        <w:tc>
          <w:tcPr>
            <w:tcW w:type="dxa" w:w="121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polarization </w:t>
            </w:r>
          </w:p>
        </w:tc>
      </w:tr>
      <w:tr>
        <w:trPr>
          <w:trHeight w:hRule="exact" w:val="240"/>
        </w:trPr>
        <w:tc>
          <w:tcPr>
            <w:tcW w:type="dxa" w:w="3462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4. C-V characteristics of a representative </w:t>
            </w:r>
          </w:p>
        </w:tc>
        <w:tc>
          <w:tcPr>
            <w:tcW w:type="dxa" w:w="4116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5. Circuit diagram of the ultrafast pulse </w:t>
            </w:r>
          </w:p>
        </w:tc>
        <w:tc>
          <w:tcPr>
            <w:tcW w:type="dxa" w:w="3402"/>
            <w:gridSpan w:val="2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switching measurement. </w:t>
            </w:r>
          </w:p>
        </w:tc>
      </w:tr>
      <w:tr>
        <w:trPr>
          <w:trHeight w:hRule="exact" w:val="286"/>
        </w:trPr>
        <w:tc>
          <w:tcPr>
            <w:tcW w:type="dxa" w:w="3462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capacitor with 15 nm HZO. </w:t>
            </w:r>
          </w:p>
        </w:tc>
        <w:tc>
          <w:tcPr>
            <w:tcW w:type="dxa" w:w="4116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measurement setup with a pulse rise time of ~300 ps.</w:t>
            </w:r>
          </w:p>
        </w:tc>
        <w:tc>
          <w:tcPr>
            <w:tcW w:type="dxa" w:w="4347"/>
            <w:gridSpan w:val="23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382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0" w:right="450" w:firstLine="0"/>
              <w:jc w:val="right"/>
            </w:pPr>
            <w:r>
              <w:rPr>
                <w:w w:val="98.45640519086052"/>
                <w:rFonts w:ascii="Arial,Bold" w:hAnsi="Arial,Bold" w:eastAsia="Arial,Bold"/>
                <w:b/>
                <w:i w:val="0"/>
                <w:color w:val="FF0000"/>
                <w:sz w:val="17"/>
              </w:rPr>
              <w:t>Resistance (k</w:t>
            </w:r>
            <w:r>
              <w:rPr>
                <w:w w:val="98.45640519086052"/>
                <w:rFonts w:ascii="Symbol" w:hAnsi="Symbol" w:eastAsia="Symbol"/>
                <w:b w:val="0"/>
                <w:i w:val="0"/>
                <w:color w:val="FF0000"/>
                <w:sz w:val="17"/>
              </w:rPr>
              <w:t>Ω</w:t>
            </w:r>
            <w:r>
              <w:rPr>
                <w:w w:val="98.45640519086052"/>
                <w:rFonts w:ascii="Arial,Bold" w:hAnsi="Arial,Bold" w:eastAsia="Arial,Bold"/>
                <w:b/>
                <w:i w:val="0"/>
                <w:color w:val="FF0000"/>
                <w:sz w:val="17"/>
              </w:rPr>
              <w:t>)</w:t>
            </w:r>
          </w:p>
        </w:tc>
        <w:tc>
          <w:tcPr>
            <w:tcW w:type="dxa" w:w="2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98.45640519086052"/>
                <w:rFonts w:ascii="Arial,Bold" w:hAnsi="Arial,Bold" w:eastAsia="Arial,Bold"/>
                <w:b/>
                <w:i w:val="0"/>
                <w:color w:val="FF0000"/>
                <w:sz w:val="17"/>
              </w:rPr>
              <w:t>1.0</w:t>
            </w:r>
          </w:p>
        </w:tc>
        <w:tc>
          <w:tcPr>
            <w:tcW w:type="dxa" w:w="2436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  <w:gridCol w:w="174"/>
            </w:tblGrid>
            <w:tr>
              <w:trPr>
                <w:trHeight w:hRule="exact" w:val="143"/>
              </w:trPr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  <w:tc>
                <w:tcPr>
                  <w:tcW w:type="dxa" w:w="174"/>
                  <w:tcBorders>
                    <w:top w:sz="10.800000190734863" w:val="single" w:color="#000000"/>
                    <w:end w:sz="10.800000190734863" w:val="single" w:color="#0000FF"/>
                    <w:bottom w:sz="10.800000190734863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2268"/>
            <w:gridSpan w:val="12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  <w:vMerge/>
            <w:tcBorders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  <w:tr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  <w:tc>
          <w:tcPr>
            <w:tcW w:type="dxa" w:w="189"/>
          </w:tcPr>
          <w:p/>
        </w:tc>
      </w:tr>
    </w:tbl>
    <w:p>
      <w:pPr>
        <w:sectPr>
          <w:pgSz w:w="12240" w:h="15840"/>
          <w:pgMar w:top="580" w:right="400" w:bottom="158" w:left="712" w:header="720" w:footer="720" w:gutter="0"/>
          <w:cols w:space="720" w:num="1" w:equalWidth="0">
            <w:col w:w="11128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rPr>
          <w:trHeight w:hRule="exact" w:val="294"/>
        </w:trPr>
        <w:tc>
          <w:tcPr>
            <w:tcW w:type="dxa" w:w="72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55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Switching Time (ns)</w:t>
            </w:r>
          </w:p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06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  <w:gridCol w:w="191"/>
            </w:tblGrid>
            <w:tr>
              <w:trPr>
                <w:trHeight w:hRule="exact" w:val="69"/>
              </w:trPr>
              <w:tc>
                <w:tcPr>
                  <w:tcW w:type="dxa" w:w="504"/>
                  <w:gridSpan w:val="16"/>
                  <w:vMerge w:val="restart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138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>E=0.6 V/nm</w:t>
                  </w:r>
                </w:p>
              </w:tc>
            </w:tr>
            <w:tr>
              <w:trPr>
                <w:trHeight w:hRule="exact" w:val="54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44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60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72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76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84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92"/>
              </w:trPr>
              <w:tc>
                <w:tcPr>
                  <w:tcW w:type="dxa" w:w="3056"/>
                  <w:gridSpan w:val="16"/>
                  <w:vMerge/>
                  <w:tcBorders>
                    <w:start w:sz="12.079999923706055" w:val="single" w:color="#000000"/>
                    <w:end w:sz="12.079999923706055" w:val="single" w:color="#000000"/>
                  </w:tcBorders>
                </w:tcPr>
                <w:p/>
              </w:tc>
            </w:tr>
            <w:tr>
              <w:trPr>
                <w:trHeight w:hRule="exact" w:val="88"/>
              </w:trPr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bottom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50"/>
                  <w:tcBorders>
                    <w:start w:sz="12.079999923706055" w:val="single" w:color="#000000"/>
                    <w:end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>
                    <w:start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top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"/>
                  <w:tcBorders>
                    <w:end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4"/>
                  <w:tcBorders>
                    <w:end w:sz="12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50"/>
                  <w:vMerge w:val="restart"/>
                  <w:tcBorders>
                    <w:start w:sz="12.079999923706055" w:val="single" w:color="#000000"/>
                    <w:end w:sz="29.600000381469727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>
                    <w:start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"/>
                  <w:tcBorders>
                    <w:end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3"/>
              </w:trPr>
              <w:tc>
                <w:tcPr>
                  <w:tcW w:type="dxa" w:w="191"/>
                  <w:vMerge/>
                  <w:tcBorders>
                    <w:start w:sz="12.079999923706055" w:val="single" w:color="#000000"/>
                    <w:end w:sz="29.600000381469727" w:val="single" w:color="#FF0000"/>
                  </w:tcBorders>
                </w:tcPr>
                <w:p/>
              </w:tc>
              <w:tc>
                <w:tcPr>
                  <w:tcW w:type="dxa" w:w="62"/>
                  <w:tcBorders>
                    <w:start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"/>
                  <w:tcBorders>
                    <w:end w:sz="29.600000381469727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1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6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Time</w:t>
            </w:r>
          </w:p>
        </w:tc>
        <w:tc>
          <w:tcPr>
            <w:tcW w:type="dxa" w:w="222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Fully Switched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50" w:after="0"/>
              <w:ind w:left="0" w:right="476" w:firstLine="0"/>
              <w:jc w:val="righ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>I</w:t>
            </w:r>
            <w:r>
              <w:rPr>
                <w:w w:val="98.98082415262857"/>
                <w:rFonts w:ascii="Arial,Bold" w:hAnsi="Arial,Bold" w:eastAsia="Arial,Bold"/>
                <w:b/>
                <w:i w:val="0"/>
                <w:color w:val="000000"/>
                <w:sz w:val="12"/>
              </w:rPr>
              <w:t>FE</w:t>
            </w: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(</w:t>
            </w:r>
            <w:r>
              <w:rPr>
                <w:w w:val="102.52411786247701"/>
                <w:rFonts w:ascii="Symbol" w:hAnsi="Symbol" w:eastAsia="Symbol"/>
                <w:b w:val="0"/>
                <w:i w:val="0"/>
                <w:color w:val="000000"/>
                <w:sz w:val="17"/>
              </w:rPr>
              <w:t>×</w:t>
            </w: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>10</w:t>
            </w:r>
            <w:r>
              <w:rPr>
                <w:w w:val="98.98082415262857"/>
                <w:rFonts w:ascii="Arial,Bold" w:hAnsi="Arial,Bold" w:eastAsia="Arial,Bold"/>
                <w:b/>
                <w:i w:val="0"/>
                <w:color w:val="000000"/>
                <w:sz w:val="12"/>
              </w:rPr>
              <w:t>4</w:t>
            </w: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>A/cm</w:t>
            </w:r>
            <w:r>
              <w:rPr>
                <w:w w:val="98.98082415262857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1.6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56" w:after="0"/>
              <w:ind w:left="0" w:right="0" w:firstLine="0"/>
              <w:jc w:val="center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1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52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Voltage</w:t>
            </w:r>
          </w:p>
        </w:tc>
        <w:tc>
          <w:tcPr>
            <w:tcW w:type="dxa" w:w="1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72" w:right="576" w:firstLine="0"/>
              <w:jc w:val="lef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8.5 V</w:t>
            </w:r>
            <w:r>
              <w:br/>
            </w: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7.4 V</w:t>
            </w:r>
          </w:p>
        </w:tc>
      </w:tr>
      <w:tr>
        <w:trPr>
          <w:trHeight w:hRule="exact" w:val="5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22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0" cy="1219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1.4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1335"/>
            <w:gridSpan w:val="5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1335"/>
            <w:gridSpan w:val="5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692" w:firstLine="0"/>
              <w:jc w:val="righ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6.4 V</w:t>
            </w:r>
          </w:p>
        </w:tc>
      </w:tr>
      <w:tr>
        <w:trPr>
          <w:trHeight w:hRule="exact" w:val="173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1.2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63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692" w:firstLine="0"/>
              <w:jc w:val="righ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6.0 V</w:t>
            </w:r>
          </w:p>
        </w:tc>
      </w:tr>
      <w:tr>
        <w:trPr>
          <w:trHeight w:hRule="exact" w:val="16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1.0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692" w:firstLine="0"/>
              <w:jc w:val="righ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5.2 V</w:t>
            </w:r>
          </w:p>
        </w:tc>
      </w:tr>
      <w:tr>
        <w:trPr>
          <w:trHeight w:hRule="exact" w:val="12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0.8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692" w:firstLine="0"/>
              <w:jc w:val="right"/>
            </w:pPr>
            <w:r>
              <w:rPr>
                <w:w w:val="102.52411786247701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 4.5 V</w:t>
            </w:r>
          </w:p>
        </w:tc>
      </w:tr>
      <w:tr>
        <w:trPr>
          <w:trHeight w:hRule="exact" w:val="10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656" w:firstLine="0"/>
              <w:jc w:val="righ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10 nm HZO</w:t>
            </w:r>
          </w:p>
        </w:tc>
      </w:tr>
      <w:tr>
        <w:trPr>
          <w:trHeight w:hRule="exact" w:val="116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516" w:firstLine="0"/>
              <w:jc w:val="righ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Area=18 </w:t>
            </w:r>
            <w:r>
              <w:rPr>
                <w:w w:val="102.13277604844835"/>
                <w:rFonts w:ascii="Symbol" w:hAnsi="Symbol" w:eastAsia="Symbol"/>
                <w:b w:val="0"/>
                <w:i w:val="0"/>
                <w:color w:val="000000"/>
                <w:sz w:val="18"/>
              </w:rPr>
              <w:t>μ</w:t>
            </w: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m</w:t>
            </w:r>
            <w:r>
              <w:rPr>
                <w:w w:val="103.95665963490804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2136"/>
            <w:gridSpan w:val="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3471"/>
            <w:gridSpan w:val="13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</w:tabs>
              <w:autoSpaceDE w:val="0"/>
              <w:widowControl/>
              <w:spacing w:line="245" w:lineRule="auto" w:before="28" w:after="0"/>
              <w:ind w:left="46" w:right="288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67"/>
            <w:vMerge/>
            <w:tcBorders/>
          </w:tcPr>
          <w:p/>
        </w:tc>
        <w:tc>
          <w:tcPr>
            <w:tcW w:type="dxa" w:w="71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224" w:firstLine="0"/>
              <w:jc w:val="righ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56" w:firstLine="0"/>
              <w:jc w:val="righ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830" w:firstLine="0"/>
              <w:jc w:val="righ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8</w:t>
            </w:r>
          </w:p>
        </w:tc>
      </w:tr>
      <w:tr>
        <w:trPr>
          <w:trHeight w:hRule="exact" w:val="168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67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0" w:right="14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10</w:t>
            </w:r>
            <w:r>
              <w:rPr>
                <w:w w:val="102.4424950281779"/>
                <w:rFonts w:ascii="Arial,Bold" w:hAnsi="Arial,Bold" w:eastAsia="Arial,Bold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15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Area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μ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m</w:t>
            </w:r>
            <w:r>
              <w:rPr>
                <w:w w:val="102.4424950281779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23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11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10</w:t>
            </w:r>
            <w:r>
              <w:rPr>
                <w:w w:val="102.4424950281779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22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2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Initial State</w:t>
            </w:r>
          </w:p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1335"/>
            <w:gridSpan w:val="5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1602"/>
            <w:gridSpan w:val="6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0" w:right="0" w:firstLine="0"/>
              <w:jc w:val="left"/>
            </w:pPr>
            <w:r>
              <w:rPr>
                <w:w w:val="102.13277604844835"/>
                <w:rFonts w:ascii="Arial,Bold" w:hAnsi="Arial,Bold" w:eastAsia="Arial,Bold"/>
                <w:b/>
                <w:i w:val="0"/>
                <w:color w:val="000000"/>
                <w:sz w:val="18"/>
              </w:rPr>
              <w:t>Time (ns)</w:t>
            </w:r>
          </w:p>
        </w:tc>
      </w:tr>
      <w:tr>
        <w:trPr>
          <w:trHeight w:hRule="exact" w:val="220"/>
        </w:trPr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</w:t>
            </w:r>
          </w:p>
        </w:tc>
        <w:tc>
          <w:tcPr>
            <w:tcW w:type="dxa" w:w="44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13. </w:t>
            </w:r>
          </w:p>
        </w:tc>
        <w:tc>
          <w:tcPr>
            <w:tcW w:type="dxa" w:w="138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Area-dependent </w:t>
            </w:r>
          </w:p>
        </w:tc>
        <w:tc>
          <w:tcPr>
            <w:tcW w:type="dxa" w:w="118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characteristic </w:t>
            </w:r>
          </w:p>
        </w:tc>
        <w:tc>
          <w:tcPr>
            <w:tcW w:type="dxa" w:w="313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14. Illustration of the impact of </w:t>
            </w:r>
          </w:p>
        </w:tc>
        <w:tc>
          <w:tcPr>
            <w:tcW w:type="dxa" w:w="40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15. Transient polarization switching current </w:t>
            </w:r>
          </w:p>
        </w:tc>
      </w:tr>
      <w:tr>
        <w:trPr>
          <w:trHeight w:hRule="exact" w:val="220"/>
        </w:trPr>
        <w:tc>
          <w:tcPr>
            <w:tcW w:type="dxa" w:w="323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switching time in 15 nm HZO. </w:t>
            </w:r>
          </w:p>
        </w:tc>
        <w:tc>
          <w:tcPr>
            <w:tcW w:type="dxa" w:w="36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polycrystalline multi-grains on the FE </w:t>
            </w:r>
          </w:p>
        </w:tc>
        <w:tc>
          <w:tcPr>
            <w:tcW w:type="dxa" w:w="40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10 nm HZO capacitors under different electric </w:t>
            </w:r>
          </w:p>
        </w:tc>
      </w:tr>
      <w:tr>
        <w:trPr>
          <w:trHeight w:hRule="exact" w:val="260"/>
        </w:trPr>
        <w:tc>
          <w:tcPr>
            <w:tcW w:type="dxa" w:w="6870"/>
            <w:gridSpan w:val="2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7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polarization switching process.</w:t>
            </w:r>
          </w:p>
        </w:tc>
        <w:tc>
          <w:tcPr>
            <w:tcW w:type="dxa" w:w="402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fields. </w:t>
            </w:r>
          </w:p>
        </w:tc>
      </w:tr>
      <w:tr>
        <w:trPr>
          <w:trHeight w:hRule="exact" w:val="262"/>
        </w:trPr>
        <w:tc>
          <w:tcPr>
            <w:tcW w:type="dxa" w:w="72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8" w:after="0"/>
              <w:ind w:left="0" w:right="0" w:firstLine="0"/>
              <w:jc w:val="center"/>
            </w:pPr>
            <w:r>
              <w:rPr>
                <w:w w:val="101.4052895938649"/>
                <w:rFonts w:ascii="Arial,Bold" w:hAnsi="Arial,Bold" w:eastAsia="Arial,Bold"/>
                <w:b/>
                <w:i w:val="0"/>
                <w:color w:val="000000"/>
                <w:sz w:val="17"/>
              </w:rPr>
              <w:t>Polarization (</w:t>
            </w:r>
            <w:r>
              <w:rPr>
                <w:w w:val="101.4052895938649"/>
                <w:rFonts w:ascii="Symbol" w:hAnsi="Symbol" w:eastAsia="Symbol"/>
                <w:b w:val="0"/>
                <w:i w:val="0"/>
                <w:color w:val="000000"/>
                <w:sz w:val="17"/>
              </w:rPr>
              <w:t>μ</w:t>
            </w:r>
            <w:r>
              <w:rPr>
                <w:w w:val="101.4052895938649"/>
                <w:rFonts w:ascii="Arial,Bold" w:hAnsi="Arial,Bold" w:eastAsia="Arial,Bold"/>
                <w:b/>
                <w:i w:val="0"/>
                <w:color w:val="000000"/>
                <w:sz w:val="17"/>
              </w:rPr>
              <w:t>C/cm</w:t>
            </w:r>
            <w:r>
              <w:rPr>
                <w:w w:val="97.71499633789062"/>
                <w:rFonts w:ascii="Arial,Bold" w:hAnsi="Arial,Bold" w:eastAsia="Arial,Bold"/>
                <w:b/>
                <w:i w:val="0"/>
                <w:color w:val="000000"/>
                <w:sz w:val="12"/>
              </w:rPr>
              <w:t>2</w:t>
            </w:r>
            <w:r>
              <w:rPr>
                <w:w w:val="101.4052895938649"/>
                <w:rFonts w:ascii="Arial,Bold" w:hAnsi="Arial,Bold" w:eastAsia="Arial,Bold"/>
                <w:b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w w:val="101.4052895938649"/>
                <w:rFonts w:ascii="Arial,Bold" w:hAnsi="Arial,Bold" w:eastAsia="Arial,Bold"/>
                <w:b/>
                <w:i w:val="0"/>
                <w:color w:val="000000"/>
                <w:sz w:val="17"/>
              </w:rPr>
              <w:t>30</w:t>
            </w:r>
          </w:p>
        </w:tc>
        <w:tc>
          <w:tcPr>
            <w:tcW w:type="dxa" w:w="87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122" w:firstLine="0"/>
              <w:jc w:val="right"/>
            </w:pPr>
            <w:r>
              <w:rPr>
                <w:w w:val="102.60932922363281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 8.5 V</w:t>
            </w:r>
          </w:p>
        </w:tc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8" w:after="0"/>
              <w:ind w:left="0" w:right="8" w:firstLine="0"/>
              <w:jc w:val="right"/>
            </w:pPr>
            <w:r>
              <w:rPr>
                <w:w w:val="101.4052895938649"/>
                <w:rFonts w:ascii="Arial,Bold" w:hAnsi="Arial,Bold" w:eastAsia="Arial,Bold"/>
                <w:b/>
                <w:i w:val="0"/>
                <w:color w:val="000000"/>
                <w:sz w:val="17"/>
              </w:rPr>
              <w:t>4</w:t>
            </w:r>
          </w:p>
        </w:tc>
        <w:tc>
          <w:tcPr>
            <w:tcW w:type="dxa" w:w="436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60932922363281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 7.4 V</w:t>
            </w:r>
          </w:p>
        </w:tc>
        <w:tc>
          <w:tcPr>
            <w:tcW w:type="dxa" w:w="118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60932922363281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 6.4 V</w:t>
            </w:r>
          </w:p>
        </w:tc>
        <w:tc>
          <w:tcPr>
            <w:tcW w:type="dxa" w:w="55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51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Switching Time (ns)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026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  <w:gridCol w:w="432"/>
            </w:tblGrid>
            <w:tr>
              <w:trPr>
                <w:trHeight w:hRule="exact" w:val="322"/>
              </w:trPr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  <w:tc>
                <w:tcPr>
                  <w:tcW w:type="dxa" w:w="432"/>
                  <w:tcBorders>
                    <w:start w:sz="12.079999923706055" w:val="single" w:color="#000000"/>
                    <w:top w:sz="12.079999923706055" w:val="single" w:color="#000000"/>
                    <w:end w:sz="12.079999923706055" w:val="single" w:color="#000000"/>
                    <w:bottom w:sz="12.079999923706055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1335"/>
            <w:gridSpan w:val="5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1068"/>
            <w:gridSpan w:val="4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403"/>
            <w:gridSpan w:val="9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801"/>
            <w:gridSpan w:val="3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534"/>
            <w:gridSpan w:val="2"/>
            <w:vMerge/>
            <w:tcBorders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  <w:tr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  <w:tc>
          <w:tcPr>
            <w:tcW w:type="dxa" w:w="267"/>
          </w:tcPr>
          <w:p/>
        </w:tc>
      </w:tr>
    </w:tbl>
    <w:sectPr w:rsidR="00FC693F" w:rsidRPr="0006063C" w:rsidSect="00034616">
      <w:pgSz w:w="12240" w:h="15840"/>
      <w:pgMar w:top="540" w:right="662" w:bottom="158" w:left="630" w:header="720" w:footer="720" w:gutter="0"/>
      <w:cols w:space="720" w:num="1" w:equalWidth="0">
        <w:col w:w="10948" w:space="0"/>
        <w:col w:w="11128" w:space="0"/>
        <w:col w:w="10660" w:space="0"/>
        <w:col w:w="5514" w:space="0"/>
        <w:col w:w="5146" w:space="0"/>
        <w:col w:w="10750" w:space="0"/>
        <w:col w:w="5264" w:space="0"/>
        <w:col w:w="5486" w:space="0"/>
        <w:col w:w="10750" w:space="0"/>
        <w:col w:w="5264" w:space="0"/>
        <w:col w:w="5486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