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2387600</wp:posOffset>
            </wp:positionV>
            <wp:extent cx="2184400" cy="2819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81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4603750</wp:posOffset>
            </wp:positionH>
            <wp:positionV relativeFrom="page">
              <wp:posOffset>5382260</wp:posOffset>
            </wp:positionV>
            <wp:extent cx="750570" cy="125215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2521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5372100</wp:posOffset>
            </wp:positionV>
            <wp:extent cx="1879600" cy="1282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282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308" w:val="left"/>
        </w:tabs>
        <w:autoSpaceDE w:val="0"/>
        <w:widowControl/>
        <w:spacing w:line="245" w:lineRule="auto" w:before="0" w:after="0"/>
        <w:ind w:left="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>Ferroelectric deep trench capacitors based on Al:HfO</w:t>
      </w:r>
      <w:r>
        <w:rPr>
          <w:rFonts w:ascii="TimesNewRoman" w:hAnsi="TimesNewRoman" w:eastAsia="TimesNewRoman"/>
          <w:b w:val="0"/>
          <w:i w:val="0"/>
          <w:color w:val="000000"/>
          <w:sz w:val="31"/>
        </w:rPr>
        <w:t xml:space="preserve">2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for 3D nonvolatile memory Applications </w:t>
      </w:r>
    </w:p>
    <w:p>
      <w:pPr>
        <w:autoSpaceDN w:val="0"/>
        <w:autoSpaceDE w:val="0"/>
        <w:widowControl/>
        <w:spacing w:line="230" w:lineRule="auto" w:before="48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P. Polakowski, S. Riedel, W. Weinreich, M. Rudolf, J. Sundqvist, K. Seidel, J. Müller </w:t>
      </w:r>
    </w:p>
    <w:p>
      <w:pPr>
        <w:autoSpaceDN w:val="0"/>
        <w:autoSpaceDE w:val="0"/>
        <w:widowControl/>
        <w:spacing w:line="245" w:lineRule="auto" w:before="50" w:after="0"/>
        <w:ind w:left="144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Fraunhofer Institute for Photonic Microsystems - business unit Center Nanoelectronic Technologies (Fraunhhofer IPMS-CNT)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Dresden, 01099, Germany </w:t>
      </w:r>
    </w:p>
    <w:p>
      <w:pPr>
        <w:autoSpaceDN w:val="0"/>
        <w:autoSpaceDE w:val="0"/>
        <w:widowControl/>
        <w:spacing w:line="245" w:lineRule="auto" w:before="246" w:after="2"/>
        <w:ind w:left="0" w:right="5328" w:firstLine="172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Abstract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—Aiming for future nonvolatile memory applications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the fabrication and electrical characterization of 3-dimensional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9"/>
        <w:gridCol w:w="3509"/>
        <w:gridCol w:w="3509"/>
      </w:tblGrid>
      <w:tr>
        <w:trPr>
          <w:trHeight w:hRule="exact" w:val="216"/>
        </w:trPr>
        <w:tc>
          <w:tcPr>
            <w:tcW w:type="dxa" w:w="58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trench capacitors based on ferroelectric HfO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2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 is reported. It will 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0" w:after="0"/>
              <w:ind w:left="0" w:right="496" w:firstLine="0"/>
              <w:jc w:val="right"/>
            </w:pPr>
            <w:r>
              <w:rPr>
                <w:w w:val="101.66941250071805"/>
                <w:rFonts w:ascii="TimesNewRoman,Bold" w:hAnsi="TimesNewRoman,Bold" w:eastAsia="TimesNewRoman,Bold"/>
                <w:b/>
                <w:i w:val="0"/>
                <w:color w:val="FFFFFF"/>
                <w:sz w:val="17"/>
              </w:rPr>
              <w:t>Resist+HM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2" w:after="0"/>
              <w:ind w:left="0" w:right="706" w:firstLine="0"/>
              <w:jc w:val="right"/>
            </w:pPr>
            <w:r>
              <w:rPr>
                <w:w w:val="101.66941250071805"/>
                <w:rFonts w:ascii="TimesNewRoman,Bold" w:hAnsi="TimesNewRoman,Bold" w:eastAsia="TimesNewRoman,Bold"/>
                <w:b/>
                <w:i w:val="0"/>
                <w:color w:val="FFFFFF"/>
                <w:sz w:val="17"/>
              </w:rPr>
              <w:t>RIE etch</w:t>
            </w:r>
          </w:p>
        </w:tc>
      </w:tr>
      <w:tr>
        <w:trPr>
          <w:trHeight w:hRule="exact" w:val="200"/>
        </w:trPr>
        <w:tc>
          <w:tcPr>
            <w:tcW w:type="dxa" w:w="58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be shown that the ferroelectric properties of Al-doped HfO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509"/>
            <w:vMerge/>
            <w:tcBorders/>
          </w:tcPr>
          <w:p/>
        </w:tc>
        <w:tc>
          <w:tcPr>
            <w:tcW w:type="dxa" w:w="35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8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ultrathin films are preserved when integrated into 3-dimensional </w:t>
            </w:r>
          </w:p>
        </w:tc>
        <w:tc>
          <w:tcPr>
            <w:tcW w:type="dxa" w:w="3509"/>
            <w:vMerge/>
            <w:tcBorders/>
          </w:tcPr>
          <w:p/>
        </w:tc>
        <w:tc>
          <w:tcPr>
            <w:tcW w:type="dxa" w:w="350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8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geometries. The Al:HfO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2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 thin films were deposited by ALD and </w:t>
            </w:r>
          </w:p>
        </w:tc>
        <w:tc>
          <w:tcPr>
            <w:tcW w:type="dxa" w:w="3509"/>
            <w:vMerge/>
            <w:tcBorders/>
          </w:tcPr>
          <w:p/>
        </w:tc>
        <w:tc>
          <w:tcPr>
            <w:tcW w:type="dxa" w:w="3509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58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electrical data were collected on trench capacitor arrays with a </w:t>
            </w:r>
          </w:p>
        </w:tc>
        <w:tc>
          <w:tcPr>
            <w:tcW w:type="dxa" w:w="3509"/>
            <w:vMerge/>
            <w:tcBorders/>
          </w:tcPr>
          <w:p/>
        </w:tc>
        <w:tc>
          <w:tcPr>
            <w:tcW w:type="dxa" w:w="35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4" w:after="4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trench count up to 100k. Stable ferroelectric switching behavior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9"/>
        <w:gridCol w:w="3509"/>
        <w:gridCol w:w="3509"/>
      </w:tblGrid>
      <w:tr>
        <w:trPr>
          <w:trHeight w:hRule="exact" w:val="194"/>
        </w:trPr>
        <w:tc>
          <w:tcPr>
            <w:tcW w:type="dxa" w:w="5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was observed for all trench arrays fabricated and only minimal 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2" w:after="0"/>
              <w:ind w:left="0" w:right="432" w:firstLine="0"/>
              <w:jc w:val="right"/>
            </w:pPr>
            <w:r>
              <w:rPr>
                <w:w w:val="97.61124849319458"/>
                <w:rFonts w:ascii="TimesNewRoman,Bold" w:hAnsi="TimesNewRoman,Bold" w:eastAsia="TimesNewRoman,Bold"/>
                <w:b/>
                <w:i w:val="0"/>
                <w:color w:val="FFFFFF"/>
                <w:sz w:val="16"/>
              </w:rPr>
              <w:t>TiN BE+FE-HfO</w:t>
            </w:r>
            <w:r>
              <w:rPr>
                <w:w w:val="104.11499977111815"/>
                <w:rFonts w:ascii="TimesNewRoman,Bold" w:hAnsi="TimesNewRoman,Bold" w:eastAsia="TimesNewRoman,Bold"/>
                <w:b/>
                <w:i w:val="0"/>
                <w:color w:val="FFFFFF"/>
                <w:sz w:val="10"/>
              </w:rPr>
              <w:t>2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" w:after="0"/>
              <w:ind w:left="0" w:right="736" w:firstLine="0"/>
              <w:jc w:val="right"/>
            </w:pPr>
            <w:r>
              <w:rPr>
                <w:w w:val="101.66941250071805"/>
                <w:rFonts w:ascii="TimesNewRoman,Bold" w:hAnsi="TimesNewRoman,Bold" w:eastAsia="TimesNewRoman,Bold"/>
                <w:b/>
                <w:i w:val="0"/>
                <w:color w:val="FFFFFF"/>
                <w:sz w:val="17"/>
              </w:rPr>
              <w:t>TiN TE</w:t>
            </w:r>
          </w:p>
        </w:tc>
      </w:tr>
      <w:tr>
        <w:trPr>
          <w:trHeight w:hRule="exact" w:val="278"/>
        </w:trPr>
        <w:tc>
          <w:tcPr>
            <w:tcW w:type="dxa" w:w="5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remanent polarization loss with increasing 3-dimensional area </w:t>
            </w:r>
          </w:p>
        </w:tc>
        <w:tc>
          <w:tcPr>
            <w:tcW w:type="dxa" w:w="3509"/>
            <w:vMerge/>
            <w:tcBorders/>
          </w:tcPr>
          <w:p/>
        </w:tc>
        <w:tc>
          <w:tcPr>
            <w:tcW w:type="dxa" w:w="35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4"/>
        <w:ind w:left="0" w:right="5432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gain was observed. In addition these arrays were found to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withstand 2*10</w:t>
      </w:r>
      <w:r>
        <w:rPr>
          <w:rFonts w:ascii="TimesNewRoman,Bold" w:hAnsi="TimesNewRoman,Bold" w:eastAsia="TimesNewRoman,Bold"/>
          <w:b/>
          <w:i w:val="0"/>
          <w:color w:val="000000"/>
          <w:sz w:val="12"/>
        </w:rPr>
        <w:t xml:space="preserve">9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endurance cycles at saturated hysteresis loops.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With these report the 3D capability of ferroelectric HfO</w:t>
      </w:r>
      <w:r>
        <w:rPr>
          <w:rFonts w:ascii="TimesNewRoman,Bold" w:hAnsi="TimesNewRoman,Bold" w:eastAsia="TimesNewRoman,Bold"/>
          <w:b/>
          <w:i w:val="0"/>
          <w:color w:val="000000"/>
          <w:sz w:val="12"/>
        </w:rPr>
        <w:t>2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 is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confirmed and for the first time a feasible solution for the vertical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integration of ferroelectric 1T/1C as well as 1T memories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9"/>
        <w:gridCol w:w="3509"/>
        <w:gridCol w:w="3509"/>
      </w:tblGrid>
      <w:tr>
        <w:trPr>
          <w:trHeight w:hRule="exact" w:val="306"/>
        </w:trPr>
        <w:tc>
          <w:tcPr>
            <w:tcW w:type="dxa" w:w="3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presented.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532" w:firstLine="0"/>
              <w:jc w:val="right"/>
            </w:pPr>
            <w:r>
              <w:rPr>
                <w:w w:val="101.66941250071805"/>
                <w:rFonts w:ascii="TimesNewRoman,Bold" w:hAnsi="TimesNewRoman,Bold" w:eastAsia="TimesNewRoman,Bold"/>
                <w:b/>
                <w:i w:val="0"/>
                <w:color w:val="FFFFFF"/>
                <w:sz w:val="17"/>
              </w:rPr>
              <w:t>Resist+HM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758" w:firstLine="0"/>
              <w:jc w:val="right"/>
            </w:pPr>
            <w:r>
              <w:rPr>
                <w:w w:val="101.66941250071805"/>
                <w:rFonts w:ascii="TimesNewRoman,Bold" w:hAnsi="TimesNewRoman,Bold" w:eastAsia="TimesNewRoman,Bold"/>
                <w:b/>
                <w:i w:val="0"/>
                <w:color w:val="FFFFFF"/>
                <w:sz w:val="17"/>
              </w:rPr>
              <w:t>Litho 2</w:t>
            </w:r>
          </w:p>
        </w:tc>
      </w:tr>
    </w:tbl>
    <w:p>
      <w:pPr>
        <w:autoSpaceDN w:val="0"/>
        <w:tabs>
          <w:tab w:pos="180" w:val="left"/>
        </w:tabs>
        <w:autoSpaceDE w:val="0"/>
        <w:widowControl/>
        <w:spacing w:line="245" w:lineRule="auto" w:before="104" w:after="164"/>
        <w:ind w:left="0" w:right="5328" w:firstLine="0"/>
        <w:jc w:val="left"/>
      </w:pPr>
      <w:r>
        <w:tab/>
      </w: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Index Terms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—ferroelectric, hafnium oxide, 3D, trench,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nonvolatile memory, FRAM. </w:t>
      </w:r>
    </w:p>
    <w:p>
      <w:pPr>
        <w:sectPr>
          <w:pgSz w:w="12240" w:h="15840"/>
          <w:pgMar w:top="548" w:right="822" w:bottom="272" w:left="892" w:header="720" w:footer="720" w:gutter="0"/>
          <w:cols w:space="720" w:num="1" w:equalWidth="0">
            <w:col w:w="10526" w:space="0"/>
          </w:cols>
          <w:docGrid w:linePitch="360"/>
        </w:sectPr>
      </w:pPr>
    </w:p>
    <w:p>
      <w:pPr>
        <w:autoSpaceDN w:val="0"/>
        <w:tabs>
          <w:tab w:pos="288" w:val="left"/>
          <w:tab w:pos="1892" w:val="left"/>
        </w:tabs>
        <w:autoSpaceDE w:val="0"/>
        <w:widowControl/>
        <w:spacing w:line="266" w:lineRule="auto" w:before="0" w:after="0"/>
        <w:ind w:left="0" w:right="72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NTRODUCTION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Among the various emerging memory technologies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long term contender ferroelectric random access memory </w:t>
      </w:r>
    </w:p>
    <w:p>
      <w:pPr>
        <w:sectPr>
          <w:type w:val="continuous"/>
          <w:pgSz w:w="12240" w:h="15840"/>
          <w:pgMar w:top="548" w:right="822" w:bottom="272" w:left="892" w:header="720" w:footer="720" w:gutter="0"/>
          <w:cols w:space="720" w:num="2" w:equalWidth="0"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tabs>
          <w:tab w:pos="2352" w:val="left"/>
        </w:tabs>
        <w:autoSpaceDE w:val="0"/>
        <w:widowControl/>
        <w:spacing w:line="233" w:lineRule="auto" w:before="0" w:after="0"/>
        <w:ind w:left="776" w:right="0" w:firstLine="0"/>
        <w:jc w:val="left"/>
      </w:pPr>
      <w:r>
        <w:rPr>
          <w:w w:val="101.66941250071805"/>
          <w:rFonts w:ascii="TimesNewRoman,Bold" w:hAnsi="TimesNewRoman,Bold" w:eastAsia="TimesNewRoman,Bold"/>
          <w:b/>
          <w:i w:val="0"/>
          <w:color w:val="FFFFFF"/>
          <w:sz w:val="17"/>
        </w:rPr>
        <w:t xml:space="preserve">SC1 etch </w:t>
      </w:r>
      <w:r>
        <w:tab/>
      </w:r>
      <w:r>
        <w:rPr>
          <w:w w:val="101.66941250071805"/>
          <w:rFonts w:ascii="TimesNewRoman,Bold" w:hAnsi="TimesNewRoman,Bold" w:eastAsia="TimesNewRoman,Bold"/>
          <w:b/>
          <w:i w:val="0"/>
          <w:color w:val="FFFFFF"/>
          <w:sz w:val="17"/>
        </w:rPr>
        <w:t>Mask removal</w:t>
      </w:r>
    </w:p>
    <w:p>
      <w:pPr>
        <w:autoSpaceDN w:val="0"/>
        <w:autoSpaceDE w:val="0"/>
        <w:widowControl/>
        <w:spacing w:line="266" w:lineRule="auto" w:before="72" w:after="42"/>
        <w:ind w:left="0" w:right="212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1"/>
        </w:rPr>
        <w:t>3D FE-HfO</w:t>
      </w:r>
      <w:r>
        <w:rPr>
          <w:rFonts w:ascii="TimesNewRoman,Bold" w:hAnsi="TimesNewRoman,Bold" w:eastAsia="TimesNewRoman,Bold"/>
          <w:b/>
          <w:i w:val="0"/>
          <w:color w:val="000000"/>
          <w:sz w:val="14"/>
        </w:rPr>
        <w:t>2</w:t>
      </w:r>
    </w:p>
    <w:p>
      <w:pPr>
        <w:sectPr>
          <w:type w:val="nextColumn"/>
          <w:pgSz w:w="12240" w:h="15840"/>
          <w:pgMar w:top="548" w:right="822" w:bottom="272" w:left="892" w:header="720" w:footer="720" w:gutter="0"/>
          <w:cols w:space="720" w:num="2" w:equalWidth="0">
            <w:col w:w="5875" w:space="0"/>
            <w:col w:w="4650" w:space="0"/>
            <w:col w:w="105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</w:tblGrid>
      <w:tr>
        <w:trPr>
          <w:trHeight w:hRule="exact" w:val="214"/>
        </w:trPr>
        <w:tc>
          <w:tcPr>
            <w:tcW w:type="dxa" w:w="55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(FRAM) is still a promising candidate for future ultralow 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2" w:after="0"/>
              <w:ind w:left="0" w:right="714" w:firstLine="0"/>
              <w:jc w:val="right"/>
            </w:pPr>
            <w:r>
              <w:rPr>
                <w:w w:val="102.81749963760376"/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1.6µm</w:t>
            </w:r>
          </w:p>
        </w:tc>
        <w:tc>
          <w:tcPr>
            <w:tcW w:type="dxa" w:w="21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16" w:after="0"/>
              <w:ind w:left="0" w:right="6" w:firstLine="0"/>
              <w:jc w:val="right"/>
            </w:pPr>
            <w:r>
              <w:rPr>
                <w:w w:val="97.61124849319458"/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P</w:t>
            </w:r>
            <w:r>
              <w:rPr>
                <w:w w:val="104.11499977111815"/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r</w:t>
            </w:r>
            <w:r>
              <w:rPr>
                <w:w w:val="97.61124849319458"/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=152µC/cm</w:t>
            </w:r>
            <w:r>
              <w:rPr>
                <w:w w:val="104.11499977111815"/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334" w:val="left"/>
                <w:tab w:pos="550" w:val="left"/>
              </w:tabs>
              <w:autoSpaceDE w:val="0"/>
              <w:widowControl/>
              <w:spacing w:line="398" w:lineRule="auto" w:before="86" w:after="0"/>
              <w:ind w:left="44" w:right="288" w:firstLine="0"/>
              <w:jc w:val="left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300 </w:t>
            </w:r>
            <w:r>
              <w:br/>
            </w:r>
            <w:r>
              <w:tab/>
            </w:r>
            <w:r>
              <w:rPr>
                <w:w w:val="102.54768958458533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(projected area A*B)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2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]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 xml:space="preserve">P [µC/cm </w:t>
            </w:r>
            <w:r>
              <w:br/>
            </w: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150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44" w:right="0" w:firstLine="0"/>
              <w:jc w:val="left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0</w:t>
            </w:r>
          </w:p>
          <w:p>
            <w:pPr>
              <w:autoSpaceDN w:val="0"/>
              <w:autoSpaceDE w:val="0"/>
              <w:widowControl/>
              <w:spacing w:line="230" w:lineRule="auto" w:before="120" w:after="0"/>
              <w:ind w:left="44" w:right="0" w:firstLine="0"/>
              <w:jc w:val="left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-150</w:t>
            </w:r>
          </w:p>
          <w:p>
            <w:pPr>
              <w:autoSpaceDN w:val="0"/>
              <w:autoSpaceDE w:val="0"/>
              <w:widowControl/>
              <w:spacing w:line="230" w:lineRule="auto" w:before="116" w:after="0"/>
              <w:ind w:left="44" w:right="0" w:firstLine="0"/>
              <w:jc w:val="left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-300</w:t>
            </w:r>
          </w:p>
        </w:tc>
      </w:tr>
      <w:tr>
        <w:trPr>
          <w:trHeight w:hRule="exact" w:val="240"/>
        </w:trPr>
        <w:tc>
          <w:tcPr>
            <w:tcW w:type="dxa" w:w="6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power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nonvolatile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memory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application.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However, the </w:t>
            </w:r>
          </w:p>
        </w:tc>
        <w:tc>
          <w:tcPr>
            <w:tcW w:type="dxa" w:w="877"/>
            <w:vMerge/>
            <w:tcBorders/>
          </w:tcPr>
          <w:p/>
        </w:tc>
        <w:tc>
          <w:tcPr>
            <w:tcW w:type="dxa" w:w="4385"/>
            <w:gridSpan w:val="5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conventionally implemented ferroelectric materials like lead </w:t>
            </w:r>
          </w:p>
        </w:tc>
        <w:tc>
          <w:tcPr>
            <w:tcW w:type="dxa" w:w="877"/>
            <w:vMerge/>
            <w:tcBorders/>
          </w:tcPr>
          <w:p/>
        </w:tc>
        <w:tc>
          <w:tcPr>
            <w:tcW w:type="dxa" w:w="4385"/>
            <w:gridSpan w:val="5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5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zirconium titanate (PZT) or strontium bismuth tantalate (SBT) </w:t>
            </w:r>
          </w:p>
        </w:tc>
        <w:tc>
          <w:tcPr>
            <w:tcW w:type="dxa" w:w="877"/>
            <w:vMerge/>
            <w:tcBorders/>
          </w:tcPr>
          <w:p/>
        </w:tc>
        <w:tc>
          <w:tcPr>
            <w:tcW w:type="dxa" w:w="4385"/>
            <w:gridSpan w:val="5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revealed several drawbacks in terms of CMOS </w:t>
            </w:r>
          </w:p>
        </w:tc>
        <w:tc>
          <w:tcPr>
            <w:tcW w:type="dxa" w:w="877"/>
            <w:vMerge/>
            <w:tcBorders/>
          </w:tcPr>
          <w:p/>
        </w:tc>
        <w:tc>
          <w:tcPr>
            <w:tcW w:type="dxa" w:w="4385"/>
            <w:gridSpan w:val="5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5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compatibility, scalability, and process control. [1] Hence the </w:t>
            </w:r>
          </w:p>
        </w:tc>
        <w:tc>
          <w:tcPr>
            <w:tcW w:type="dxa" w:w="877"/>
            <w:vMerge/>
            <w:tcBorders/>
          </w:tcPr>
          <w:p/>
        </w:tc>
        <w:tc>
          <w:tcPr>
            <w:tcW w:type="dxa" w:w="4385"/>
            <w:gridSpan w:val="5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56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material choice for 1T and 1T/1C ferroelectric memory </w:t>
            </w:r>
          </w:p>
        </w:tc>
        <w:tc>
          <w:tcPr>
            <w:tcW w:type="dxa" w:w="877"/>
            <w:vMerge/>
            <w:tcBorders/>
          </w:tcPr>
          <w:p/>
        </w:tc>
        <w:tc>
          <w:tcPr>
            <w:tcW w:type="dxa" w:w="4385"/>
            <w:gridSpan w:val="5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4385"/>
            <w:gridSpan w:val="5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74" w:firstLine="0"/>
              <w:jc w:val="right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-4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-2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1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02" w:right="0" w:firstLine="0"/>
              <w:jc w:val="left"/>
            </w:pPr>
            <w:r>
              <w:rPr>
                <w:w w:val="101.1373329162597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4</w:t>
            </w:r>
          </w:p>
        </w:tc>
      </w:tr>
      <w:tr>
        <w:trPr>
          <w:trHeight w:hRule="exact" w:val="140"/>
        </w:trPr>
        <w:tc>
          <w:tcPr>
            <w:tcW w:type="dxa" w:w="556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solutions is crucial and poses a major threat to its continues </w:t>
            </w:r>
          </w:p>
        </w:tc>
        <w:tc>
          <w:tcPr>
            <w:tcW w:type="dxa" w:w="877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  <w:tc>
          <w:tcPr>
            <w:tcW w:type="dxa" w:w="1754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4385"/>
            <w:gridSpan w:val="5"/>
            <w:vMerge/>
            <w:tcBorders/>
          </w:tcPr>
          <w:p/>
        </w:tc>
        <w:tc>
          <w:tcPr>
            <w:tcW w:type="dxa" w:w="877"/>
            <w:vMerge/>
            <w:tcBorders/>
          </w:tcPr>
          <w:p/>
        </w:tc>
        <w:tc>
          <w:tcPr>
            <w:tcW w:type="dxa" w:w="31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74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1"/>
              </w:rPr>
              <w:t>E-Field [MV/cm]</w:t>
            </w:r>
          </w:p>
        </w:tc>
      </w:tr>
      <w:tr>
        <w:trPr>
          <w:trHeight w:hRule="exact" w:val="226"/>
        </w:trPr>
        <w:tc>
          <w:tcPr>
            <w:tcW w:type="dxa" w:w="55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ability to compete. Especially the large physical thickness of </w:t>
            </w:r>
          </w:p>
        </w:tc>
        <w:tc>
          <w:tcPr>
            <w:tcW w:type="dxa" w:w="877"/>
            <w:vMerge/>
            <w:tcBorders/>
          </w:tcPr>
          <w:p/>
        </w:tc>
        <w:tc>
          <w:tcPr>
            <w:tcW w:type="dxa" w:w="5262"/>
            <w:gridSpan w:val="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type w:val="continuous"/>
          <w:pgSz w:w="12240" w:h="15840"/>
          <w:pgMar w:top="548" w:right="822" w:bottom="272" w:left="892" w:header="720" w:footer="720" w:gutter="0"/>
          <w:cols w:space="720" w:num="1" w:equalWidth="0"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perovskite ferroelectrics and the lack of feasible thin film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technologies has restricted the capacitor-based FRAM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architecture to planar capacitor geometries and thereby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130 nm CMOS node. According to these limitations,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current storage densities of commercial FRAM products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stagnates at 128 MB/cm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[2]. 20 year ago and at a similar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storage density, dynamic random access memory (DRAM)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 struggled with a similar problem eventually leading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introduction of area enhanced trench and stack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capacitors. From this point on scaling continued to current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storage densities of above 1 GB/cm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[3]. In order to establish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similar pathway for future FRAM the implementation of 3-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dimensional ferroelectric capacitors is essential. </w:t>
      </w:r>
    </w:p>
    <w:p>
      <w:pPr>
        <w:autoSpaceDN w:val="0"/>
        <w:tabs>
          <w:tab w:pos="288" w:val="left"/>
        </w:tabs>
        <w:autoSpaceDE w:val="0"/>
        <w:widowControl/>
        <w:spacing w:line="245" w:lineRule="auto" w:before="14" w:after="0"/>
        <w:ind w:left="0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 the discovery of ferroelectricity in doped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ultrathin films new capabilities are at hand to overcome the </w:t>
      </w:r>
    </w:p>
    <w:p>
      <w:pPr>
        <w:sectPr>
          <w:type w:val="continuous"/>
          <w:pgSz w:w="12240" w:h="15840"/>
          <w:pgMar w:top="548" w:right="822" w:bottom="272" w:left="892" w:header="720" w:footer="720" w:gutter="0"/>
          <w:cols w:space="720" w:num="2" w:equalWidth="0"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174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Fig. 1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 Process flow scheme for the fabricated ferroelectric deep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trench capacitors with high aspect ratio of 13:1 and the accordingly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measured hysteresis loop of a 3D deep trench capacitor </w:t>
      </w:r>
    </w:p>
    <w:p>
      <w:pPr>
        <w:autoSpaceDN w:val="0"/>
        <w:autoSpaceDE w:val="0"/>
        <w:widowControl/>
        <w:spacing w:line="245" w:lineRule="auto" w:before="132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aforementioned integration issues ([4] and therein). As a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stack material in HKMG and as a capacitor dielectric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DRAM storage nodes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has proven its CMOS-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compatibility and mature ALD processing technology.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Leveraging on this assets we will show for the first time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maintains its ferroelectric properties when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integrated in 3-dimensional structures opening up a perspective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capacitor-based as well as new 1T FRAM cell concepts. </w:t>
      </w:r>
    </w:p>
    <w:p>
      <w:pPr>
        <w:autoSpaceDN w:val="0"/>
        <w:autoSpaceDE w:val="0"/>
        <w:widowControl/>
        <w:spacing w:line="230" w:lineRule="auto" w:before="172" w:after="0"/>
        <w:ind w:left="0" w:right="190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II.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XPERIMENT</w:t>
      </w:r>
    </w:p>
    <w:p>
      <w:pPr>
        <w:autoSpaceDN w:val="0"/>
        <w:autoSpaceDE w:val="0"/>
        <w:widowControl/>
        <w:spacing w:line="233" w:lineRule="auto" w:before="88" w:after="1092"/>
        <w:ind w:left="4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proof the ALD- and 3D-deposition capability of </w:t>
      </w:r>
    </w:p>
    <w:p>
      <w:pPr>
        <w:sectPr>
          <w:type w:val="nextColumn"/>
          <w:pgSz w:w="12240" w:h="15840"/>
          <w:pgMar w:top="548" w:right="822" w:bottom="272" w:left="892" w:header="720" w:footer="720" w:gutter="0"/>
          <w:cols w:space="720" w:num="2" w:equalWidth="0"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6"/>
        </w:rPr>
        <w:t>978-1-4799-3596-3/14/$31.00 ©2014 IEEE</w:t>
      </w:r>
    </w:p>
    <w:p>
      <w:pPr>
        <w:sectPr>
          <w:type w:val="continuous"/>
          <w:pgSz w:w="12240" w:h="15840"/>
          <w:pgMar w:top="548" w:right="822" w:bottom="272" w:left="892" w:header="720" w:footer="720" w:gutter="0"/>
          <w:cols w:space="720" w:num="1" w:equalWidth="0"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1016000</wp:posOffset>
            </wp:positionV>
            <wp:extent cx="2184400" cy="14859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48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1016000</wp:posOffset>
            </wp:positionV>
            <wp:extent cx="2197100" cy="14859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85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>
        <w:trPr>
          <w:trHeight w:hRule="exact" w:val="216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8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2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(pojected area A*B)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a) </w:t>
            </w:r>
          </w:p>
        </w:tc>
        <w:tc>
          <w:tcPr>
            <w:tcW w:type="dxa" w:w="33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71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E-Field [MV/cm]</w:t>
            </w:r>
          </w:p>
        </w:tc>
        <w:tc>
          <w:tcPr>
            <w:tcW w:type="dxa" w:w="84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62" w:after="0"/>
              <w:ind w:left="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2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4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b) </w:t>
            </w:r>
          </w:p>
        </w:tc>
        <w:tc>
          <w:tcPr>
            <w:tcW w:type="dxa" w:w="2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E-Field [MV/cm]</w:t>
            </w:r>
          </w:p>
        </w:tc>
      </w:tr>
      <w:tr>
        <w:trPr>
          <w:trHeight w:hRule="exact" w:val="60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156"/>
            <w:gridSpan w:val="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6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1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-3</w:t>
            </w:r>
          </w:p>
        </w:tc>
        <w:tc>
          <w:tcPr>
            <w:tcW w:type="dxa" w:w="4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-2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2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500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polarization [µC/cm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7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2" w:after="0"/>
              <w:ind w:left="0" w:right="7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planar</w:t>
            </w:r>
          </w:p>
        </w:tc>
        <w:tc>
          <w:tcPr>
            <w:tcW w:type="dxa" w:w="84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0" w:after="0"/>
              <w:ind w:left="22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polarization [µC/cm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9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4" w:after="0"/>
              <w:ind w:left="0" w:right="7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planar</w:t>
            </w:r>
          </w:p>
        </w:tc>
      </w:tr>
      <w:tr>
        <w:trPr>
          <w:trHeight w:hRule="exact" w:val="288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-100</w:t>
            </w:r>
          </w:p>
        </w:tc>
        <w:tc>
          <w:tcPr>
            <w:tcW w:type="dxa" w:w="37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1k array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-10</w:t>
            </w:r>
          </w:p>
        </w:tc>
        <w:tc>
          <w:tcPr>
            <w:tcW w:type="dxa" w:w="3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1k array</w:t>
            </w:r>
          </w:p>
        </w:tc>
      </w:tr>
      <w:tr>
        <w:trPr>
          <w:trHeight w:hRule="exact" w:val="156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7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3k array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6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3k array</w:t>
            </w:r>
          </w:p>
        </w:tc>
      </w:tr>
      <w:tr>
        <w:trPr>
          <w:trHeight w:hRule="exact" w:val="42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-200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-20</w:t>
            </w:r>
          </w:p>
        </w:tc>
        <w:tc>
          <w:tcPr>
            <w:tcW w:type="dxa" w:w="39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10k array</w:t>
            </w:r>
          </w:p>
        </w:tc>
      </w:tr>
      <w:tr>
        <w:trPr>
          <w:trHeight w:hRule="exact" w:val="142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7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5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10k array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-300</w:t>
            </w:r>
          </w:p>
        </w:tc>
        <w:tc>
          <w:tcPr>
            <w:tcW w:type="dxa" w:w="37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5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30k array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9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30k array</w:t>
            </w:r>
          </w:p>
        </w:tc>
      </w:tr>
      <w:tr>
        <w:trPr>
          <w:trHeight w:hRule="exact" w:val="80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-30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7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4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100k trench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5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 100k array</w:t>
            </w:r>
          </w:p>
        </w:tc>
      </w:tr>
      <w:tr>
        <w:trPr>
          <w:trHeight w:hRule="exact" w:val="202"/>
        </w:trPr>
        <w:tc>
          <w:tcPr>
            <w:tcW w:type="dxa" w:w="526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26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gain factor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37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84400" cy="749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1902" w:val="left"/>
                <w:tab w:pos="3032" w:val="left"/>
              </w:tabs>
              <w:autoSpaceDE w:val="0"/>
              <w:widowControl/>
              <w:spacing w:line="233" w:lineRule="auto" w:before="0" w:after="0"/>
              <w:ind w:left="7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1k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10k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100k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trench count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4" w:after="0"/>
              <w:ind w:left="0" w:right="408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norm to 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2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planar Pr  [%]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39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84400" cy="749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58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82"/>
            <w:gridSpan w:val="7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3682"/>
            <w:gridSpan w:val="7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1k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45" w:lineRule="auto" w:before="18" w:after="0"/>
              <w:ind w:left="374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10k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trench count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100k</w:t>
            </w:r>
          </w:p>
        </w:tc>
      </w:tr>
    </w:tbl>
    <w:p>
      <w:pPr>
        <w:autoSpaceDN w:val="0"/>
        <w:autoSpaceDE w:val="0"/>
        <w:widowControl/>
        <w:spacing w:line="245" w:lineRule="auto" w:before="60" w:after="0"/>
        <w:ind w:left="288" w:right="288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Fig. 1 </w:t>
      </w:r>
      <w:r>
        <w:br/>
      </w: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a)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 P-E characteristics for different trench arrays related to the number of trenches for the projected planar area and the calculated gain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factor in accordance to the increase of the capacitor area </w:t>
      </w:r>
    </w:p>
    <w:p>
      <w:pPr>
        <w:autoSpaceDN w:val="0"/>
        <w:autoSpaceDE w:val="0"/>
        <w:widowControl/>
        <w:spacing w:line="245" w:lineRule="auto" w:before="128" w:after="98"/>
        <w:ind w:left="288" w:right="0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b)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 Normalized, to the real capacitor area, hysteresis loops of the measured trench arrays and the relative polarization loss in relation to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planar capacitor value </w:t>
      </w:r>
    </w:p>
    <w:p>
      <w:pPr>
        <w:sectPr>
          <w:pgSz w:w="12240" w:h="15840"/>
          <w:pgMar w:top="552" w:right="820" w:bottom="742" w:left="892" w:header="720" w:footer="720" w:gutter="0"/>
          <w:cols w:space="720" w:num="1" w:equalWidth="0"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tabs>
          <w:tab w:pos="288" w:val="left"/>
        </w:tabs>
        <w:autoSpaceDE w:val="0"/>
        <w:widowControl/>
        <w:spacing w:line="245" w:lineRule="auto" w:before="0" w:after="0"/>
        <w:ind w:left="0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aluminum doped,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deep trench metal-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insulator-metal capacitors were fabricated on 300 mm silicon </w:t>
      </w:r>
    </w:p>
    <w:p>
      <w:pPr>
        <w:sectPr>
          <w:type w:val="continuous"/>
          <w:pgSz w:w="12240" w:h="15840"/>
          <w:pgMar w:top="552" w:right="820" w:bottom="742" w:left="892" w:header="720" w:footer="720" w:gutter="0"/>
          <w:cols w:space="720" w:num="2" w:equalWidth="0"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maintain the same size of their planar projection. The 100k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trench array has a slightly bigger planar size due to the number </w:t>
      </w:r>
    </w:p>
    <w:p>
      <w:pPr>
        <w:sectPr>
          <w:type w:val="nextColumn"/>
          <w:pgSz w:w="12240" w:h="15840"/>
          <w:pgMar w:top="552" w:right="820" w:bottom="742" w:left="892" w:header="720" w:footer="720" w:gutter="0"/>
          <w:cols w:space="720" w:num="2" w:equalWidth="0"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tabs>
          <w:tab w:pos="5408" w:val="left"/>
        </w:tabs>
        <w:autoSpaceDE w:val="0"/>
        <w:widowControl/>
        <w:spacing w:line="230" w:lineRule="auto" w:before="0" w:after="14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substrates.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trenches. Only the count of trenches may increase from </w:t>
      </w:r>
    </w:p>
    <w:p>
      <w:pPr>
        <w:sectPr>
          <w:type w:val="continuous"/>
          <w:pgSz w:w="12240" w:h="15840"/>
          <w:pgMar w:top="552" w:right="820" w:bottom="742" w:left="892" w:header="720" w:footer="720" w:gutter="0"/>
          <w:cols w:space="720" w:num="1" w:equalWidth="0"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tabs>
          <w:tab w:pos="288" w:val="left"/>
          <w:tab w:pos="456" w:val="left"/>
          <w:tab w:pos="1552" w:val="left"/>
          <w:tab w:pos="2070" w:val="left"/>
          <w:tab w:pos="2942" w:val="left"/>
          <w:tab w:pos="3352" w:val="left"/>
          <w:tab w:pos="3810" w:val="left"/>
          <w:tab w:pos="4388" w:val="left"/>
        </w:tabs>
        <w:autoSpaceDE w:val="0"/>
        <w:widowControl/>
        <w:spacing w:line="230" w:lineRule="exact" w:before="6" w:after="0"/>
        <w:ind w:left="0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Therefore, at first a 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hardmask and a photoresist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deposited, followed by an eBeam lithography step to define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trench capacitor arrays. Afterwards, the holes for the trench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capacitors are etched into the substrate by a reactive ion etching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 (RIE). Subsequently, the resist and hardmask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removed and an approximately 10 nm TiN bottom electrode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deposited by thermal atomic layer deposition (ALD) at 450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°C from TiCl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NH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 Furthermore, the 12 nm Al:HfO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layer was deposited through an ALD process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300 °C substrate temperature. The control of the Al doping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-layer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adjusted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ratio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between </w:t>
      </w:r>
      <w:r>
        <w:rPr>
          <w:rFonts w:ascii="" w:hAnsi="" w:eastAsia=""/>
          <w:b w:val="0"/>
          <w:i w:val="0"/>
          <w:color w:val="000000"/>
          <w:sz w:val="20"/>
        </w:rPr>
        <w:t>tetrakisethylmethylaminohafnium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(TEMAHf) / ozon (O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trimethylaluminum (TMA) / ozon (O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ALD cycles. A 35 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 TiN top electrode was deposited by pulsed chemical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vapor deposition at 400 °C. A second lithographic exposure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necessary, for the final contact patterning. After this final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structuring process the exposed TiN was removed selectively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a SC1 wet etch. Lastly, the mask residuals were removed.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result, electrically accessible deep trench capacitor arrays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fabricated with trench counts ranging from 1k to 100k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with an aspect ratio of 13:1. </w:t>
      </w:r>
    </w:p>
    <w:p>
      <w:pPr>
        <w:autoSpaceDN w:val="0"/>
        <w:autoSpaceDE w:val="0"/>
        <w:widowControl/>
        <w:spacing w:line="245" w:lineRule="auto" w:before="14" w:after="0"/>
        <w:ind w:left="0" w:right="15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P-E Hysteresis and endurance measurement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conducted with an aixACCT TF Analyzer 3000 measurement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setup. The C-V Hysteresis was recorded with an Agilent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E4980A LCR-Meter. </w:t>
      </w:r>
    </w:p>
    <w:p>
      <w:pPr>
        <w:autoSpaceDN w:val="0"/>
        <w:autoSpaceDE w:val="0"/>
        <w:widowControl/>
        <w:spacing w:line="233" w:lineRule="auto" w:before="170" w:after="0"/>
        <w:ind w:left="0" w:right="148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III.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ESULTS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45" w:lineRule="auto" w:before="86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fabricated test chip contains capacitors with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increasing count of trenches. All capacitors up to 30k trenches </w:t>
      </w:r>
    </w:p>
    <w:p>
      <w:pPr>
        <w:sectPr>
          <w:type w:val="continuous"/>
          <w:pgSz w:w="12240" w:h="15840"/>
          <w:pgMar w:top="552" w:right="820" w:bottom="74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 to capacitor device. With this test structure it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possible to investigate the relation between the increase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and the increase of capacitor area. The area gain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factor compared to the planar projected area depends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of trench holes, the diameter of a single trench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determined depth of the trenches which was extracted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STEM analysis. As basis for the area calculation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regularly rectangular shaped trench holes an elliptic model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used. It is needed to take the rounded corners of the holes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account. Even if this approach is the most conservative it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applied to avoid an overestimation of the trench area.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measured planar capacitor served as reference value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measured polarization of the trench arrays. </w:t>
      </w:r>
    </w:p>
    <w:p>
      <w:pPr>
        <w:autoSpaceDN w:val="0"/>
        <w:autoSpaceDE w:val="0"/>
        <w:widowControl/>
        <w:spacing w:line="245" w:lineRule="auto" w:before="16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Fig. 2 a) the polarization for different trench arrays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 to the projected planar area as well as the calculated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area gain factor for the measured devices is illustrated.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contrast to this, Fig. 2 b) illustrates the area normalized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hysteresis for the different trench arrays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compares them to the planar area hysteresis loop. Further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summarizes the loss of remanent polarization with increasing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of trenches. For the planar capacitor, without trenches,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remanent polarization of 15 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was measured.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trench array with 100k trenches has a calculated area gain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factor of 11.12 and the measured remanent polarization based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 the projected planar area of this array is 152 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(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Fig. 3).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translates to an actual remanent polarization of 13.6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This remanent polarization value of the 100k array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suggests that all parts, including the trench side walls,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contribute to the overall polarization gain. The low remanent </w:t>
      </w:r>
    </w:p>
    <w:p>
      <w:pPr>
        <w:sectPr>
          <w:type w:val="nextColumn"/>
          <w:pgSz w:w="12240" w:h="15840"/>
          <w:pgMar w:top="552" w:right="820" w:bottom="74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965200</wp:posOffset>
            </wp:positionV>
            <wp:extent cx="1866900" cy="1244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44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1350010</wp:posOffset>
            </wp:positionH>
            <wp:positionV relativeFrom="page">
              <wp:posOffset>1144270</wp:posOffset>
            </wp:positionV>
            <wp:extent cx="735329" cy="383512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5329" cy="3835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2439670</wp:posOffset>
            </wp:positionH>
            <wp:positionV relativeFrom="page">
              <wp:posOffset>2255520</wp:posOffset>
            </wp:positionV>
            <wp:extent cx="805180" cy="52939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5293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965200</wp:posOffset>
            </wp:positionV>
            <wp:extent cx="2006600" cy="19939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9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2"/>
        <w:ind w:left="0" w:right="1586" w:firstLine="0"/>
        <w:jc w:val="right"/>
      </w:pPr>
      <w:r>
        <w:rPr>
          <w:w w:val="102.429993947347"/>
          <w:rFonts w:ascii="TimesNewRoman,Bold" w:hAnsi="TimesNewRoman,Bold" w:eastAsia="TimesNewRoman,Bold"/>
          <w:b/>
          <w:i w:val="0"/>
          <w:color w:val="000000"/>
          <w:sz w:val="18"/>
        </w:rPr>
        <w:t>E-Field [MV/cm]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42"/>
        </w:trPr>
        <w:tc>
          <w:tcPr>
            <w:tcW w:type="dxa" w:w="11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0" w:after="0"/>
              <w:ind w:left="0" w:right="68" w:firstLine="0"/>
              <w:jc w:val="right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300</w:t>
            </w:r>
          </w:p>
        </w:tc>
        <w:tc>
          <w:tcPr>
            <w:tcW w:type="dxa" w:w="4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353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16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2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14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38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0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-1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2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50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2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52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260"/>
        </w:trPr>
        <w:tc>
          <w:tcPr>
            <w:tcW w:type="dxa" w:w="1002"/>
            <w:gridSpan w:val="2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2505"/>
            <w:gridSpan w:val="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8" w:lineRule="auto" w:before="672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1"/>
              </w:rPr>
              <w:t>2</w:t>
            </w:r>
            <w:r>
              <w:rPr>
                <w:w w:val="102.429993947347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]</w:t>
            </w:r>
            <w:r>
              <w:rPr>
                <w:w w:val="102.429993947347"/>
                <w:rFonts w:ascii="Gulim" w:hAnsi="Gulim" w:eastAsia="Gulim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0" w:right="0" w:firstLine="0"/>
              <w:jc w:val="center"/>
            </w:pPr>
            <w:r>
              <w:rPr>
                <w:w w:val="102.429993947347"/>
                <w:rFonts w:ascii="Gulim" w:hAnsi="Gulim" w:eastAsia="Gulim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(pojected area A*B)</w:t>
            </w:r>
            <w:r>
              <w:rPr>
                <w:w w:val="102.429993947347"/>
                <w:rFonts w:ascii="Gulim" w:hAnsi="Gulim" w:eastAsia="Gulim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84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300</w:t>
            </w:r>
          </w:p>
        </w:tc>
        <w:tc>
          <w:tcPr>
            <w:tcW w:type="dxa" w:w="1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154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100k array</w:t>
            </w:r>
          </w:p>
        </w:tc>
        <w:tc>
          <w:tcPr>
            <w:tcW w:type="dxa" w:w="1980"/>
            <w:gridSpan w:val="5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10" w:after="0"/>
              <w:ind w:left="0" w:right="432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63C8"/>
                <w:sz w:val="18"/>
              </w:rPr>
              <w:t>current [a.u.]</w:t>
            </w:r>
          </w:p>
        </w:tc>
      </w:tr>
      <w:tr>
        <w:trPr>
          <w:trHeight w:hRule="exact" w:val="200"/>
        </w:trPr>
        <w:tc>
          <w:tcPr>
            <w:tcW w:type="dxa" w:w="1002"/>
            <w:gridSpan w:val="2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2505"/>
            <w:gridSpan w:val="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96" w:after="0"/>
              <w:ind w:left="0" w:right="0" w:firstLine="0"/>
              <w:jc w:val="center"/>
            </w:pPr>
            <w:r>
              <w:rPr>
                <w:w w:val="102.429993947347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polarization [µC/cm</w:t>
            </w:r>
          </w:p>
        </w:tc>
        <w:tc>
          <w:tcPr>
            <w:tcW w:type="dxa" w:w="501"/>
            <w:vMerge/>
            <w:tcBorders/>
          </w:tcPr>
          <w:p/>
        </w:tc>
        <w:tc>
          <w:tcPr>
            <w:tcW w:type="dxa" w:w="1503"/>
            <w:gridSpan w:val="3"/>
            <w:vMerge/>
            <w:tcBorders/>
          </w:tcPr>
          <w:p/>
        </w:tc>
        <w:tc>
          <w:tcPr>
            <w:tcW w:type="dxa" w:w="1503"/>
            <w:gridSpan w:val="3"/>
            <w:vMerge/>
            <w:tcBorders/>
          </w:tcPr>
          <w:p/>
        </w:tc>
        <w:tc>
          <w:tcPr>
            <w:tcW w:type="dxa" w:w="2505"/>
            <w:gridSpan w:val="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188"/>
            <w:gridSpan w:val="8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5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1"/>
              </w:rPr>
              <w:t>2</w:t>
            </w:r>
            <w:r>
              <w:rPr>
                <w:w w:val="101.7194430033366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84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150</w:t>
            </w:r>
          </w:p>
        </w:tc>
        <w:tc>
          <w:tcPr>
            <w:tcW w:type="dxa" w:w="1503"/>
            <w:gridSpan w:val="3"/>
            <w:vMerge/>
            <w:tcBorders/>
          </w:tcPr>
          <w:p/>
        </w:tc>
        <w:tc>
          <w:tcPr>
            <w:tcW w:type="dxa" w:w="2505"/>
            <w:gridSpan w:val="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6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8" w:after="0"/>
              <w:ind w:left="144" w:right="0" w:firstLine="0"/>
              <w:jc w:val="center"/>
            </w:pPr>
            <w:r>
              <w:rPr>
                <w:w w:val="101.7194430033366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polarization [µC/cm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(projected area A*B)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2" w:after="0"/>
              <w:ind w:left="0" w:right="0" w:firstLine="0"/>
              <w:jc w:val="center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150</w:t>
            </w:r>
          </w:p>
        </w:tc>
        <w:tc>
          <w:tcPr>
            <w:tcW w:type="dxa" w:w="1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00" w:right="0" w:firstLine="0"/>
              <w:jc w:val="left"/>
            </w:pPr>
            <w:r>
              <w:rPr>
                <w:w w:val="102.2612452507019"/>
                <w:rFonts w:ascii="TimesNewRoman,Bold" w:hAnsi="TimesNewRoman,Bold" w:eastAsia="TimesNewRoman,Bold"/>
                <w:b/>
                <w:i w:val="0"/>
                <w:color w:val="FFFFFF"/>
                <w:sz w:val="16"/>
              </w:rPr>
              <w:t>2D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0" w:after="0"/>
              <w:ind w:left="9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8" w:after="0"/>
              <w:ind w:left="13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1503"/>
            <w:gridSpan w:val="3"/>
            <w:vMerge/>
            <w:tcBorders/>
          </w:tcPr>
          <w:p/>
        </w:tc>
        <w:tc>
          <w:tcPr>
            <w:tcW w:type="dxa" w:w="1503"/>
            <w:gridSpan w:val="3"/>
            <w:vMerge/>
            <w:tcBorders/>
          </w:tcPr>
          <w:p/>
        </w:tc>
        <w:tc>
          <w:tcPr>
            <w:tcW w:type="dxa" w:w="250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18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56" w:after="0"/>
              <w:ind w:left="9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P</w:t>
            </w:r>
            <w:r>
              <w:rPr>
                <w:w w:val="101.80416901906331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r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=15 µC/cm</w:t>
            </w:r>
            <w:r>
              <w:rPr>
                <w:w w:val="101.80416901906331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540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503"/>
            <w:gridSpan w:val="3"/>
            <w:vMerge/>
            <w:tcBorders/>
          </w:tcPr>
          <w:p/>
        </w:tc>
        <w:tc>
          <w:tcPr>
            <w:tcW w:type="dxa" w:w="2505"/>
            <w:gridSpan w:val="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0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4" w:after="0"/>
              <w:ind w:left="0" w:right="68" w:firstLine="0"/>
              <w:jc w:val="right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2004"/>
            <w:gridSpan w:val="4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22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-150</w:t>
            </w:r>
          </w:p>
        </w:tc>
        <w:tc>
          <w:tcPr>
            <w:tcW w:type="dxa" w:w="1503"/>
            <w:gridSpan w:val="3"/>
            <w:vMerge/>
            <w:tcBorders/>
          </w:tcPr>
          <w:p/>
        </w:tc>
        <w:tc>
          <w:tcPr>
            <w:tcW w:type="dxa" w:w="2505"/>
            <w:gridSpan w:val="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2004"/>
            <w:gridSpan w:val="4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22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-300</w:t>
            </w:r>
          </w:p>
        </w:tc>
        <w:tc>
          <w:tcPr>
            <w:tcW w:type="dxa" w:w="1503"/>
            <w:gridSpan w:val="3"/>
            <w:vMerge/>
            <w:tcBorders/>
          </w:tcPr>
          <w:p/>
        </w:tc>
        <w:tc>
          <w:tcPr>
            <w:tcW w:type="dxa" w:w="2505"/>
            <w:gridSpan w:val="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50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0" w:firstLine="0"/>
              <w:jc w:val="center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-150</w:t>
            </w:r>
          </w:p>
        </w:tc>
        <w:tc>
          <w:tcPr>
            <w:tcW w:type="dxa" w:w="2004"/>
            <w:gridSpan w:val="4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112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24" w:after="0"/>
              <w:ind w:left="0" w:right="540" w:firstLine="0"/>
              <w:jc w:val="right"/>
            </w:pPr>
            <w:r>
              <w:rPr>
                <w:w w:val="102.429993947347"/>
                <w:rFonts w:ascii="Symbol" w:hAnsi="Symbol" w:eastAsia="Symbol"/>
                <w:b w:val="0"/>
                <w:i w:val="0"/>
                <w:color w:val="000000"/>
                <w:sz w:val="18"/>
              </w:rPr>
              <w:t>ε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1"/>
              </w:rPr>
              <w:t>r</w:t>
            </w:r>
          </w:p>
        </w:tc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30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377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66900" cy="787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8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0"/>
        </w:trPr>
        <w:tc>
          <w:tcPr>
            <w:tcW w:type="dxa" w:w="11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68" w:firstLine="0"/>
              <w:jc w:val="right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-300</w:t>
            </w:r>
          </w:p>
        </w:tc>
        <w:tc>
          <w:tcPr>
            <w:tcW w:type="dxa" w:w="4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1994" w:firstLine="0"/>
              <w:jc w:val="right"/>
            </w:pPr>
            <w:r>
              <w:rPr>
                <w:w w:val="102.2612452507019"/>
                <w:rFonts w:ascii="TimesNewRoman,Bold" w:hAnsi="TimesNewRoman,Bold" w:eastAsia="TimesNewRoman,Bold"/>
                <w:b/>
                <w:i w:val="0"/>
                <w:color w:val="FFFFFF"/>
                <w:sz w:val="16"/>
              </w:rPr>
              <w:t>3D</w:t>
            </w:r>
          </w:p>
        </w:tc>
        <w:tc>
          <w:tcPr>
            <w:tcW w:type="dxa" w:w="1002"/>
            <w:gridSpan w:val="2"/>
            <w:vMerge/>
            <w:tcBorders/>
          </w:tcPr>
          <w:p/>
        </w:tc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30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45</w:t>
            </w:r>
          </w:p>
        </w:tc>
        <w:tc>
          <w:tcPr>
            <w:tcW w:type="dxa" w:w="5010"/>
            <w:gridSpan w:val="1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18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4" w:after="0"/>
              <w:ind w:left="0" w:right="106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FF0000"/>
                <w:sz w:val="18"/>
              </w:rPr>
              <w:t>P</w:t>
            </w:r>
            <w:r>
              <w:rPr>
                <w:w w:val="101.80416901906331"/>
                <w:rFonts w:ascii="TimesNewRoman,Bold" w:hAnsi="TimesNewRoman,Bold" w:eastAsia="TimesNewRoman,Bold"/>
                <w:b/>
                <w:i w:val="0"/>
                <w:color w:val="FF0000"/>
                <w:sz w:val="12"/>
              </w:rPr>
              <w:t>r</w:t>
            </w:r>
            <w:r>
              <w:rPr>
                <w:rFonts w:ascii="TimesNewRoman,Bold" w:hAnsi="TimesNewRoman,Bold" w:eastAsia="TimesNewRoman,Bold"/>
                <w:b/>
                <w:i w:val="0"/>
                <w:color w:val="FF0000"/>
                <w:sz w:val="18"/>
              </w:rPr>
              <w:t>=152 µC/cm</w:t>
            </w:r>
            <w:r>
              <w:rPr>
                <w:w w:val="101.80416901906331"/>
                <w:rFonts w:ascii="TimesNewRoman,Bold" w:hAnsi="TimesNewRoman,Bold" w:eastAsia="TimesNewRoman,Bold"/>
                <w:b/>
                <w:i w:val="0"/>
                <w:color w:val="FF0000"/>
                <w:sz w:val="12"/>
              </w:rPr>
              <w:t>2</w:t>
            </w:r>
          </w:p>
        </w:tc>
        <w:tc>
          <w:tcPr>
            <w:tcW w:type="dxa" w:w="1002"/>
            <w:gridSpan w:val="2"/>
            <w:vMerge/>
            <w:tcBorders/>
          </w:tcPr>
          <w:p/>
        </w:tc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30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40</w:t>
            </w:r>
          </w:p>
        </w:tc>
        <w:tc>
          <w:tcPr>
            <w:tcW w:type="dxa" w:w="5010"/>
            <w:gridSpan w:val="1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1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34" w:firstLine="0"/>
              <w:jc w:val="right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-4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-2</w:t>
            </w:r>
          </w:p>
        </w:tc>
        <w:tc>
          <w:tcPr>
            <w:tcW w:type="dxa" w:w="6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10" w:firstLine="0"/>
              <w:jc w:val="right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146" w:firstLine="0"/>
              <w:jc w:val="right"/>
            </w:pPr>
            <w:r>
              <w:rPr>
                <w:w w:val="101.7194430033366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1002"/>
            <w:gridSpan w:val="2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0"/>
            <w:gridSpan w:val="1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004"/>
            <w:gridSpan w:val="4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20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14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-3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38" w:firstLine="0"/>
              <w:jc w:val="righ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-2</w:t>
            </w:r>
          </w:p>
        </w:tc>
        <w:tc>
          <w:tcPr>
            <w:tcW w:type="dxa" w:w="164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  <w:tab w:pos="1010" w:val="left"/>
                <w:tab w:pos="1400" w:val="left"/>
              </w:tabs>
              <w:autoSpaceDE w:val="0"/>
              <w:widowControl/>
              <w:spacing w:line="230" w:lineRule="auto" w:before="36" w:after="0"/>
              <w:ind w:left="198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-1 </w:t>
            </w:r>
            <w:r>
              <w:tab/>
            </w: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0 </w:t>
            </w:r>
            <w:r>
              <w:tab/>
            </w: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1 </w:t>
            </w:r>
            <w:r>
              <w:tab/>
            </w: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2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62" w:right="0" w:firstLine="0"/>
              <w:jc w:val="left"/>
            </w:pPr>
            <w:r>
              <w:rPr>
                <w:w w:val="102.429993947347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E-Field [MV/cm]</w:t>
            </w:r>
          </w:p>
        </w:tc>
        <w:tc>
          <w:tcPr>
            <w:tcW w:type="dxa" w:w="12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52" w:right="0" w:firstLine="0"/>
              <w:jc w:val="left"/>
            </w:pPr>
            <w:r>
              <w:rPr>
                <w:w w:val="102.429993947347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400"/>
        </w:trPr>
        <w:tc>
          <w:tcPr>
            <w:tcW w:type="dxa" w:w="5188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18" w:after="0"/>
              <w:ind w:left="0" w:right="144" w:firstLine="213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E-Field [MV/cm] </w:t>
            </w:r>
            <w:r>
              <w:br/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8"/>
              </w:rPr>
              <w:t>Fig.3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 Comparison of P-E hysteresis between a planar capacitor and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100k trench capacitor with same planar area (projected area). The</w:t>
            </w:r>
          </w:p>
        </w:tc>
        <w:tc>
          <w:tcPr>
            <w:tcW w:type="dxa" w:w="2505"/>
            <w:gridSpan w:val="5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2004"/>
            <w:gridSpan w:val="4"/>
            <w:vMerge/>
            <w:tcBorders/>
          </w:tcPr>
          <w:p/>
        </w:tc>
        <w:tc>
          <w:tcPr>
            <w:tcW w:type="dxa" w:w="1503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008"/>
            <w:gridSpan w:val="8"/>
            <w:vMerge/>
            <w:tcBorders/>
          </w:tcPr>
          <w:p/>
        </w:tc>
        <w:tc>
          <w:tcPr>
            <w:tcW w:type="dxa" w:w="528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220" w:right="0" w:firstLine="0"/>
              <w:jc w:val="left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8"/>
              </w:rPr>
              <w:t>Fig.4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 P-E hysteresis loop of the densest trench array with the </w:t>
            </w:r>
          </w:p>
        </w:tc>
      </w:tr>
      <w:tr>
        <w:trPr>
          <w:trHeight w:hRule="exact" w:val="198"/>
        </w:trPr>
        <w:tc>
          <w:tcPr>
            <w:tcW w:type="dxa" w:w="4008"/>
            <w:gridSpan w:val="8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highest </w:t>
            </w:r>
          </w:p>
        </w:tc>
        <w:tc>
          <w:tcPr>
            <w:tcW w:type="dxa" w:w="8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remanent </w:t>
            </w:r>
          </w:p>
        </w:tc>
        <w:tc>
          <w:tcPr>
            <w:tcW w:type="dxa" w:w="9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projected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planar </w:t>
            </w:r>
          </w:p>
        </w:tc>
        <w:tc>
          <w:tcPr>
            <w:tcW w:type="dxa" w:w="11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polarization </w:t>
            </w:r>
          </w:p>
        </w:tc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and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pgSz w:w="12240" w:h="15840"/>
          <w:pgMar w:top="544" w:right="820" w:bottom="732" w:left="892" w:header="720" w:footer="720" w:gutter="0"/>
          <w:cols w:space="720" w:num="1" w:equalWidth="0"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calculated area gain, due to the additional trench surface, is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electrically reflected in the P-E hysteresis </w:t>
      </w:r>
    </w:p>
    <w:p>
      <w:pPr>
        <w:autoSpaceDN w:val="0"/>
        <w:autoSpaceDE w:val="0"/>
        <w:widowControl/>
        <w:spacing w:line="245" w:lineRule="auto" w:before="148" w:after="0"/>
        <w:ind w:left="0" w:right="14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loss of about 11% compared to the planar value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may be attributed to the conservative approximation of the 3-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dimensional surface area. Nevertheless, an intrinsic loss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polarization due to Al-dopant fluctuations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therewith ferroelectric phase stability fluctuations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increasing trench depth cannot be excluded. These issues,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are likely to be fixable with further ALD processing </w:t>
      </w:r>
    </w:p>
    <w:p>
      <w:pPr>
        <w:sectPr>
          <w:type w:val="continuous"/>
          <w:pgSz w:w="12240" w:h="15840"/>
          <w:pgMar w:top="544" w:right="820" w:bottom="73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5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corresponding C-V curve. </w:t>
      </w:r>
    </w:p>
    <w:p>
      <w:pPr>
        <w:autoSpaceDN w:val="0"/>
        <w:autoSpaceDE w:val="0"/>
        <w:widowControl/>
        <w:spacing w:line="245" w:lineRule="auto" w:before="358" w:after="8"/>
        <w:ind w:left="154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frequency of 10 kHz was applied to stress the devices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emulate continuous read/write operations. In between of these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pulse trains a hysteresis measurement was performed. In Fig. 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summarized results of these endurance measurements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illustrated for the 100k trench array. The highest endurance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saturated and therewith stable hysteresis [7] was measured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 2*10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 at a field of 2.5 MV/cm. Lowering the stress </w:t>
      </w:r>
    </w:p>
    <w:p>
      <w:pPr>
        <w:sectPr>
          <w:type w:val="nextColumn"/>
          <w:pgSz w:w="12240" w:h="15840"/>
          <w:pgMar w:top="544" w:right="820" w:bottom="73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tabs>
          <w:tab w:pos="5408" w:val="left"/>
        </w:tabs>
        <w:autoSpaceDE w:val="0"/>
        <w:widowControl/>
        <w:spacing w:line="233" w:lineRule="auto" w:before="0" w:after="14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iterations.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signal amplitude to 2 MV/cm, however, already reveals a </w:t>
      </w:r>
    </w:p>
    <w:p>
      <w:pPr>
        <w:sectPr>
          <w:type w:val="continuous"/>
          <w:pgSz w:w="12240" w:h="15840"/>
          <w:pgMar w:top="544" w:right="820" w:bottom="732" w:left="892" w:header="720" w:footer="720" w:gutter="0"/>
          <w:cols w:space="720" w:num="1" w:equalWidth="0"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 measurements were carried out on the 100k array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determine the ferroelectric behavior of the densest array.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measurement results are illustrated in Fig. 4. The collected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a clear evidence for a real ferroelectric behavior of the deep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trench capacitors. A characteristic P-E hysteresis loop as well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 corresponding current peaks clearly distinguishable from </w:t>
      </w:r>
    </w:p>
    <w:p>
      <w:pPr>
        <w:sectPr>
          <w:type w:val="continuous"/>
          <w:pgSz w:w="12240" w:h="15840"/>
          <w:pgMar w:top="544" w:right="820" w:bottom="73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subloop behavior and a stronger impact of polarization fatigue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observed. Increasing the stress amplitude above 2.5 MV/cm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lowers the time to dielectric breakdown and therewith limits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possible endurance cycles. This results show that in spite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excellent 3D-capability and thickness scaling properties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 electrode and material optimization will be required to </w:t>
      </w:r>
    </w:p>
    <w:p>
      <w:pPr>
        <w:sectPr>
          <w:type w:val="nextColumn"/>
          <w:pgSz w:w="12240" w:h="15840"/>
          <w:pgMar w:top="544" w:right="820" w:bottom="73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6"/>
        <w:gridCol w:w="1316"/>
        <w:gridCol w:w="1316"/>
        <w:gridCol w:w="1316"/>
        <w:gridCol w:w="1316"/>
        <w:gridCol w:w="1316"/>
        <w:gridCol w:w="1316"/>
        <w:gridCol w:w="1316"/>
      </w:tblGrid>
      <w:tr>
        <w:trPr>
          <w:trHeight w:hRule="exact" w:val="212"/>
        </w:trPr>
        <w:tc>
          <w:tcPr>
            <w:tcW w:type="dxa" w:w="5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leakage currents could be measured with a 1 kHz triangular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meet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endurance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requirements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current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FRAM </w:t>
            </w:r>
          </w:p>
        </w:tc>
      </w:tr>
      <w:tr>
        <w:trPr>
          <w:trHeight w:hRule="exact" w:val="248"/>
        </w:trPr>
        <w:tc>
          <w:tcPr>
            <w:tcW w:type="dxa" w:w="5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voltage sweep. The dual sweep C-V measurement at 30 kHz 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applications. </w:t>
            </w:r>
          </w:p>
        </w:tc>
        <w:tc>
          <w:tcPr>
            <w:tcW w:type="dxa" w:w="2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IV.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ONCLUSION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5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50 mV amplitude further showed the characteristic </w:t>
            </w:r>
          </w:p>
        </w:tc>
        <w:tc>
          <w:tcPr>
            <w:tcW w:type="dxa" w:w="2632"/>
            <w:gridSpan w:val="2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5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capacitance maxima at bias voltages corresponding to the </w:t>
            </w:r>
          </w:p>
        </w:tc>
        <w:tc>
          <w:tcPr>
            <w:tcW w:type="dxa" w:w="2632"/>
            <w:gridSpan w:val="2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2240" w:h="15840"/>
          <w:pgMar w:top="544" w:right="820" w:bottom="732" w:left="892" w:header="720" w:footer="720" w:gutter="0"/>
          <w:cols w:space="720" w:num="1" w:equalWidth="0"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coercive field strength. From the calculated permittivity value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about 38 it can be concluded that the Al:HfO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layer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crystalline [5], which is essential to obtain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behavior in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thin films.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State of the art FRAM metal-ferroelectric-metal capacitors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been engineered to be highly durable and electrically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stable. These conventional ferroelectrics withstand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12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 cycles, [6] whereas for comparison, common Flash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memory endurance ranges between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6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due to the destructive read out operation of capacitor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FRAM these high endurance values are required and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considered essential for all application scenarios. In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context the endurance behavior of the fabricated capacitors </w:t>
      </w:r>
    </w:p>
    <w:p>
      <w:pPr>
        <w:sectPr>
          <w:type w:val="continuous"/>
          <w:pgSz w:w="12240" w:h="15840"/>
          <w:pgMar w:top="544" w:right="820" w:bottom="73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article we demonstrated the first fully functional,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ultrathin film, ferroelectric, deep trench capacitor. For 100k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trench arrays a planar area projected remanent polarization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152 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achieved, revealing minimal remanent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polarization loss due to vertical integration. Endurance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 of these 3-dimenisonal capacitors further showed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that 2*10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switching cycles within a saturated, stable hysteresis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loop can be performed without fatigue or dielectric breakdown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5" w:lineRule="auto" w:before="0" w:after="8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now possible introduction of CMOS-compatible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trench and stack capacitors provides a pathway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1T/1C FRAM lateral area scaling and therewith higher memory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densities. It should be noted that in terms of MIM stack </w:t>
      </w:r>
    </w:p>
    <w:p>
      <w:pPr>
        <w:sectPr>
          <w:type w:val="nextColumn"/>
          <w:pgSz w:w="12240" w:h="15840"/>
          <w:pgMar w:top="544" w:right="820" w:bottom="73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04"/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202"/>
        </w:trPr>
        <w:tc>
          <w:tcPr>
            <w:tcW w:type="dxa" w:w="5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were investigated. Therefore, the 100k arrays were charged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configuration,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material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choice,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geometric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trench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2240" w:h="15840"/>
          <w:pgMar w:top="544" w:right="820" w:bottom="732" w:left="892" w:header="720" w:footer="720" w:gutter="0"/>
          <w:cols w:space="720" w:num="1" w:equalWidth="0"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different voltages. All tested structures have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previously conditioned to guarantee the same starting condition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all samples. A rectangular pulse train with a cycling </w:t>
      </w:r>
    </w:p>
    <w:p>
      <w:pPr>
        <w:sectPr>
          <w:type w:val="continuous"/>
          <w:pgSz w:w="12240" w:h="15840"/>
          <w:pgMar w:top="544" w:right="820" w:bottom="73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dimensions this demonstration of a nonvolatile memory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closely resembles the volatile eDRAM approach </w:t>
      </w:r>
    </w:p>
    <w:p>
      <w:pPr>
        <w:sectPr>
          <w:type w:val="nextColumn"/>
          <w:pgSz w:w="12240" w:h="15840"/>
          <w:pgMar w:top="544" w:right="820" w:bottom="732" w:left="892" w:header="720" w:footer="720" w:gutter="0"/>
          <w:cols w:space="720" w:num="2" w:equalWidth="0"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1054100</wp:posOffset>
            </wp:positionV>
            <wp:extent cx="4191000" cy="27686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68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34"/>
        <w:ind w:left="0" w:right="458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cycles [n]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8.0" w:type="dxa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>
        <w:trPr>
          <w:trHeight w:hRule="exact" w:val="394"/>
        </w:trPr>
        <w:tc>
          <w:tcPr>
            <w:tcW w:type="dxa" w:w="10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59" w:lineRule="auto" w:before="744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1"/>
              </w:rPr>
              <w:t>2</w:t>
            </w:r>
            <w:r>
              <w:rPr>
                <w:w w:val="102.69554985894098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w w:val="102.6955498589409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(pojected area A*B)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center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200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45" w:lineRule="auto" w:before="34" w:after="0"/>
              <w:ind w:left="116" w:right="144" w:firstLine="0"/>
              <w:jc w:val="left"/>
            </w:pPr>
            <w:r>
              <w:tab/>
            </w: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0 </w:t>
            </w:r>
            <w:r>
              <w:br/>
            </w: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245" w:lineRule="auto" w:before="34" w:after="0"/>
              <w:ind w:left="176" w:right="144" w:firstLine="0"/>
              <w:jc w:val="left"/>
            </w:pPr>
            <w:r>
              <w:tab/>
            </w: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br/>
            </w: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245" w:lineRule="auto" w:before="34" w:after="0"/>
              <w:ind w:left="180" w:right="0" w:firstLine="0"/>
              <w:jc w:val="left"/>
            </w:pPr>
            <w:r>
              <w:tab/>
            </w: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6" w:val="left"/>
              </w:tabs>
              <w:autoSpaceDE w:val="0"/>
              <w:widowControl/>
              <w:spacing w:line="245" w:lineRule="auto" w:before="34" w:after="0"/>
              <w:ind w:left="284" w:right="144" w:firstLine="0"/>
              <w:jc w:val="left"/>
            </w:pPr>
            <w:r>
              <w:tab/>
            </w: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3 </w:t>
            </w:r>
            <w:r>
              <w:br/>
            </w: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8" w:right="0" w:firstLine="0"/>
              <w:jc w:val="left"/>
            </w:pP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34" w:after="0"/>
              <w:ind w:left="188" w:right="0" w:firstLine="0"/>
              <w:jc w:val="left"/>
            </w:pPr>
            <w:r>
              <w:tab/>
            </w: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5 </w:t>
            </w: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245" w:lineRule="auto" w:before="34" w:after="0"/>
              <w:ind w:left="368" w:right="144" w:firstLine="0"/>
              <w:jc w:val="left"/>
            </w:pPr>
            <w:r>
              <w:tab/>
            </w: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6 </w:t>
            </w:r>
            <w:r>
              <w:br/>
            </w: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0" w:right="0" w:firstLine="0"/>
              <w:jc w:val="left"/>
            </w:pP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0" w:right="0" w:firstLine="0"/>
              <w:jc w:val="left"/>
            </w:pP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245" w:lineRule="auto" w:before="34" w:after="0"/>
              <w:ind w:left="176" w:right="144" w:firstLine="0"/>
              <w:jc w:val="left"/>
            </w:pPr>
            <w:r>
              <w:tab/>
            </w: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9 </w:t>
            </w:r>
            <w:r>
              <w:br/>
            </w: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8" w:right="0" w:firstLine="0"/>
              <w:jc w:val="left"/>
            </w:pPr>
            <w:r>
              <w:rPr>
                <w:w w:val="96.2733348210652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10</w:t>
            </w:r>
          </w:p>
        </w:tc>
      </w:tr>
      <w:tr>
        <w:trPr>
          <w:trHeight w:hRule="exact" w:val="1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8" w:after="0"/>
              <w:ind w:left="82" w:right="0" w:firstLine="0"/>
              <w:jc w:val="left"/>
            </w:pPr>
            <w:r>
              <w:rPr>
                <w:w w:val="102.69554985894098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remanent polarization [µC/cm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150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100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90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50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90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-50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-100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598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552" w:right="0" w:firstLine="0"/>
              <w:jc w:val="left"/>
            </w:pPr>
            <w:r>
              <w:rPr>
                <w:w w:val="102.6955498589409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(pojected area A*B)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16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8" w:after="0"/>
              <w:ind w:left="0" w:right="158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 3.3 MV/cm</w:t>
            </w:r>
          </w:p>
        </w:tc>
        <w:tc>
          <w:tcPr>
            <w:tcW w:type="dxa" w:w="17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2" w:after="0"/>
              <w:ind w:left="0" w:right="186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 2.9 MV/cm</w:t>
            </w:r>
          </w:p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2" w:after="0"/>
              <w:ind w:left="0" w:right="48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 2.5 MV/cm</w:t>
            </w:r>
          </w:p>
        </w:tc>
        <w:tc>
          <w:tcPr>
            <w:tcW w:type="dxa" w:w="2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2" w:after="0"/>
              <w:ind w:left="0" w:right="1026" w:firstLine="0"/>
              <w:jc w:val="right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 2 MV/cm</w:t>
            </w:r>
          </w:p>
        </w:tc>
      </w:tr>
      <w:tr>
        <w:trPr>
          <w:trHeight w:hRule="exact" w:val="306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-150</w:t>
            </w:r>
          </w:p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392"/>
            <w:gridSpan w:val="4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990"/>
            <w:gridSpan w:val="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w w:val="102.15000353361432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-200</w:t>
            </w:r>
          </w:p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392"/>
            <w:gridSpan w:val="4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990"/>
            <w:gridSpan w:val="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66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1"/>
              </w:rPr>
              <w:t>2</w:t>
            </w:r>
            <w:r>
              <w:rPr>
                <w:w w:val="102.69554985894098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]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392"/>
            <w:gridSpan w:val="4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990"/>
            <w:gridSpan w:val="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300</w:t>
            </w:r>
          </w:p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392"/>
            <w:gridSpan w:val="4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990"/>
            <w:gridSpan w:val="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92" w:after="0"/>
              <w:ind w:left="472" w:right="0" w:firstLine="0"/>
              <w:jc w:val="left"/>
            </w:pPr>
            <w:r>
              <w:rPr>
                <w:w w:val="102.69554985894098"/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polarization [µC/cm</w:t>
            </w:r>
          </w:p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392"/>
            <w:gridSpan w:val="4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990"/>
            <w:gridSpan w:val="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150</w:t>
            </w:r>
          </w:p>
        </w:tc>
        <w:tc>
          <w:tcPr>
            <w:tcW w:type="dxa" w:w="16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54" w:after="0"/>
              <w:ind w:left="0" w:right="0" w:firstLine="0"/>
              <w:jc w:val="center"/>
            </w:pPr>
            <w:r>
              <w:rPr>
                <w:w w:val="102.6955498589409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-3 -2 -1 0 1 2 3</w:t>
            </w:r>
          </w:p>
        </w:tc>
        <w:tc>
          <w:tcPr>
            <w:tcW w:type="dxa" w:w="17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54" w:after="0"/>
              <w:ind w:left="84" w:right="0" w:firstLine="0"/>
              <w:jc w:val="left"/>
            </w:pPr>
            <w:r>
              <w:rPr>
                <w:w w:val="102.6955498589409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-3 -2 -1 0 1 2 3</w:t>
            </w:r>
          </w:p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54" w:after="0"/>
              <w:ind w:left="0" w:right="0" w:firstLine="0"/>
              <w:jc w:val="center"/>
            </w:pPr>
            <w:r>
              <w:rPr>
                <w:w w:val="102.6955498589409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-3 -2 -1 0 1 2 3</w:t>
            </w:r>
          </w:p>
        </w:tc>
        <w:tc>
          <w:tcPr>
            <w:tcW w:type="dxa" w:w="25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54" w:after="0"/>
              <w:ind w:left="136" w:right="0" w:firstLine="0"/>
              <w:jc w:val="left"/>
            </w:pPr>
            <w:r>
              <w:rPr>
                <w:w w:val="102.6955498589409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-3 -2 -1 0 1 2 3</w:t>
            </w:r>
          </w:p>
        </w:tc>
      </w:tr>
      <w:tr>
        <w:trPr>
          <w:trHeight w:hRule="exact" w:val="328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392"/>
            <w:gridSpan w:val="4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990"/>
            <w:gridSpan w:val="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-150</w:t>
            </w:r>
          </w:p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392"/>
            <w:gridSpan w:val="4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990"/>
            <w:gridSpan w:val="5"/>
            <w:vMerge/>
            <w:tcBorders/>
          </w:tcPr>
          <w:p/>
        </w:tc>
      </w:tr>
      <w:tr>
        <w:trPr>
          <w:trHeight w:hRule="exact" w:val="562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-300</w:t>
            </w:r>
          </w:p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392"/>
            <w:gridSpan w:val="4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2990"/>
            <w:gridSpan w:val="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598"/>
            <w:vMerge/>
            <w:tcBorders/>
          </w:tcPr>
          <w:p/>
        </w:tc>
        <w:tc>
          <w:tcPr>
            <w:tcW w:type="dxa" w:w="1794"/>
            <w:gridSpan w:val="3"/>
            <w:vMerge/>
            <w:tcBorders/>
          </w:tcPr>
          <w:p/>
        </w:tc>
        <w:tc>
          <w:tcPr>
            <w:tcW w:type="dxa" w:w="32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E-Field [MV/cm]</w:t>
            </w:r>
          </w:p>
        </w:tc>
        <w:tc>
          <w:tcPr>
            <w:tcW w:type="dxa" w:w="2990"/>
            <w:gridSpan w:val="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2" w:after="296"/>
        <w:ind w:left="288" w:right="0" w:firstLine="0"/>
        <w:jc w:val="center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Fig.5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 Endurance characteristics of the 100k trench array for different stress conditions. Excellent results have been observed for measurements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with an amplitude of 3V (2.5 MV/cm) for a saturated and stable window. </w:t>
      </w:r>
    </w:p>
    <w:p>
      <w:pPr>
        <w:sectPr>
          <w:pgSz w:w="12240" w:h="15840"/>
          <w:pgMar w:top="572" w:right="578" w:bottom="754" w:left="892" w:header="720" w:footer="720" w:gutter="0"/>
          <w:cols w:space="720" w:num="1" w:equalWidth="0">
            <w:col w:w="10770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tabs>
          <w:tab w:pos="288" w:val="left"/>
        </w:tabs>
        <w:autoSpaceDE w:val="0"/>
        <w:widowControl/>
        <w:spacing w:line="245" w:lineRule="auto" w:before="0" w:after="0"/>
        <w:ind w:left="0" w:right="28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introduced by INTEL in 2013 [8]. This underlines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manufacturability of this NVM approach. </w:t>
      </w:r>
    </w:p>
    <w:p>
      <w:pPr>
        <w:autoSpaceDN w:val="0"/>
        <w:autoSpaceDE w:val="0"/>
        <w:widowControl/>
        <w:spacing w:line="245" w:lineRule="auto" w:before="18" w:after="4"/>
        <w:ind w:left="0" w:right="33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Besides its implications on capacitor based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memories this 3D- capability provides a new perspective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1T ferroelectric memory solutions as well. As an embedded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memory in HKMG technology the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 effect transistor (1T FRAM) has to be able to adapt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its CMOS environment. In other words, with a transition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gate first to gate last (full replacement gate)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95"/>
        <w:gridCol w:w="1795"/>
        <w:gridCol w:w="1795"/>
        <w:gridCol w:w="1795"/>
        <w:gridCol w:w="1795"/>
        <w:gridCol w:w="1795"/>
      </w:tblGrid>
      <w:tr>
        <w:trPr>
          <w:trHeight w:hRule="exact" w:val="228"/>
        </w:trPr>
        <w:tc>
          <w:tcPr>
            <w:tcW w:type="dxa" w:w="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ultimately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trigate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transistor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conformal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deposition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0" w:right="33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 for the logic as well as for the memory transistor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becomes essential. Additionally increasing memory density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 will eventually require 3D-architectures and vertical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integration comparable to other 1T memory solutions such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3D vertical NAND. With the feasibility demonstration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3D-integration presented here, the framework to investigate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new memory solutions is set. </w:t>
      </w:r>
    </w:p>
    <w:p>
      <w:pPr>
        <w:autoSpaceDN w:val="0"/>
        <w:autoSpaceDE w:val="0"/>
        <w:widowControl/>
        <w:spacing w:line="230" w:lineRule="auto" w:before="172" w:after="0"/>
        <w:ind w:left="0" w:right="200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CKNOWLEDGMENT</w:t>
      </w:r>
    </w:p>
    <w:p>
      <w:pPr>
        <w:autoSpaceDN w:val="0"/>
        <w:autoSpaceDE w:val="0"/>
        <w:widowControl/>
        <w:spacing w:line="245" w:lineRule="auto" w:before="86" w:after="0"/>
        <w:ind w:left="0" w:right="33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K. Biedermann is acknowleged for the STEM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micrographs. J. Paul is acknowleged for the RIE etch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whole eBeam group of our institute for the patterning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process. </w:t>
      </w:r>
    </w:p>
    <w:p>
      <w:pPr>
        <w:autoSpaceDN w:val="0"/>
        <w:autoSpaceDE w:val="0"/>
        <w:widowControl/>
        <w:spacing w:line="245" w:lineRule="auto" w:before="18" w:after="0"/>
        <w:ind w:left="0" w:right="33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work was financially supported within the EFRE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fund of the European Community and by the Free State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Saxony (Cool Memory). </w:t>
      </w:r>
    </w:p>
    <w:p>
      <w:pPr>
        <w:autoSpaceDN w:val="0"/>
        <w:autoSpaceDE w:val="0"/>
        <w:widowControl/>
        <w:spacing w:line="230" w:lineRule="auto" w:before="174" w:after="0"/>
        <w:ind w:left="0" w:right="230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245" w:lineRule="auto" w:before="86" w:after="0"/>
        <w:ind w:left="360" w:right="288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Koo, June-Mo; Seo, Bum-Seok; Kim, Sukpil; Shin, Sangmin;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Lee, Jung-Hyun; Baik, Hionsuck et al. (2005): Fabrication of </w:t>
      </w:r>
    </w:p>
    <w:p>
      <w:pPr>
        <w:sectPr>
          <w:type w:val="continuous"/>
          <w:pgSz w:w="12240" w:h="15840"/>
          <w:pgMar w:top="572" w:right="578" w:bottom="754" w:left="892" w:header="720" w:footer="720" w:gutter="0"/>
          <w:cols w:space="720" w:num="2" w:equalWidth="0">
            <w:col w:w="5254" w:space="0"/>
            <w:col w:w="5516" w:space="0"/>
            <w:col w:w="10770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5254" w:space="0"/>
            <w:col w:w="5274" w:space="0"/>
            <w:col w:w="10528" w:space="0"/>
            <w:col w:w="10526" w:space="0"/>
            <w:col w:w="5254" w:space="0"/>
            <w:col w:w="5271" w:space="0"/>
            <w:col w:w="10526" w:space="0"/>
            <w:col w:w="5875" w:space="0"/>
            <w:col w:w="4650" w:space="0"/>
            <w:col w:w="105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94" w:right="27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3D trench PZT capacitors for 256Mbit FRAM device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application.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Electron Devices Meeting (IEDM)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2005.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Technical Digest. IEEE International, p. 4 pp. </w:t>
      </w:r>
    </w:p>
    <w:p>
      <w:pPr>
        <w:autoSpaceDN w:val="0"/>
        <w:tabs>
          <w:tab w:pos="694" w:val="left"/>
        </w:tabs>
        <w:autoSpaceDE w:val="0"/>
        <w:widowControl/>
        <w:spacing w:line="245" w:lineRule="auto" w:before="58" w:after="0"/>
        <w:ind w:left="334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[2]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Takashima, D. (2010): CMOS Processors and memories,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Springer Science+Business Media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p.361-378 </w:t>
      </w:r>
    </w:p>
    <w:p>
      <w:pPr>
        <w:autoSpaceDN w:val="0"/>
        <w:tabs>
          <w:tab w:pos="694" w:val="left"/>
        </w:tabs>
        <w:autoSpaceDE w:val="0"/>
        <w:widowControl/>
        <w:spacing w:line="245" w:lineRule="auto" w:before="58" w:after="0"/>
        <w:ind w:left="334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[3]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Höfflinger, B. (2012): CHIPS2020, The Frontiers Collection,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Springer-Verlag Berlin Heidelberg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p. 229-248 </w:t>
      </w:r>
    </w:p>
    <w:p>
      <w:pPr>
        <w:autoSpaceDN w:val="0"/>
        <w:autoSpaceDE w:val="0"/>
        <w:widowControl/>
        <w:spacing w:line="245" w:lineRule="auto" w:before="56" w:after="0"/>
        <w:ind w:left="694" w:right="26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[4]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Müller, J.; Böscke, T.S.; Müller, S.; Yurchuk, E.; Polakowski,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P.; Paul, J.; Martin, D.; Schenk, T.; Khullar, K.; Kersch, A.;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Weinreich, W.; Riedel, S.; Seidel, K.; Kumar, A.; Arruda,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T.M.; Kalinin, S.V.; Schlosser, T.; Boschke, R.; van Bentum,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R.; Schroder, U.; Mikolajick, T., (2013): Ferroelectric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hafnium oxide: A CMOS-compatible and highly scalable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approach to future ferroelectric memories,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Electron Devices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Meeting (IEDM)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2013 IEEE International pp.10.8.1,10.8.4,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9-11 Dec. 2013 </w:t>
      </w:r>
    </w:p>
    <w:p>
      <w:pPr>
        <w:autoSpaceDN w:val="0"/>
        <w:autoSpaceDE w:val="0"/>
        <w:widowControl/>
        <w:spacing w:line="245" w:lineRule="auto" w:before="58" w:after="0"/>
        <w:ind w:left="694" w:right="268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[5]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Müller, J.; Böscke; T. S.; Bräuhaus; D.; Schroder, U.; Böttger;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U.; Sundqvist, J.; et al. (2011): Ferroelectric Zr0.5Hf0.5O2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thin films for nonvolatile memory applications.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Applied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Physics Letters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99 (11), p. 112901. </w:t>
      </w:r>
    </w:p>
    <w:p>
      <w:pPr>
        <w:autoSpaceDN w:val="0"/>
        <w:autoSpaceDE w:val="0"/>
        <w:widowControl/>
        <w:spacing w:line="245" w:lineRule="auto" w:before="60" w:after="0"/>
        <w:ind w:left="694" w:right="144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[6]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Rodriguez J.; et. al. (2004): Reliability Properties of Low-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Voltage Ferroelectric Capacitors and Memory Arrays.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IEEE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transactions on device and materials reliability</w:t>
      </w:r>
    </w:p>
    <w:p>
      <w:pPr>
        <w:autoSpaceDN w:val="0"/>
        <w:autoSpaceDE w:val="0"/>
        <w:widowControl/>
        <w:spacing w:line="245" w:lineRule="auto" w:before="58" w:after="0"/>
        <w:ind w:left="694" w:right="268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[7]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Müller, S.; Müller, J.; Schroeder, U.; Mikolajick, T. (2013):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Reliability Characteristics of Ferroelectric Si:HfO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Thin Films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for Memory Applications.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Device and Materials Reliability,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IEEE Transactions 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13 (1), p. 93–97. </w:t>
      </w:r>
    </w:p>
    <w:p>
      <w:pPr>
        <w:autoSpaceDN w:val="0"/>
        <w:autoSpaceDE w:val="0"/>
        <w:widowControl/>
        <w:spacing w:line="245" w:lineRule="auto" w:before="58" w:after="0"/>
        <w:ind w:left="694" w:right="144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[8]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Brain, R.; Baran, A.; Bisnik, N.; Chen, H.-P.; Choi, S.-J.;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Chugh, A.; et. al. (2013):, "A 22nm high performance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3.9999999999998" w:type="dxa"/>
      </w:tblPr>
      <w:tblGrid>
        <w:gridCol w:w="1795"/>
        <w:gridCol w:w="1795"/>
        <w:gridCol w:w="1795"/>
        <w:gridCol w:w="1795"/>
        <w:gridCol w:w="1795"/>
        <w:gridCol w:w="1795"/>
      </w:tblGrid>
      <w:tr>
        <w:trPr>
          <w:trHeight w:hRule="exact" w:val="2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embedded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DRAM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SoC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technology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featuring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tri-gate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94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transistors and MIMCAP COB,"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VLSI Technology (VLSIT),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pp.T16,T17, 11-13 June 2013 </w:t>
      </w:r>
    </w:p>
    <w:sectPr w:rsidR="00FC693F" w:rsidRPr="0006063C" w:rsidSect="00034616">
      <w:type w:val="nextColumn"/>
      <w:pgSz w:w="12240" w:h="15840"/>
      <w:pgMar w:top="572" w:right="578" w:bottom="754" w:left="892" w:header="720" w:footer="720" w:gutter="0"/>
      <w:cols w:space="720" w:num="2" w:equalWidth="0">
        <w:col w:w="5254" w:space="0"/>
        <w:col w:w="5516" w:space="0"/>
        <w:col w:w="10770" w:space="0"/>
        <w:col w:w="5254" w:space="0"/>
        <w:col w:w="5274" w:space="0"/>
        <w:col w:w="10528" w:space="0"/>
        <w:col w:w="5254" w:space="0"/>
        <w:col w:w="5274" w:space="0"/>
        <w:col w:w="10528" w:space="0"/>
        <w:col w:w="5254" w:space="0"/>
        <w:col w:w="5274" w:space="0"/>
        <w:col w:w="10528" w:space="0"/>
        <w:col w:w="5254" w:space="0"/>
        <w:col w:w="5274" w:space="0"/>
        <w:col w:w="10528" w:space="0"/>
        <w:col w:w="5254" w:space="0"/>
        <w:col w:w="5274" w:space="0"/>
        <w:col w:w="10528" w:space="0"/>
        <w:col w:w="5254" w:space="0"/>
        <w:col w:w="5274" w:space="0"/>
        <w:col w:w="10528" w:space="0"/>
        <w:col w:w="10526" w:space="0"/>
        <w:col w:w="5254" w:space="0"/>
        <w:col w:w="5271" w:space="0"/>
        <w:col w:w="10526" w:space="0"/>
        <w:col w:w="5875" w:space="0"/>
        <w:col w:w="4650" w:space="0"/>
        <w:col w:w="105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