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A 28nm HKMG super low power embedded NVM </w:t>
      </w:r>
    </w:p>
    <w:p>
      <w:pPr>
        <w:autoSpaceDN w:val="0"/>
        <w:autoSpaceDE w:val="0"/>
        <w:widowControl/>
        <w:spacing w:line="230" w:lineRule="auto" w:before="20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technology based on ferroelectric FETs </w:t>
      </w:r>
    </w:p>
    <w:p>
      <w:pPr>
        <w:autoSpaceDN w:val="0"/>
        <w:autoSpaceDE w:val="0"/>
        <w:widowControl/>
        <w:spacing w:line="245" w:lineRule="auto" w:before="312" w:after="178"/>
        <w:ind w:left="0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>M. Trentzsch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S. Flachowsky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R. Richter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J. Paul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B. Reimer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D. Utess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S. Jansen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H. Mulaosmanovic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S. Müller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2,3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S. Slesazeck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J. Ocker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2,3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M. Noack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2,3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J. Müller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P. Polakowski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J. Schreiter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S. Beyer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T. Mikolajick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2,6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and B. Rice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GLOBALFOUNDRIES Fab1 LLC &amp; Co. KG, Dresden, Germany, email: </w:t>
      </w:r>
      <w:r>
        <w:rPr>
          <w:rFonts w:ascii="TimesNewRoman" w:hAnsi="TimesNewRoman" w:eastAsia="TimesNewRoman"/>
          <w:b w:val="0"/>
          <w:i w:val="0"/>
          <w:color w:val="0000FF"/>
          <w:sz w:val="20"/>
          <w:u w:val="single"/>
        </w:rPr>
        <w:t xml:space="preserve">sven.beyer@globalfoundries.com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NaMLab gGmbH, Dresden, Germany;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Memory GmbH, Dresden, Germany;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 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Fraunhofer IPMS, Dresden, Germany;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RacyICs GmbH, Dresden, Germany;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6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IHM, TU Dresden, Dresden, Germany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536"/>
        <w:gridCol w:w="1536"/>
        <w:gridCol w:w="1536"/>
        <w:gridCol w:w="1536"/>
        <w:gridCol w:w="1536"/>
        <w:gridCol w:w="1536"/>
        <w:gridCol w:w="1536"/>
      </w:tblGrid>
      <w:tr>
        <w:trPr>
          <w:trHeight w:hRule="exact" w:val="26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82" w:right="0" w:firstLine="0"/>
              <w:jc w:val="left"/>
            </w:pPr>
            <w:r>
              <w:rPr>
                <w:rFonts w:ascii="" w:hAnsi="" w:eastAsia=""/>
                <w:b/>
                <w:i/>
                <w:color w:val="000000"/>
                <w:sz w:val="20"/>
              </w:rPr>
              <w:t>Abstract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—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 successfully implemented a one-transistor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hafnium-based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FeFET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embedded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2240" w:h="15840"/>
          <w:pgMar w:top="550" w:right="610" w:bottom="7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(1T) ferroelectric field effect transistor (FeFET) eNVM into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28nm gate-first super low power (28SLP) CMOS technology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platform using two additional structural masks. The electrical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baseline properties remain the same for the FeFET integration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JTAG-controlled 64 kbit memory shows clearly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separated states. High temperature retention up to 250 °C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demonstrated and endurance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was achieved.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unique properties make it the best candidate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eNVM solutions in sub-2x technologies for low-cost IoT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applications. </w:t>
      </w:r>
    </w:p>
    <w:p>
      <w:pPr>
        <w:autoSpaceDN w:val="0"/>
        <w:tabs>
          <w:tab w:pos="2298" w:val="left"/>
        </w:tabs>
        <w:autoSpaceDE w:val="0"/>
        <w:widowControl/>
        <w:spacing w:line="222" w:lineRule="exact" w:before="210" w:after="0"/>
        <w:ind w:left="1878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I</w:t>
      </w:r>
      <w:r>
        <w:rPr>
          <w:rFonts w:ascii="" w:hAnsi="" w:eastAsia=""/>
          <w:b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6" w:after="0"/>
        <w:ind w:left="14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 cost effective, ultra-low-power embedded non-volatile-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(eNVM) is essential for IoT applications. 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candidate among the emerging memory concepts is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field effect transistor (FeFET). The discovery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ferroelectricity in silicon doped hafnium oxide (Si:HfO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2011 [1] enabled the transfer of ferroelectric based devices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mainstream CMOS platforms due to its scalability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CMOS compatibility [2,3]. Those single device results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established the foundation when going from development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mass production. For the first time we demonstrate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eNVM functionality on larger memory arrays embedded into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foundry standard 28nm SLP HKMG CMOS flow. We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developed a non-disruptive eNVM process and show JTAG-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controlled array results, together with initial retention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data. </w:t>
      </w:r>
    </w:p>
    <w:p>
      <w:pPr>
        <w:autoSpaceDN w:val="0"/>
        <w:autoSpaceDE w:val="0"/>
        <w:widowControl/>
        <w:spacing w:line="222" w:lineRule="exact" w:before="130" w:after="0"/>
        <w:ind w:left="0" w:right="1200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>II.</w:t>
      </w:r>
      <w:r>
        <w:rPr>
          <w:rFonts w:ascii="" w:hAnsi="" w:eastAsia=""/>
          <w:b/>
          <w:i w:val="0"/>
          <w:color w:val="000000"/>
          <w:sz w:val="20"/>
        </w:rPr>
        <w:t>R</w:t>
      </w:r>
      <w:r>
        <w:rPr>
          <w:rFonts w:ascii="" w:hAnsi="" w:eastAsia=""/>
          <w:b/>
          <w:i w:val="0"/>
          <w:color w:val="000000"/>
          <w:sz w:val="16"/>
        </w:rPr>
        <w:t xml:space="preserve">ESULTS AND </w:t>
      </w:r>
      <w:r>
        <w:rPr>
          <w:rFonts w:ascii="" w:hAnsi="" w:eastAsia=""/>
          <w:b/>
          <w:i w:val="0"/>
          <w:color w:val="000000"/>
          <w:sz w:val="20"/>
        </w:rPr>
        <w:t>D</w:t>
      </w:r>
      <w:r>
        <w:rPr>
          <w:rFonts w:ascii="" w:hAnsi="" w:eastAsia=""/>
          <w:b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22" w:lineRule="exact" w:before="84" w:after="0"/>
        <w:ind w:left="142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A.</w:t>
      </w:r>
      <w:r>
        <w:rPr>
          <w:rFonts w:ascii="" w:hAnsi="" w:eastAsia=""/>
          <w:b w:val="0"/>
          <w:i/>
          <w:color w:val="000000"/>
          <w:sz w:val="20"/>
        </w:rPr>
        <w:t xml:space="preserve"> Experimental Details </w:t>
      </w:r>
    </w:p>
    <w:p>
      <w:pPr>
        <w:autoSpaceDN w:val="0"/>
        <w:autoSpaceDE w:val="0"/>
        <w:widowControl/>
        <w:spacing w:line="245" w:lineRule="auto" w:before="70" w:after="0"/>
        <w:ind w:left="142" w:right="7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test vehicle (Fig. 1) comprises several 64 kbit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arrays with NOR and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architectures and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transistor dimensio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ns ranging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from 30 nm x 80 nm to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500 nm  x 500 nm.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Each 1T m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emory cell can be accessed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individually for writ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 operations and parametric measurements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via an integrated decoder circuitry. The logic state of each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is detected by an on-chip current sense amplifier.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chip features a JTAG interface for addressing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configuration of the step sequence. Since the chip mainly acts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multiplexer, neither on-chip charge pumps nor clock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generators are required. Voltage pulses for writing and readout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generated externally. </w:t>
      </w:r>
    </w:p>
    <w:p>
      <w:pPr>
        <w:sectPr>
          <w:type w:val="continuous"/>
          <w:pgSz w:w="12240" w:h="15840"/>
          <w:pgMar w:top="550" w:right="610" w:bottom="78" w:left="880" w:header="720" w:footer="720" w:gutter="0"/>
          <w:cols w:space="720" w:num="2" w:equalWidth="0"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4" w:right="3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GLOBALFOUNDRIES high-volume gate-first 28nm HKMG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super low power platform (28SLP, Table I). The simultaneous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integration of CMOS devices together with the FeFET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chip is demonstrated (Fig. 2). The FeFET gate stack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(material, thickness, etc.) can be optimized independently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baseline 28nm device integration. An arbitrarily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mixed placement of CMOS and FeFET devices in the same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circuit is possible with platform logic design rules. </w:t>
      </w:r>
    </w:p>
    <w:p>
      <w:pPr>
        <w:autoSpaceDN w:val="0"/>
        <w:autoSpaceDE w:val="0"/>
        <w:widowControl/>
        <w:spacing w:line="222" w:lineRule="exact" w:before="128" w:after="0"/>
        <w:ind w:left="124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B.</w:t>
      </w:r>
      <w:r>
        <w:rPr>
          <w:rFonts w:ascii="" w:hAnsi="" w:eastAsia=""/>
          <w:b w:val="0"/>
          <w:i/>
          <w:color w:val="000000"/>
          <w:sz w:val="20"/>
        </w:rPr>
        <w:t xml:space="preserve">Platform Compatibility </w:t>
      </w:r>
    </w:p>
    <w:p>
      <w:pPr>
        <w:autoSpaceDN w:val="0"/>
        <w:autoSpaceDE w:val="0"/>
        <w:widowControl/>
        <w:spacing w:line="245" w:lineRule="auto" w:before="68" w:after="0"/>
        <w:ind w:left="124" w:right="36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fully CMOS compatible embedded FeFET integration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scheme requires two additional structural DUV-masks.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electrical device parameters of the 28SLP platform are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shifted by the FeFET integration as shown exemplarily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logic device performance in Fig. 3. The additional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steps do not increase the defectivity level as was demonstrated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a matured high-volume product (not comprising an actual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area) where the implemented FeFET module did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affect the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-limited yield. The current integration scheme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enables a direct transfer of the FeFET module into more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advanced technologies, like the 22FDX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platform. </w:t>
      </w:r>
    </w:p>
    <w:p>
      <w:pPr>
        <w:autoSpaceDN w:val="0"/>
        <w:autoSpaceDE w:val="0"/>
        <w:widowControl/>
        <w:spacing w:line="222" w:lineRule="exact" w:before="128" w:after="0"/>
        <w:ind w:left="124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C.</w:t>
      </w:r>
      <w:r>
        <w:rPr>
          <w:rFonts w:ascii="" w:hAnsi="" w:eastAsia=""/>
          <w:b w:val="0"/>
          <w:i/>
          <w:color w:val="000000"/>
          <w:sz w:val="20"/>
        </w:rPr>
        <w:t xml:space="preserve">Single Device FeFET Functionality </w:t>
      </w:r>
    </w:p>
    <w:p>
      <w:pPr>
        <w:autoSpaceDN w:val="0"/>
        <w:autoSpaceDE w:val="0"/>
        <w:widowControl/>
        <w:spacing w:line="245" w:lineRule="auto" w:before="68" w:after="0"/>
        <w:ind w:left="124" w:right="288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4 shows the polarization hysteresis measured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10,000 µm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TiN-Si:HfO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-TiN (MFM) capacitors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reference.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-characteristics of a single device fabricated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using the ‘Generation 0’ embedded FeFET process is shown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Fig. 5a for both “low-V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 and “high-V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” states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memory window of MW=1 V. The difference in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ow-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high-V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state results in a drain current ratio &gt; 100.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1075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compared to classical FRAM, the 1T architecture allows for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1075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non-destructive reads and a memory operation comparable to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24" w:right="362" w:firstLine="0"/>
        <w:jc w:val="both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that of eFLASH cells.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domain-driven ferroelectric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switching behavior [4] for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 500x30 nm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device is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5b and observed to be extremely abrupt, indicating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stability against disturbs. For positive gate pulses the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shifts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lower values at around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=3 V, whereas for negative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pulses around 4 V the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shifts to higher values. Pulse lengths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the moment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still in 1-10 µs range, gated by the external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 generation.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Shorter pulse lengths are beneficial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10750"/>
      </w:tblGrid>
      <w:tr>
        <w:trPr>
          <w:trHeight w:hRule="exact" w:val="264"/>
        </w:trPr>
        <w:tc>
          <w:tcPr>
            <w:tcW w:type="dxa" w:w="510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endurance and fast read-out after writing, as it shifts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1075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balance between two contradictory mechanisms, trapping and </w:t>
            </w:r>
          </w:p>
        </w:tc>
      </w:tr>
    </w:tbl>
    <w:p>
      <w:pPr>
        <w:autoSpaceDN w:val="0"/>
        <w:autoSpaceDE w:val="0"/>
        <w:widowControl/>
        <w:spacing w:line="230" w:lineRule="auto" w:before="0" w:after="1102"/>
        <w:ind w:left="124" w:right="0" w:firstLine="0"/>
        <w:jc w:val="left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polarization, in a favorable direction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[5]. </w:t>
      </w:r>
    </w:p>
    <w:p>
      <w:pPr>
        <w:sectPr>
          <w:type w:val="nextColumn"/>
          <w:pgSz w:w="12240" w:h="15840"/>
          <w:pgMar w:top="550" w:right="610" w:bottom="78" w:left="880" w:header="720" w:footer="720" w:gutter="0"/>
          <w:cols w:space="720" w:num="2" w:equalWidth="0">
            <w:col w:w="5240" w:space="0"/>
            <w:col w:w="5510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34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978-1-5090-3902-9/16/$31.00 ©2016 IEEE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0" w:after="0"/>
              <w:ind w:left="0" w:right="2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11.5.1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IEDM16-294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50" w:right="610" w:bottom="78" w:left="880" w:header="720" w:footer="720" w:gutter="0"/>
          <w:cols w:space="720" w:num="1" w:equalWidth="0"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tabs>
          <w:tab w:pos="5614" w:val="left"/>
        </w:tabs>
        <w:autoSpaceDE w:val="0"/>
        <w:widowControl/>
        <w:spacing w:line="222" w:lineRule="exact" w:before="0" w:after="68"/>
        <w:ind w:left="392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D.</w:t>
      </w:r>
      <w:r>
        <w:rPr>
          <w:rFonts w:ascii="" w:hAnsi="" w:eastAsia=""/>
          <w:b w:val="0"/>
          <w:i/>
          <w:color w:val="000000"/>
          <w:sz w:val="20"/>
        </w:rPr>
        <w:t xml:space="preserve">64 kbit Macro </w:t>
      </w:r>
      <w:r>
        <w:tab/>
      </w:r>
      <w:r>
        <w:rPr>
          <w:rFonts w:ascii="" w:hAnsi="" w:eastAsia=""/>
          <w:b w:val="0"/>
          <w:i/>
          <w:color w:val="000000"/>
          <w:sz w:val="20"/>
        </w:rPr>
        <w:t>F.</w:t>
      </w:r>
      <w:r>
        <w:rPr>
          <w:rFonts w:ascii="" w:hAnsi="" w:eastAsia=""/>
          <w:b w:val="0"/>
          <w:i/>
          <w:color w:val="000000"/>
          <w:sz w:val="20"/>
        </w:rPr>
        <w:t xml:space="preserve">Benchmarking </w:t>
      </w:r>
    </w:p>
    <w:p>
      <w:pPr>
        <w:sectPr>
          <w:pgSz w:w="12240" w:h="15840"/>
          <w:pgMar w:top="626" w:right="950" w:bottom="78" w:left="630" w:header="720" w:footer="720" w:gutter="0"/>
          <w:cols w:space="720" w:num="1" w:equalWidth="0"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92" w:right="10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verify the effective addressability of arrays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the chip, the functionality of the JTAG interface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tested across the wafer (Fig. 6). A full functionality could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observed for a wide range of addressing voltages. </w:t>
      </w:r>
    </w:p>
    <w:p>
      <w:pPr>
        <w:autoSpaceDN w:val="0"/>
        <w:autoSpaceDE w:val="0"/>
        <w:widowControl/>
        <w:spacing w:line="245" w:lineRule="auto" w:before="128" w:after="4"/>
        <w:ind w:left="39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distribution of high-V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low-V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states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investigated considering single devices connected in a 64 kbit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array. To this purpose a stripe pattern was programmed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consisted in erasing the complete array by block erase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writing the low-V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state in cells along every second word-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line (WL). As shown in Fig. 7 a clear distinction between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two states has been achieved. The two distributions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visualized in the histogram of Fig. 8. The reverse programmed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pattern is also shown with a very similar distribution. Fig. 9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shows the fully normal distributed states with a clear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separation of their mean values by a factor of ~10 and without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remaining superposition. Parasitic charge trapping effects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1523"/>
        <w:gridCol w:w="1523"/>
        <w:gridCol w:w="1523"/>
        <w:gridCol w:w="1523"/>
        <w:gridCol w:w="1523"/>
        <w:gridCol w:w="1523"/>
        <w:gridCol w:w="1523"/>
      </w:tblGrid>
      <w:tr>
        <w:trPr>
          <w:trHeight w:hRule="exact" w:val="23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(esp.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low-V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T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distribution)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non-uniform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film properties among cells [4] are being further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optimized. The cross-wafer signature of overlapping cells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10 is related to variations of the ferroelectric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(thickness and doping) caused by the ALD cross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flow profile [3]. A correlation of the number of overlapping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cells to the drain current ratio is visible in Fig. 11. Single cell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access was demonstrated by successfully writing a low-V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checkerboard pattern after block erase (Fig. 12). </w:t>
      </w:r>
    </w:p>
    <w:p>
      <w:pPr>
        <w:autoSpaceDN w:val="0"/>
        <w:autoSpaceDE w:val="0"/>
        <w:widowControl/>
        <w:spacing w:line="245" w:lineRule="auto" w:before="128" w:after="0"/>
        <w:ind w:left="392" w:right="10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should be noted that the data presented here are showing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natural/intrinsic low-V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high-V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distribution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single pulse programming.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More advanced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1066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schemes such as incremental step pulse programming (ISPP)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1066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verify algorithms can be used for further optimization.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10660"/>
      </w:tblGrid>
      <w:tr>
        <w:trPr>
          <w:trHeight w:hRule="exact" w:val="264"/>
        </w:trPr>
        <w:tc>
          <w:tcPr>
            <w:tcW w:type="dxa" w:w="509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Alongside error-correction code (ECC) and further material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10660"/>
      </w:tblGrid>
      <w:tr>
        <w:trPr>
          <w:trHeight w:hRule="exact" w:val="264"/>
        </w:trPr>
        <w:tc>
          <w:tcPr>
            <w:tcW w:type="dxa" w:w="510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optimization will stabilize memory operation towards Mbit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10660"/>
      </w:tblGrid>
      <w:tr>
        <w:trPr>
          <w:trHeight w:hRule="exact" w:val="264"/>
        </w:trPr>
        <w:tc>
          <w:tcPr>
            <w:tcW w:type="dxa" w:w="65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arrays. </w:t>
            </w:r>
          </w:p>
        </w:tc>
      </w:tr>
    </w:tbl>
    <w:p>
      <w:pPr>
        <w:autoSpaceDN w:val="0"/>
        <w:autoSpaceDE w:val="0"/>
        <w:widowControl/>
        <w:spacing w:line="222" w:lineRule="exact" w:before="110" w:after="0"/>
        <w:ind w:left="392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E.</w:t>
      </w:r>
      <w:r>
        <w:rPr>
          <w:rFonts w:ascii="" w:hAnsi="" w:eastAsia=""/>
          <w:b w:val="0"/>
          <w:i/>
          <w:color w:val="000000"/>
          <w:sz w:val="20"/>
        </w:rPr>
        <w:t xml:space="preserve">Endurance and Retention </w:t>
      </w:r>
    </w:p>
    <w:p>
      <w:pPr>
        <w:autoSpaceDN w:val="0"/>
        <w:autoSpaceDE w:val="0"/>
        <w:widowControl/>
        <w:spacing w:line="245" w:lineRule="auto" w:before="60" w:after="0"/>
        <w:ind w:left="39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of the array was explored by means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and retention tests. Fig. 13a shows the distributions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two states after the array has been subjected to 100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bipolar cycles. Evolution of the endurance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6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shown in Fig. 13b indicating a gradually reduction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memory window starting at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cycles. The low-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state is mainly affected by the degradation which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investigated in previous studies on single devices [6].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 is attributed to the wear-out of the interfacial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between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silicon substrate and the consequent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increase of charge injection (Fig. 14). The interfacial layer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not been optimized yet and endurance beyond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expected based on previous publications [7,8]. </w:t>
      </w:r>
    </w:p>
    <w:p>
      <w:pPr>
        <w:autoSpaceDN w:val="0"/>
        <w:autoSpaceDE w:val="0"/>
        <w:widowControl/>
        <w:spacing w:line="245" w:lineRule="auto" w:before="118" w:after="0"/>
        <w:ind w:left="39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data retention was tested at 105 °C for 72 h and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elevated temperatures of 250 °C for 1 min (tester limited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≤250 °C). The programmed pattern was entirely preserved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after the bake time (Fig. 15a) confirming the high thermal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stability of the ferroelectric hafnium oxide. The time-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dependent retention at 105 °C (Fig. 15b) shows an initial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degradation (after 1 min) of the high-V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state whereas the cell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 separation is stable afterwards for longer stress-times. </w:t>
      </w:r>
    </w:p>
    <w:p>
      <w:pPr>
        <w:sectPr>
          <w:type w:val="continuous"/>
          <w:pgSz w:w="12240" w:h="15840"/>
          <w:pgMar w:top="626" w:right="950" w:bottom="78" w:left="630" w:header="720" w:footer="720" w:gutter="0"/>
          <w:cols w:space="720" w:num="2" w:equalWidth="0"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FeFET, as a one-transistor (1T) based embedded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memory implemented in the FEoL, can be directly bench-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marked against eFLASH solutions that are currently being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developed on HKMG technology platforms. These embedded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FLASH technologies have a long history of development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testing that has earned them a large customer acceptance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trust ranging from consumer up to automotive products.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when comparing the unique physical mechanism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controlling the threshold voltage shift in FeFETs to the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programming of FLASH technologies the potential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‘Generation 1’ FeFET to emerge as a superior technology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clearly revealed (see Table II): </w:t>
      </w:r>
    </w:p>
    <w:p>
      <w:pPr>
        <w:autoSpaceDN w:val="0"/>
        <w:autoSpaceDE w:val="0"/>
        <w:widowControl/>
        <w:spacing w:line="245" w:lineRule="auto" w:before="116" w:after="0"/>
        <w:ind w:left="92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Opposed to the energy inefficient hot carrier injection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eFLASH at high Gate and S/D voltages (only a small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portion of the programming current reaches the floating gate)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is programmed at low gate voltages using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 for polarization switching. The energy/bit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consumption and array efficiency due to a downsizing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pumps and scaling of channel length is accordingly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improved. The scalability of the bit-cell is mainly limited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~4 V power routing and less by ferroelectric high-k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thickness which has been demonstrated to retain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properties down to 6 nm [9]. </w:t>
      </w:r>
    </w:p>
    <w:p>
      <w:pPr>
        <w:autoSpaceDN w:val="0"/>
        <w:autoSpaceDE w:val="0"/>
        <w:widowControl/>
        <w:spacing w:line="245" w:lineRule="auto" w:before="118" w:after="0"/>
        <w:ind w:left="92" w:right="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Opposed to the charge based storage mechanism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FLASH devices the concept of ferroelectric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provides radiation hardness and allows for ultra-fast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nanosecond range. </w:t>
      </w:r>
    </w:p>
    <w:p>
      <w:pPr>
        <w:autoSpaceDN w:val="0"/>
        <w:autoSpaceDE w:val="0"/>
        <w:widowControl/>
        <w:spacing w:line="245" w:lineRule="auto" w:before="116" w:after="0"/>
        <w:ind w:left="9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(3) The simplicity of the FeFET device (e.g. no Floating-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Gate, no Erase-Gate, no IPD, etc.) and its close resemblance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HKMG base device greatly facilitates its manufacturing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lowers mask adders significantly. </w:t>
      </w:r>
    </w:p>
    <w:p>
      <w:pPr>
        <w:autoSpaceDN w:val="0"/>
        <w:autoSpaceDE w:val="0"/>
        <w:widowControl/>
        <w:spacing w:line="222" w:lineRule="exact" w:before="126" w:after="0"/>
        <w:ind w:left="0" w:right="1806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>III.</w:t>
      </w:r>
      <w:r>
        <w:rPr>
          <w:rFonts w:ascii="" w:hAnsi="" w:eastAsia=""/>
          <w:b/>
          <w:i w:val="0"/>
          <w:color w:val="000000"/>
          <w:sz w:val="20"/>
        </w:rPr>
        <w:t>S</w:t>
      </w:r>
      <w:r>
        <w:rPr>
          <w:rFonts w:ascii="" w:hAnsi="" w:eastAsia=""/>
          <w:b/>
          <w:i w:val="0"/>
          <w:color w:val="000000"/>
          <w:sz w:val="16"/>
        </w:rPr>
        <w:t>UMMARY</w:t>
      </w:r>
    </w:p>
    <w:p>
      <w:pPr>
        <w:autoSpaceDN w:val="0"/>
        <w:autoSpaceDE w:val="0"/>
        <w:widowControl/>
        <w:spacing w:line="218" w:lineRule="exact" w:before="80" w:after="0"/>
        <w:ind w:left="92" w:right="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fully functional 64 kbit FeFET eNVM array embedded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a 28nm HKMG CMOS technology has been fabricated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characterized. The binary cell states of the FeFET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clearly separated and initial retention and endurance data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reported. The FeFET can be seamlessly integrated into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generic </w:t>
      </w:r>
      <w:r>
        <w:rPr>
          <w:rFonts w:ascii="" w:hAnsi="" w:eastAsia=""/>
          <w:b w:val="0"/>
          <w:i/>
          <w:color w:val="000000"/>
          <w:sz w:val="20"/>
        </w:rPr>
        <w:t>gate-first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HKMG CMOS logic platform, like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22FDX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is likely transferable also to </w:t>
      </w:r>
      <w:r>
        <w:rPr>
          <w:rFonts w:ascii="" w:hAnsi="" w:eastAsia=""/>
          <w:b w:val="0"/>
          <w:i/>
          <w:color w:val="000000"/>
          <w:sz w:val="20"/>
        </w:rPr>
        <w:t>gate-last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FinFET technologies. </w:t>
      </w:r>
    </w:p>
    <w:p>
      <w:pPr>
        <w:autoSpaceDN w:val="0"/>
        <w:autoSpaceDE w:val="0"/>
        <w:widowControl/>
        <w:spacing w:line="230" w:lineRule="auto" w:before="2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88" w:after="0"/>
        <w:ind w:left="92" w:right="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 has been supported by funding from the Free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 of Saxony and the Federal Ministry of Economic Affairs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Energy (Project EXIST Forschungstransfer). </w:t>
      </w:r>
    </w:p>
    <w:p>
      <w:pPr>
        <w:autoSpaceDN w:val="0"/>
        <w:autoSpaceDE w:val="0"/>
        <w:widowControl/>
        <w:spacing w:line="230" w:lineRule="auto" w:before="16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184" w:lineRule="exact" w:before="78" w:after="948"/>
        <w:ind w:left="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[1] T. S. Böscke et al., </w:t>
      </w:r>
      <w:r>
        <w:rPr>
          <w:rFonts w:ascii="" w:hAnsi="" w:eastAsia=""/>
          <w:b w:val="0"/>
          <w:i/>
          <w:color w:val="000000"/>
          <w:sz w:val="16"/>
        </w:rPr>
        <w:t>Appl. Phys. Lett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99, 102903, 2011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[2] J. Müller et al., </w:t>
      </w:r>
      <w:r>
        <w:rPr>
          <w:rFonts w:ascii="" w:hAnsi="" w:eastAsia=""/>
          <w:b w:val="0"/>
          <w:i/>
          <w:color w:val="000000"/>
          <w:sz w:val="16"/>
        </w:rPr>
        <w:t>IEDM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10.8.1-10.8.4, 2013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[3] J. Müller et al., </w:t>
      </w:r>
      <w:r>
        <w:rPr>
          <w:rFonts w:ascii="" w:hAnsi="" w:eastAsia=""/>
          <w:b w:val="0"/>
          <w:i/>
          <w:color w:val="000000"/>
          <w:sz w:val="16"/>
        </w:rPr>
        <w:t>VLSI-IT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25-26, 2012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[4] H. Mulaosmanovic et al., </w:t>
      </w:r>
      <w:r>
        <w:rPr>
          <w:rFonts w:ascii="" w:hAnsi="" w:eastAsia=""/>
          <w:b w:val="0"/>
          <w:i/>
          <w:color w:val="000000"/>
          <w:sz w:val="16"/>
        </w:rPr>
        <w:t>IEDM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26.8.1 - 26.8.3, 2015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[5] E. Yurchuk et al., </w:t>
      </w:r>
      <w:r>
        <w:rPr>
          <w:rFonts w:ascii="" w:hAnsi="" w:eastAsia=""/>
          <w:b w:val="0"/>
          <w:i/>
          <w:color w:val="000000"/>
          <w:sz w:val="16"/>
        </w:rPr>
        <w:t xml:space="preserve">IEEE TED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tbp DOI: 10.1109/TED.2016.2588439, 2016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S. Mueller et al., </w:t>
      </w:r>
      <w:r>
        <w:rPr>
          <w:rFonts w:ascii="" w:hAnsi="" w:eastAsia=""/>
          <w:b w:val="0"/>
          <w:i/>
          <w:color w:val="000000"/>
          <w:sz w:val="16"/>
        </w:rPr>
        <w:t>Ferroelectrics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497:1, 42-51, 2016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[7] C.-H. Cheng et al., </w:t>
      </w:r>
      <w:r>
        <w:rPr>
          <w:rFonts w:ascii="" w:hAnsi="" w:eastAsia=""/>
          <w:b w:val="0"/>
          <w:i/>
          <w:color w:val="000000"/>
          <w:sz w:val="16"/>
        </w:rPr>
        <w:t>IEEE EDL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35, pp. 138-140, 2014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[8] Y.-C. Chiu et al., </w:t>
      </w:r>
      <w:r>
        <w:rPr>
          <w:rFonts w:ascii="" w:hAnsi="" w:eastAsia=""/>
          <w:b w:val="0"/>
          <w:i/>
          <w:color w:val="000000"/>
          <w:sz w:val="16"/>
        </w:rPr>
        <w:t>VLSI Technology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T184 - T185, 2015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[9] P. Polakowski et al., </w:t>
      </w:r>
      <w:r>
        <w:rPr>
          <w:rFonts w:ascii="" w:hAnsi="" w:eastAsia=""/>
          <w:b w:val="0"/>
          <w:i/>
          <w:color w:val="000000"/>
          <w:sz w:val="16"/>
        </w:rPr>
        <w:t>APL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106, p. 232905, 2015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[10] ITRS, </w:t>
      </w:r>
      <w:r>
        <w:rPr>
          <w:rFonts w:ascii="TimesNewRoman" w:hAnsi="TimesNewRoman" w:eastAsia="TimesNewRoman"/>
          <w:b w:val="0"/>
          <w:i w:val="0"/>
          <w:color w:val="0000FF"/>
          <w:sz w:val="16"/>
          <w:u w:val="single"/>
        </w:rPr>
        <w:t>www.itrs.net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“Emerging Research Memory Devices”, 2016 </w:t>
      </w:r>
    </w:p>
    <w:p>
      <w:pPr>
        <w:sectPr>
          <w:type w:val="nextColumn"/>
          <w:pgSz w:w="12240" w:h="15840"/>
          <w:pgMar w:top="626" w:right="950" w:bottom="78" w:left="630" w:header="720" w:footer="720" w:gutter="0"/>
          <w:cols w:space="720" w:num="2" w:equalWidth="0"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0"/>
        <w:gridCol w:w="5330"/>
      </w:tblGrid>
      <w:tr>
        <w:trPr>
          <w:trHeight w:hRule="exact" w:val="344"/>
        </w:trPr>
        <w:tc>
          <w:tcPr>
            <w:tcW w:type="dxa" w:w="3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IEDM16-295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0" w:after="0"/>
              <w:ind w:left="0" w:right="24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11.5.2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626" w:right="950" w:bottom="78" w:left="630" w:header="720" w:footer="720" w:gutter="0"/>
          <w:cols w:space="720" w:num="1" w:equalWidth="0"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5359400</wp:posOffset>
            </wp:positionV>
            <wp:extent cx="1524000" cy="1193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7480300</wp:posOffset>
            </wp:positionV>
            <wp:extent cx="1549400" cy="1193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7378700</wp:posOffset>
            </wp:positionV>
            <wp:extent cx="1778000" cy="1371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7416800</wp:posOffset>
            </wp:positionV>
            <wp:extent cx="1587500" cy="130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0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4629150</wp:posOffset>
            </wp:positionH>
            <wp:positionV relativeFrom="page">
              <wp:posOffset>7429500</wp:posOffset>
            </wp:positionV>
            <wp:extent cx="105410" cy="1296153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2961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3011170</wp:posOffset>
            </wp:positionH>
            <wp:positionV relativeFrom="page">
              <wp:posOffset>488950</wp:posOffset>
            </wp:positionV>
            <wp:extent cx="4210050" cy="1980125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801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6781800</wp:posOffset>
            </wp:positionH>
            <wp:positionV relativeFrom="page">
              <wp:posOffset>1727200</wp:posOffset>
            </wp:positionV>
            <wp:extent cx="381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7162800</wp:posOffset>
            </wp:positionH>
            <wp:positionV relativeFrom="page">
              <wp:posOffset>1384300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6692900</wp:posOffset>
            </wp:positionH>
            <wp:positionV relativeFrom="page">
              <wp:posOffset>1955800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6908800</wp:posOffset>
            </wp:positionH>
            <wp:positionV relativeFrom="page">
              <wp:posOffset>1803400</wp:posOffset>
            </wp:positionV>
            <wp:extent cx="152400" cy="1143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3416300</wp:posOffset>
            </wp:positionV>
            <wp:extent cx="1231900" cy="8636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3810000</wp:posOffset>
            </wp:positionV>
            <wp:extent cx="50800" cy="508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3543300</wp:posOffset>
            </wp:positionV>
            <wp:extent cx="88900" cy="889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378" w:right="596" w:bottom="78" w:left="612" w:header="720" w:footer="720" w:gutter="0"/>
          <w:cols w:space="720" w:num="1" w:equalWidth="0"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51379" cy="17259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379" cy="1725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8" w:after="0"/>
        <w:ind w:left="144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1. Die picture (top left) and layout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(bottom left) showing the 64 kbit array macro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with its different test blocks. A detailed view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a 5x64 kbit block is shown to the right. </w:t>
      </w:r>
    </w:p>
    <w:p>
      <w:pPr>
        <w:sectPr>
          <w:type w:val="continuous"/>
          <w:pgSz w:w="12240" w:h="15840"/>
          <w:pgMar w:top="378" w:right="596" w:bottom="78" w:left="612" w:header="720" w:footer="720" w:gutter="0"/>
          <w:cols w:space="720" w:num="2" w:equalWidth="0"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350" w:after="116"/>
        <w:ind w:left="172" w:right="144" w:firstLine="18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2. (left) SEM top-views of the embedded FeFET macro, TEM crosssections of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HKMG logic transistors (middle) and the embedded FeFET (right) from the same wafer. Inset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shows the gate stack details of the FeFET.</w:t>
      </w:r>
    </w:p>
    <w:p>
      <w:pPr>
        <w:sectPr>
          <w:type w:val="nextColumn"/>
          <w:pgSz w:w="12240" w:h="15840"/>
          <w:pgMar w:top="378" w:right="596" w:bottom="78" w:left="612" w:header="720" w:footer="720" w:gutter="0"/>
          <w:cols w:space="720" w:num="2" w:equalWidth="0"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rPr>
          <w:trHeight w:hRule="exact" w:val="288"/>
        </w:trPr>
        <w:tc>
          <w:tcPr>
            <w:tcW w:type="dxa" w:w="396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53640" cy="1573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573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146" w:after="0"/>
              <w:ind w:left="0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Table I. The FeFET eNVM extends the 28nm super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low power platform offering.</w:t>
            </w:r>
          </w:p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96" w:lineRule="exact" w:before="50" w:after="0"/>
              <w:ind w:left="36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5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2520"/>
            </w:tblGrid>
            <w:tr>
              <w:trPr>
                <w:trHeight w:hRule="exact" w:val="1894"/>
              </w:trPr>
              <w:tc>
                <w:tcPr>
                  <w:tcW w:type="dxa" w:w="2472"/>
                  <w:tcBorders>
                    <w:start w:sz="0.47999998927116394" w:val="single" w:color="#000000"/>
                    <w:top w:sz="0.47999998927116394" w:val="single" w:color="#000000"/>
                    <w:end w:sz="0.47999998927116394" w:val="single" w:color="#000000"/>
                    <w:bottom w:sz="0.479999989271163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auto" w:before="124" w:after="0"/>
                    <w:ind w:left="142" w:right="0" w:firstLine="0"/>
                    <w:jc w:val="left"/>
                  </w:pPr>
                  <w:r>
                    <w:rPr>
                      <w:w w:val="102.39588793586283"/>
                      <w:rFonts w:ascii="ArialUnicodeMS" w:hAnsi="ArialUnicodeMS" w:eastAsia="ArialUnicodeMS"/>
                      <w:b w:val="0"/>
                      <w:i w:val="0"/>
                      <w:color w:val="000000"/>
                      <w:sz w:val="17"/>
                    </w:rPr>
                    <w:t>nFET</w:t>
                  </w:r>
                </w:p>
                <w:p>
                  <w:pPr>
                    <w:autoSpaceDN w:val="0"/>
                    <w:tabs>
                      <w:tab w:pos="1376" w:val="left"/>
                    </w:tabs>
                    <w:autoSpaceDE w:val="0"/>
                    <w:widowControl/>
                    <w:spacing w:line="240" w:lineRule="auto" w:before="1134" w:after="0"/>
                    <w:ind w:left="119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635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reference 28SLP</w:t>
                  </w:r>
                </w:p>
                <w:p>
                  <w:pPr>
                    <w:autoSpaceDN w:val="0"/>
                    <w:tabs>
                      <w:tab w:pos="1376" w:val="left"/>
                    </w:tabs>
                    <w:autoSpaceDE w:val="0"/>
                    <w:widowControl/>
                    <w:spacing w:line="240" w:lineRule="auto" w:before="0" w:after="0"/>
                    <w:ind w:left="119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28SLP w/ FeFET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4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3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6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autoSpaceDE w:val="0"/>
              <w:widowControl/>
              <w:spacing w:line="150" w:lineRule="exact" w:before="808" w:after="0"/>
              <w:ind w:left="6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autoSpaceDE w:val="0"/>
              <w:widowControl/>
              <w:spacing w:line="148" w:lineRule="exact" w:before="168" w:after="0"/>
              <w:ind w:left="6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tabs>
                <w:tab w:pos="806" w:val="left"/>
              </w:tabs>
              <w:autoSpaceDE w:val="0"/>
              <w:widowControl/>
              <w:spacing w:line="256" w:lineRule="exact" w:before="0" w:after="0"/>
              <w:ind w:left="664" w:right="288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  <w:r>
              <w:br/>
            </w: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-1</w:t>
            </w:r>
          </w:p>
          <w:p>
            <w:pPr>
              <w:autoSpaceDN w:val="0"/>
              <w:autoSpaceDE w:val="0"/>
              <w:widowControl/>
              <w:spacing w:line="102" w:lineRule="exact" w:before="0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-2</w:t>
            </w:r>
          </w:p>
          <w:p>
            <w:pPr>
              <w:autoSpaceDN w:val="0"/>
              <w:autoSpaceDE w:val="0"/>
              <w:widowControl/>
              <w:spacing w:line="102" w:lineRule="exact" w:before="222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-3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3.9999999999998" w:type="dxa"/>
            </w:tblPr>
            <w:tblGrid>
              <w:gridCol w:w="3800"/>
            </w:tblGrid>
            <w:tr>
              <w:trPr>
                <w:trHeight w:hRule="exact" w:val="1914"/>
              </w:trPr>
              <w:tc>
                <w:tcPr>
                  <w:tcW w:type="dxa" w:w="2472"/>
                  <w:tcBorders>
                    <w:start w:sz="0.47999998927116394" w:val="single" w:color="#000000"/>
                    <w:end w:sz="0.47999998927116394" w:val="single" w:color="#000000"/>
                    <w:bottom w:sz="0.479999989271163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auto" w:before="124" w:after="0"/>
                    <w:ind w:left="114" w:right="0" w:firstLine="0"/>
                    <w:jc w:val="left"/>
                  </w:pPr>
                  <w:r>
                    <w:rPr>
                      <w:w w:val="102.39588793586283"/>
                      <w:rFonts w:ascii="ArialUnicodeMS" w:hAnsi="ArialUnicodeMS" w:eastAsia="ArialUnicodeMS"/>
                      <w:b w:val="0"/>
                      <w:i w:val="0"/>
                      <w:color w:val="000000"/>
                      <w:sz w:val="17"/>
                    </w:rPr>
                    <w:t>pFET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37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65200" cy="7747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200" cy="774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tabs>
                      <w:tab w:pos="1276" w:val="left"/>
                    </w:tabs>
                    <w:autoSpaceDE w:val="0"/>
                    <w:widowControl/>
                    <w:spacing w:line="240" w:lineRule="auto" w:before="44" w:after="0"/>
                    <w:ind w:left="109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635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reference 28SLP</w:t>
                  </w:r>
                </w:p>
                <w:p>
                  <w:pPr>
                    <w:autoSpaceDN w:val="0"/>
                    <w:tabs>
                      <w:tab w:pos="1276" w:val="left"/>
                    </w:tabs>
                    <w:autoSpaceDE w:val="0"/>
                    <w:widowControl/>
                    <w:spacing w:line="240" w:lineRule="auto" w:before="0" w:after="0"/>
                    <w:ind w:left="109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28SLP w/ FeFET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2" w:lineRule="exact" w:before="0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2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6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autoSpaceDE w:val="0"/>
              <w:widowControl/>
              <w:spacing w:line="102" w:lineRule="exact" w:before="118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1</w:t>
            </w:r>
          </w:p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0" w:lineRule="exact" w:before="816" w:after="0"/>
              <w:ind w:left="420" w:right="288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I</w:t>
            </w:r>
            <w:r>
              <w:rPr>
                <w:w w:val="104.401111602783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D,OFF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  [nA/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m]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autoSpaceDE w:val="0"/>
              <w:widowControl/>
              <w:spacing w:line="102" w:lineRule="exact" w:before="0" w:after="0"/>
              <w:ind w:left="806" w:right="0" w:firstLine="0"/>
              <w:jc w:val="left"/>
            </w:pP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>0</w:t>
            </w:r>
          </w:p>
          <w:p>
            <w:pPr>
              <w:autoSpaceDN w:val="0"/>
              <w:autoSpaceDE w:val="0"/>
              <w:widowControl/>
              <w:spacing w:line="150" w:lineRule="exact" w:before="904" w:after="0"/>
              <w:ind w:left="6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tabs>
                <w:tab w:pos="1622" w:val="left"/>
                <w:tab w:pos="2444" w:val="left"/>
                <w:tab w:pos="3272" w:val="left"/>
              </w:tabs>
              <w:autoSpaceDE w:val="0"/>
              <w:widowControl/>
              <w:spacing w:line="150" w:lineRule="exact" w:before="0" w:after="0"/>
              <w:ind w:left="8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200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400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600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800</w:t>
            </w:r>
          </w:p>
          <w:p>
            <w:pPr>
              <w:autoSpaceDN w:val="0"/>
              <w:tabs>
                <w:tab w:pos="1750" w:val="left"/>
              </w:tabs>
              <w:autoSpaceDE w:val="0"/>
              <w:widowControl/>
              <w:spacing w:line="194" w:lineRule="exact" w:before="0" w:after="0"/>
              <w:ind w:left="470" w:right="0" w:firstLine="0"/>
              <w:jc w:val="left"/>
            </w:pPr>
            <w:r>
              <w:rPr>
                <w:w w:val="102.39588793586283"/>
                <w:rFonts w:ascii="" w:hAnsi="" w:eastAsia=""/>
                <w:b/>
                <w:i w:val="0"/>
                <w:color w:val="000000"/>
                <w:sz w:val="17"/>
              </w:rPr>
              <w:t xml:space="preserve">(b)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I</w:t>
            </w:r>
            <w:r>
              <w:rPr>
                <w:w w:val="104.401111602783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D,ON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  [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A/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m]</w:t>
            </w:r>
          </w:p>
        </w:tc>
      </w:tr>
      <w:tr>
        <w:trPr>
          <w:trHeight w:hRule="exact" w:val="32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96" w:lineRule="exact" w:before="80" w:after="0"/>
              <w:ind w:left="36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760"/>
            <w:gridSpan w:val="5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6" w:lineRule="exact" w:before="120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I</w:t>
            </w:r>
            <w:r>
              <w:rPr>
                <w:w w:val="104.401111602783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D,OFF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  [nA/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m]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" w:val="left"/>
              </w:tabs>
              <w:autoSpaceDE w:val="0"/>
              <w:widowControl/>
              <w:spacing w:line="98" w:lineRule="exact" w:before="74" w:after="0"/>
              <w:ind w:left="2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tabs>
                <w:tab w:pos="166" w:val="left"/>
              </w:tabs>
              <w:autoSpaceDE w:val="0"/>
              <w:widowControl/>
              <w:spacing w:line="96" w:lineRule="exact" w:before="130" w:after="0"/>
              <w:ind w:left="2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  <w:p>
            <w:pPr>
              <w:autoSpaceDN w:val="0"/>
              <w:tabs>
                <w:tab w:pos="166" w:val="left"/>
              </w:tabs>
              <w:autoSpaceDE w:val="0"/>
              <w:widowControl/>
              <w:spacing w:line="94" w:lineRule="exact" w:before="128" w:after="0"/>
              <w:ind w:left="2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760"/>
            <w:gridSpan w:val="5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96" w:lineRule="exact" w:before="74" w:after="0"/>
              <w:ind w:left="36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760"/>
            <w:gridSpan w:val="5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5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96" w:lineRule="exact" w:before="78" w:after="0"/>
              <w:ind w:left="364" w:right="0" w:firstLine="0"/>
              <w:jc w:val="left"/>
            </w:pPr>
            <w:r>
              <w:tab/>
            </w:r>
            <w:r>
              <w:rPr>
                <w:w w:val="97.87555270724826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-3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760"/>
            <w:gridSpan w:val="5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10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150" w:lineRule="exact" w:before="28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600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800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I</w:t>
            </w:r>
            <w:r>
              <w:rPr>
                <w:w w:val="104.401111602783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D,ON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  [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A/</w:t>
            </w:r>
            <w:r>
              <w:rPr>
                <w:w w:val="102.77166366577148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m]</w:t>
            </w:r>
          </w:p>
        </w:tc>
        <w:tc>
          <w:tcPr>
            <w:tcW w:type="dxa" w:w="8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8" w:after="0"/>
              <w:ind w:left="0" w:right="1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0" w:right="0" w:firstLine="0"/>
              <w:jc w:val="center"/>
            </w:pPr>
            <w:r>
              <w:rPr>
                <w:w w:val="102.39588793586283"/>
                <w:rFonts w:ascii="" w:hAnsi="" w:eastAsia=""/>
                <w:b/>
                <w:i w:val="0"/>
                <w:color w:val="000000"/>
                <w:sz w:val="17"/>
              </w:rPr>
              <w:t>(a)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1104"/>
            <w:gridSpan w:val="2"/>
            <w:vMerge/>
            <w:tcBorders/>
          </w:tcPr>
          <w:p/>
        </w:tc>
        <w:tc>
          <w:tcPr>
            <w:tcW w:type="dxa" w:w="1104"/>
            <w:gridSpan w:val="2"/>
            <w:vMerge/>
            <w:tcBorders/>
          </w:tcPr>
          <w:p/>
        </w:tc>
        <w:tc>
          <w:tcPr>
            <w:tcW w:type="dxa" w:w="1656"/>
            <w:gridSpan w:val="3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4968"/>
            <w:gridSpan w:val="9"/>
            <w:vMerge/>
            <w:tcBorders/>
          </w:tcPr>
          <w:p/>
        </w:tc>
        <w:tc>
          <w:tcPr>
            <w:tcW w:type="dxa" w:w="69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3.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on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off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performance curves of (a) nFET and (b) pFET logic devices. The embedded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28nm SLP-FeFET flow is matched to the reference 28nm SLP platform performance. </w:t>
            </w:r>
          </w:p>
        </w:tc>
      </w:tr>
      <w:tr>
        <w:trPr>
          <w:trHeight w:hRule="exact" w:val="42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764" w:after="0"/>
              <w:ind w:left="460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Polarization [µC/cm²]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auto" w:before="23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28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462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106" w:lineRule="exact" w:before="242" w:after="0"/>
              <w:ind w:left="498" w:right="432" w:firstLine="0"/>
              <w:jc w:val="left"/>
            </w:pPr>
            <w:r>
              <w:tab/>
            </w:r>
            <w:r>
              <w:rPr>
                <w:w w:val="102.91666454739041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44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[V]</w:t>
            </w:r>
          </w:p>
        </w:tc>
        <w:tc>
          <w:tcPr>
            <w:tcW w:type="dxa" w:w="1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low-V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44" w:after="0"/>
              <w:ind w:left="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1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4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182" w:lineRule="exact" w:before="950" w:after="0"/>
              <w:ind w:left="3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-0.5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-1.5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-1</w:t>
            </w:r>
            <w:r>
              <w:drawing>
                <wp:inline xmlns:a="http://schemas.openxmlformats.org/drawingml/2006/main" xmlns:pic="http://schemas.openxmlformats.org/drawingml/2006/picture">
                  <wp:extent cx="1562100" cy="1219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00" w:val="left"/>
                <w:tab w:pos="1048" w:val="left"/>
                <w:tab w:pos="1396" w:val="left"/>
                <w:tab w:pos="1742" w:val="left"/>
                <w:tab w:pos="1942" w:val="left"/>
                <w:tab w:pos="2288" w:val="left"/>
                <w:tab w:pos="2634" w:val="left"/>
                <w:tab w:pos="2980" w:val="left"/>
              </w:tabs>
              <w:autoSpaceDE w:val="0"/>
              <w:widowControl/>
              <w:spacing w:line="888" w:lineRule="exact" w:before="0" w:after="0"/>
              <w:ind w:left="448" w:right="0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-5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-4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-3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-2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2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3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4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5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0.5</w:t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5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0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V</w:t>
            </w:r>
            <w:r>
              <w:rPr>
                <w:w w:val="104.67599868774413"/>
                <w:rFonts w:ascii="" w:hAnsi="" w:eastAsia=""/>
                <w:b w:val="0"/>
                <w:i w:val="0"/>
                <w:color w:val="000000"/>
                <w:sz w:val="10"/>
              </w:rPr>
              <w:t xml:space="preserve"> T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 [V]</w:t>
            </w:r>
          </w:p>
          <w:p>
            <w:pPr>
              <w:autoSpaceDN w:val="0"/>
              <w:tabs>
                <w:tab w:pos="1084" w:val="left"/>
                <w:tab w:pos="2298" w:val="left"/>
              </w:tabs>
              <w:autoSpaceDE w:val="0"/>
              <w:widowControl/>
              <w:spacing w:line="242" w:lineRule="exact" w:before="854" w:after="0"/>
              <w:ind w:left="196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(b)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V</w:t>
            </w:r>
            <w:r>
              <w:rPr>
                <w:w w:val="104.67599868774413"/>
                <w:rFonts w:ascii="" w:hAnsi="" w:eastAsia=""/>
                <w:b w:val="0"/>
                <w:i w:val="0"/>
                <w:color w:val="000000"/>
                <w:sz w:val="10"/>
              </w:rPr>
              <w:t xml:space="preserve"> G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 [V]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V</w:t>
            </w:r>
            <w:r>
              <w:rPr>
                <w:w w:val="104.67599868774413"/>
                <w:rFonts w:ascii="" w:hAnsi="" w:eastAsia=""/>
                <w:b w:val="0"/>
                <w:i w:val="0"/>
                <w:color w:val="000000"/>
                <w:sz w:val="10"/>
              </w:rPr>
              <w:t xml:space="preserve"> G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 [V]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4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158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68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8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0.5</w:t>
            </w:r>
          </w:p>
        </w:tc>
      </w:tr>
      <w:tr>
        <w:trPr>
          <w:trHeight w:hRule="exact" w:val="142"/>
        </w:trPr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1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106" w:lineRule="exact" w:before="110" w:after="0"/>
              <w:ind w:left="498" w:right="432" w:firstLine="0"/>
              <w:jc w:val="left"/>
            </w:pPr>
            <w:r>
              <w:tab/>
            </w:r>
            <w:r>
              <w:rPr>
                <w:w w:val="102.91666454739041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-6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2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0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4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[A]</w:t>
            </w:r>
          </w:p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</w:tabs>
              <w:autoSpaceDE w:val="0"/>
              <w:widowControl/>
              <w:spacing w:line="104" w:lineRule="exact" w:before="270" w:after="0"/>
              <w:ind w:left="38" w:right="432" w:firstLine="0"/>
              <w:jc w:val="left"/>
            </w:pPr>
            <w:r>
              <w:tab/>
            </w:r>
            <w:r>
              <w:rPr>
                <w:w w:val="102.91666454739041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0</w:t>
            </w:r>
          </w:p>
        </w:tc>
      </w:tr>
      <w:tr>
        <w:trPr>
          <w:trHeight w:hRule="exact" w:val="360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04" w:after="0"/>
              <w:ind w:left="0" w:right="0" w:firstLine="0"/>
              <w:jc w:val="righ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1104"/>
            <w:gridSpan w:val="2"/>
            <w:vMerge/>
            <w:tcBorders/>
          </w:tcPr>
          <w:p/>
        </w:tc>
        <w:tc>
          <w:tcPr>
            <w:tcW w:type="dxa" w:w="1104"/>
            <w:gridSpan w:val="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4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-0.5</w:t>
            </w:r>
          </w:p>
        </w:tc>
      </w:tr>
      <w:tr>
        <w:trPr>
          <w:trHeight w:hRule="exact" w:val="124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2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-10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1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106" w:lineRule="exact" w:before="110" w:after="0"/>
              <w:ind w:left="498" w:right="432" w:firstLine="0"/>
              <w:jc w:val="left"/>
            </w:pPr>
            <w:r>
              <w:tab/>
            </w:r>
            <w:r>
              <w:rPr>
                <w:w w:val="102.91666454739041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-10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4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-1</w:t>
            </w:r>
          </w:p>
        </w:tc>
      </w:tr>
      <w:tr>
        <w:trPr>
          <w:trHeight w:hRule="exact" w:val="122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-20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high-V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2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-30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1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  <w:tab w:pos="718" w:val="left"/>
              </w:tabs>
              <w:autoSpaceDE w:val="0"/>
              <w:widowControl/>
              <w:spacing w:line="100" w:lineRule="exact" w:before="186" w:after="0"/>
              <w:ind w:left="498" w:right="288" w:firstLine="0"/>
              <w:jc w:val="left"/>
            </w:pPr>
            <w:r>
              <w:tab/>
            </w:r>
            <w:r>
              <w:rPr>
                <w:w w:val="102.91666454739041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-12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-1</w:t>
            </w:r>
          </w:p>
          <w:p>
            <w:pPr>
              <w:autoSpaceDN w:val="0"/>
              <w:autoSpaceDE w:val="0"/>
              <w:widowControl/>
              <w:spacing w:line="185" w:lineRule="auto" w:before="0" w:after="0"/>
              <w:ind w:left="0" w:right="702" w:firstLine="0"/>
              <w:jc w:val="right"/>
            </w:pPr>
            <w:r>
              <w:rPr>
                <w:w w:val="103.19266637166342"/>
                <w:rFonts w:ascii="ArialUnicodeMS" w:hAnsi="ArialUnicodeMS" w:eastAsia="ArialUnicodeMS"/>
                <w:b w:val="0"/>
                <w:i w:val="0"/>
                <w:color w:val="000000"/>
                <w:sz w:val="15"/>
              </w:rPr>
              <w:t>(a)</w:t>
            </w:r>
          </w:p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0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-1.5</w:t>
            </w:r>
          </w:p>
        </w:tc>
      </w:tr>
      <w:tr>
        <w:trPr>
          <w:trHeight w:hRule="exact" w:val="220"/>
        </w:trPr>
        <w:tc>
          <w:tcPr>
            <w:tcW w:type="dxa" w:w="5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58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-40</w:t>
            </w:r>
          </w:p>
        </w:tc>
        <w:tc>
          <w:tcPr>
            <w:tcW w:type="dxa" w:w="3864"/>
            <w:gridSpan w:val="7"/>
            <w:vMerge/>
            <w:tcBorders/>
          </w:tcPr>
          <w:p/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90" w:firstLine="0"/>
              <w:jc w:val="righ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-1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4" w:after="0"/>
              <w:ind w:left="138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208"/>
            <w:gridSpan w:val="4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  <w:tc>
          <w:tcPr>
            <w:tcW w:type="dxa" w:w="5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4" w:lineRule="auto" w:before="2" w:after="134"/>
        <w:ind w:left="1894" w:right="0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14"/>
        </w:rPr>
        <w:t>Voltage [V]</w:t>
      </w:r>
    </w:p>
    <w:p>
      <w:pPr>
        <w:sectPr>
          <w:type w:val="continuous"/>
          <w:pgSz w:w="12240" w:h="15840"/>
          <w:pgMar w:top="378" w:right="596" w:bottom="78" w:left="612" w:header="720" w:footer="720" w:gutter="0"/>
          <w:cols w:space="720" w:num="1" w:equalWidth="0">
            <w:col w:w="11032" w:space="0"/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Fig. 4. Polarization hysteresis measured on 10,000 µm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metal-ferroelectric-metal (MFM) capacitor. </w:t>
      </w:r>
    </w:p>
    <w:p>
      <w:pPr>
        <w:sectPr>
          <w:type w:val="continuous"/>
          <w:pgSz w:w="12240" w:h="15840"/>
          <w:pgMar w:top="378" w:right="596" w:bottom="78" w:left="612" w:header="720" w:footer="720" w:gutter="0"/>
          <w:cols w:space="720" w:num="2" w:equalWidth="0">
            <w:col w:w="4060" w:space="0"/>
            <w:col w:w="6972" w:space="0"/>
            <w:col w:w="11032" w:space="0"/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18"/>
        <w:ind w:left="0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Fig. 5. (a) I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characteristics from a FeFET device for the two distinct polarization states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(low-V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high-V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). The switching voltage behavior of this device is shown in (b). </w:t>
      </w:r>
    </w:p>
    <w:p>
      <w:pPr>
        <w:sectPr>
          <w:type w:val="nextColumn"/>
          <w:pgSz w:w="12240" w:h="15840"/>
          <w:pgMar w:top="378" w:right="596" w:bottom="78" w:left="612" w:header="720" w:footer="720" w:gutter="0"/>
          <w:cols w:space="720" w:num="2" w:equalWidth="0">
            <w:col w:w="4060" w:space="0"/>
            <w:col w:w="6972" w:space="0"/>
            <w:col w:w="11032" w:space="0"/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>
        <w:trPr>
          <w:trHeight w:hRule="exact" w:val="202"/>
        </w:trPr>
        <w:tc>
          <w:tcPr>
            <w:tcW w:type="dxa" w:w="3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45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-5</w:t>
            </w:r>
          </w:p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436" w:right="0" w:firstLine="0"/>
              <w:jc w:val="lef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0.15</w:t>
            </w:r>
          </w:p>
        </w:tc>
      </w:tr>
      <w:tr>
        <w:trPr>
          <w:trHeight w:hRule="exact" w:val="6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" w:after="0"/>
              <w:ind w:left="406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170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890" w:firstLine="0"/>
              <w:jc w:val="righ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low-V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</w:tr>
      <w:tr>
        <w:trPr>
          <w:trHeight w:hRule="exact" w:val="48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" w:after="0"/>
              <w:ind w:left="0" w:right="332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-5.1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0" w:after="0"/>
              <w:ind w:left="0" w:right="0" w:firstLine="0"/>
              <w:jc w:val="center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Normalized counts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0" w:after="0"/>
              <w:ind w:left="112" w:right="0" w:firstLine="0"/>
              <w:jc w:val="lef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26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306" w:right="0" w:firstLine="0"/>
              <w:jc w:val="lef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high-V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</w:tr>
      <w:tr>
        <w:trPr>
          <w:trHeight w:hRule="exact" w:val="10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4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406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160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" w:after="0"/>
              <w:ind w:left="320" w:right="0" w:firstLine="0"/>
              <w:jc w:val="left"/>
            </w:pPr>
            <w:r>
              <w:rPr>
                <w:w w:val="98.67356845310756"/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normal</w:t>
            </w:r>
          </w:p>
        </w:tc>
      </w:tr>
      <w:tr>
        <w:trPr>
          <w:trHeight w:hRule="exact" w:val="68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8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Wordline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0" w:after="0"/>
              <w:ind w:left="26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150</w:t>
            </w:r>
          </w:p>
        </w:tc>
        <w:tc>
          <w:tcPr>
            <w:tcW w:type="dxa" w:w="26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0" w:val="left"/>
              </w:tabs>
              <w:autoSpaceDE w:val="0"/>
              <w:widowControl/>
              <w:spacing w:line="202" w:lineRule="exact" w:before="0" w:after="0"/>
              <w:ind w:left="2074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 xml:space="preserve">-5.2 </w:t>
            </w:r>
            <w:r>
              <w:br/>
            </w:r>
            <w:r>
              <w:tab/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log</w:t>
            </w:r>
            <w:r>
              <w:rPr>
                <w:w w:val="97.149999936421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(I</w:t>
            </w:r>
            <w:r>
              <w:rPr>
                <w:w w:val="97.149999936421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D</w:t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)</w:t>
            </w:r>
            <w:r>
              <w:br/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-5.3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6" w:after="0"/>
              <w:ind w:left="0" w:right="0" w:firstLine="0"/>
              <w:jc w:val="center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Y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6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322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515151"/>
                <w:sz w:val="17"/>
              </w:rPr>
              <w:t>100% JTAG yield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70" w:after="0"/>
              <w:ind w:left="36" w:right="0" w:firstLine="0"/>
              <w:jc w:val="lef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0.05</w:t>
            </w:r>
          </w:p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" w:after="0"/>
              <w:ind w:left="320" w:right="0" w:firstLine="0"/>
              <w:jc w:val="left"/>
            </w:pPr>
            <w:r>
              <w:rPr>
                <w:w w:val="98.67356845310756"/>
                <w:rFonts w:ascii="ArialUnicodeMS" w:hAnsi="ArialUnicodeMS" w:eastAsia="ArialUnicodeMS"/>
                <w:b w:val="0"/>
                <w:i w:val="0"/>
                <w:color w:val="000000"/>
                <w:sz w:val="14"/>
              </w:rPr>
              <w:t>reverse</w:t>
            </w:r>
          </w:p>
        </w:tc>
      </w:tr>
      <w:tr>
        <w:trPr>
          <w:trHeight w:hRule="exact" w:val="214"/>
        </w:trPr>
        <w:tc>
          <w:tcPr>
            <w:tcW w:type="dxa" w:w="52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6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" w:after="0"/>
              <w:ind w:left="406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140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8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" w:after="0"/>
              <w:ind w:left="0" w:right="332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-5.4</w:t>
            </w:r>
          </w:p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2625"/>
            <w:gridSpan w:val="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426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86" w:after="0"/>
              <w:ind w:left="608" w:right="0" w:firstLine="18"/>
              <w:jc w:val="lef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-9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104" w:lineRule="exact" w:before="366" w:after="0"/>
              <w:ind w:left="132" w:right="0" w:firstLine="0"/>
              <w:jc w:val="left"/>
            </w:pPr>
            <w:r>
              <w:tab/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-8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104" w:lineRule="exact" w:before="366" w:after="0"/>
              <w:ind w:left="134" w:right="0" w:firstLine="0"/>
              <w:jc w:val="left"/>
            </w:pPr>
            <w:r>
              <w:tab/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-7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104" w:lineRule="exact" w:before="366" w:after="0"/>
              <w:ind w:left="138" w:right="0" w:firstLine="0"/>
              <w:jc w:val="left"/>
            </w:pPr>
            <w:r>
              <w:tab/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-6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</w:tabs>
              <w:autoSpaceDE w:val="0"/>
              <w:widowControl/>
              <w:spacing w:line="104" w:lineRule="exact" w:before="366" w:after="0"/>
              <w:ind w:left="142" w:right="0" w:firstLine="0"/>
              <w:jc w:val="left"/>
            </w:pPr>
            <w:r>
              <w:tab/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-5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" w:val="left"/>
              </w:tabs>
              <w:autoSpaceDE w:val="0"/>
              <w:widowControl/>
              <w:spacing w:line="104" w:lineRule="exact" w:before="366" w:after="0"/>
              <w:ind w:left="144" w:right="288" w:firstLine="0"/>
              <w:jc w:val="left"/>
            </w:pPr>
            <w:r>
              <w:tab/>
            </w:r>
            <w:r>
              <w:rPr>
                <w:w w:val="102.2677739461263"/>
                <w:rFonts w:ascii="Helvetica" w:hAnsi="Helvetica" w:eastAsia="Helvetica"/>
                <w:b w:val="0"/>
                <w:i w:val="0"/>
                <w:color w:val="000000"/>
                <w:sz w:val="9"/>
              </w:rPr>
              <w:t xml:space="preserve">-4 </w:t>
            </w:r>
            <w:r>
              <w:br/>
            </w: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</w:tr>
      <w:tr>
        <w:trPr>
          <w:trHeight w:hRule="exact" w:val="122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406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130</w:t>
            </w:r>
          </w:p>
        </w:tc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342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0" w:after="0"/>
              <w:ind w:left="0" w:right="90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130</w:t>
            </w:r>
          </w:p>
        </w:tc>
        <w:tc>
          <w:tcPr>
            <w:tcW w:type="dxa" w:w="4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140</w:t>
            </w:r>
          </w:p>
        </w:tc>
        <w:tc>
          <w:tcPr>
            <w:tcW w:type="dxa" w:w="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150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160</w:t>
            </w:r>
          </w:p>
        </w:tc>
        <w:tc>
          <w:tcPr>
            <w:tcW w:type="dxa" w:w="5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0" w:after="0"/>
              <w:ind w:left="100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170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6" w:after="0"/>
              <w:ind w:left="0" w:right="332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-5.5</w:t>
            </w:r>
          </w:p>
        </w:tc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74" w:firstLine="0"/>
              <w:jc w:val="righ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80" w:right="0" w:firstLine="0"/>
              <w:jc w:val="lef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11 13 15 17</w:t>
            </w:r>
          </w:p>
        </w:tc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050"/>
            <w:gridSpan w:val="2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525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0" w:right="1800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Bitline</w:t>
            </w:r>
          </w:p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1302" w:firstLine="0"/>
              <w:jc w:val="right"/>
            </w:pPr>
            <w:r>
              <w:rPr>
                <w:w w:val="98.6164229256766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Current [A]</w:t>
            </w:r>
          </w:p>
        </w:tc>
      </w:tr>
      <w:tr>
        <w:trPr>
          <w:trHeight w:hRule="exact" w:val="200"/>
        </w:trPr>
        <w:tc>
          <w:tcPr>
            <w:tcW w:type="dxa" w:w="3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528" w:firstLine="0"/>
              <w:jc w:val="right"/>
            </w:pPr>
            <w:r>
              <w:rPr>
                <w:w w:val="102.2080039978027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X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6. JTAG yield across the wafer. Full 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7. Stripe pattern of the drain current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</w:t>
            </w:r>
          </w:p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ig. 8. Distribution of the drain current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</w:t>
            </w:r>
          </w:p>
        </w:tc>
      </w:tr>
      <w:tr>
        <w:trPr>
          <w:trHeight w:hRule="exact" w:val="8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FeFET device (small portion of the entire 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6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functionality was observed all across the wafer. 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for the low-V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high-V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state cells of </w:t>
            </w:r>
          </w:p>
        </w:tc>
      </w:tr>
      <w:tr>
        <w:trPr>
          <w:trHeight w:hRule="exact" w:val="10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64 kbit array shown only) written for alternating 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5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64 kbit FeFET array. Reverse pattern is </w:t>
            </w:r>
          </w:p>
        </w:tc>
      </w:tr>
      <w:tr>
        <w:trPr>
          <w:trHeight w:hRule="exact" w:val="10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word-lines.</w:t>
            </w:r>
          </w:p>
        </w:tc>
        <w:tc>
          <w:tcPr>
            <w:tcW w:type="dxa" w:w="3675"/>
            <w:gridSpan w:val="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0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shown to be matched. </w:t>
            </w:r>
          </w:p>
        </w:tc>
      </w:tr>
      <w:tr>
        <w:trPr>
          <w:trHeight w:hRule="exact" w:val="466"/>
        </w:trPr>
        <w:tc>
          <w:tcPr>
            <w:tcW w:type="dxa" w:w="3675"/>
            <w:gridSpan w:val="7"/>
            <w:vMerge/>
            <w:tcBorders/>
          </w:tcPr>
          <w:p/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82" w:after="0"/>
              <w:ind w:left="0" w:right="17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11.5.3</w:t>
            </w:r>
          </w:p>
        </w:tc>
        <w:tc>
          <w:tcPr>
            <w:tcW w:type="dxa" w:w="3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2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IEDM16-296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78" w:right="596" w:bottom="78" w:left="612" w:header="720" w:footer="720" w:gutter="0"/>
          <w:cols w:space="720" w:num="1" w:equalWidth="0">
            <w:col w:w="11032" w:space="0"/>
            <w:col w:w="4060" w:space="0"/>
            <w:col w:w="6972" w:space="0"/>
            <w:col w:w="11032" w:space="0"/>
            <w:col w:w="3764" w:space="0"/>
            <w:col w:w="7268" w:space="0"/>
            <w:col w:w="10660" w:space="0"/>
            <w:col w:w="5522" w:space="0"/>
            <w:col w:w="5138" w:space="0"/>
            <w:col w:w="10660" w:space="0"/>
            <w:col w:w="10750" w:space="0"/>
            <w:col w:w="5240" w:space="0"/>
            <w:col w:w="5510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8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>
        <w:trPr>
          <w:trHeight w:hRule="exact" w:val="329"/>
        </w:trPr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0" w:after="0"/>
              <w:ind w:left="252" w:right="0" w:firstLine="0"/>
              <w:jc w:val="lef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Cumulative distribution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08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0.99999 </w:t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0.9999 </w:t>
            </w:r>
            <w:r>
              <w:br/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0.999</w:t>
            </w:r>
          </w:p>
        </w:tc>
        <w:tc>
          <w:tcPr>
            <w:tcW w:type="dxa" w:w="8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1130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gridSpan w:val="3"/>
            <w:vMerge w:val="restart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90" w:after="0"/>
              <w:ind w:left="40" w:right="0" w:firstLine="0"/>
              <w:jc w:val="lef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low-V</w:t>
            </w:r>
            <w:r>
              <w:rPr>
                <w:w w:val="103.9518182927911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4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7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6" w:after="0"/>
              <w:ind w:left="0" w:right="252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5000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8" w:after="0"/>
              <w:ind w:left="0" w:right="0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9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2" w:after="0"/>
              <w:ind w:left="0" w:right="3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201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420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6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Y</w:t>
            </w:r>
          </w:p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4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4" w:after="0"/>
              <w:ind w:left="0" w:right="0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4000</w:t>
            </w:r>
          </w:p>
        </w:tc>
        <w:tc>
          <w:tcPr>
            <w:tcW w:type="dxa" w:w="260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" w:after="0"/>
              <w:ind w:left="124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n# overlapping cells</w:t>
            </w:r>
          </w:p>
        </w:tc>
        <w:tc>
          <w:tcPr>
            <w:tcW w:type="dxa" w:w="442"/>
            <w:gridSpan w:val="2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Y</w:t>
            </w:r>
          </w:p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8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0" w:after="0"/>
              <w:ind w:left="0" w:right="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300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log</w:t>
            </w:r>
            <w:r>
              <w:rPr>
                <w:w w:val="97.149999936421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(I</w:t>
            </w:r>
            <w:r>
              <w:rPr>
                <w:w w:val="97.149999936421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D,low-VT</w:t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/I</w:t>
            </w:r>
            <w:r>
              <w:rPr>
                <w:w w:val="97.149999936421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D,high-VT</w:t>
            </w: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)</w:t>
            </w:r>
          </w:p>
        </w:tc>
      </w:tr>
      <w:tr>
        <w:trPr>
          <w:trHeight w:hRule="exact" w:val="50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1782"/>
            <w:gridSpan w:val="6"/>
            <w:vMerge/>
            <w:tcBorders/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970"/>
            <w:gridSpan w:val="10"/>
            <w:vMerge/>
            <w:tcBorders/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150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0.99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1782"/>
            <w:gridSpan w:val="6"/>
            <w:vMerge/>
            <w:tcBorders/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2970"/>
            <w:gridSpan w:val="10"/>
            <w:vMerge/>
            <w:tcBorders/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4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0.9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4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4" w:after="0"/>
              <w:ind w:left="0" w:right="0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3000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" w:after="0"/>
              <w:ind w:left="0" w:right="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4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0.5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782"/>
            <w:gridSpan w:val="6"/>
            <w:vMerge/>
            <w:tcBorders/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80"/>
            <w:gridSpan w:val="10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32" w:after="0"/>
              <w:ind w:left="0" w:right="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460"/>
            <w:gridSpan w:val="6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2" w:after="0"/>
              <w:ind w:left="0" w:right="0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2000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970"/>
            <w:gridSpan w:val="10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94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6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1782"/>
            <w:gridSpan w:val="6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970"/>
            <w:gridSpan w:val="10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125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1782"/>
            <w:gridSpan w:val="6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2680"/>
            <w:gridSpan w:val="1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97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0.01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8</w:t>
            </w:r>
          </w:p>
        </w:tc>
        <w:tc>
          <w:tcPr>
            <w:tcW w:type="dxa" w:w="1782"/>
            <w:gridSpan w:val="6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4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8</w:t>
            </w:r>
          </w:p>
        </w:tc>
        <w:tc>
          <w:tcPr>
            <w:tcW w:type="dxa" w:w="2970"/>
            <w:gridSpan w:val="10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114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2460"/>
            <w:gridSpan w:val="6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1000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2680"/>
            <w:gridSpan w:val="1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26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54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4" w:after="0"/>
              <w:ind w:left="0" w:right="122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0.001 </w:t>
            </w:r>
            <w:r>
              <w:br/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0.0001 </w:t>
            </w:r>
            <w:r>
              <w:br/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0.00001</w:t>
            </w:r>
          </w:p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00"/>
            <w:gridSpan w:val="3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" w:after="0"/>
              <w:ind w:left="0" w:right="0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1782"/>
            <w:gridSpan w:val="6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970"/>
            <w:gridSpan w:val="10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134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1020"/>
            <w:gridSpan w:val="3"/>
            <w:vMerge w:val="restart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" w:after="0"/>
              <w:ind w:left="40" w:right="0" w:firstLine="0"/>
              <w:jc w:val="lef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high-V</w:t>
            </w:r>
            <w:r>
              <w:rPr>
                <w:w w:val="103.9518182927911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782"/>
            <w:gridSpan w:val="6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2970"/>
            <w:gridSpan w:val="10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202"/>
        </w:trPr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1188"/>
            <w:gridSpan w:val="4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616"/>
            <w:gridSpan w:val="3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0" w:after="0"/>
              <w:ind w:left="0" w:right="120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304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4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58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4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04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4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62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8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54" w:lineRule="exact" w:before="260" w:after="0"/>
              <w:ind w:left="20" w:right="288" w:firstLine="0"/>
              <w:jc w:val="lef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 xml:space="preserve">9 11 13 15 17 </w:t>
            </w: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X</w:t>
            </w:r>
          </w:p>
        </w:tc>
        <w:tc>
          <w:tcPr>
            <w:tcW w:type="dxa" w:w="868"/>
            <w:gridSpan w:val="3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8" w:after="0"/>
              <w:ind w:left="0" w:right="492" w:firstLine="0"/>
              <w:jc w:val="right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580"/>
            <w:gridSpan w:val="3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2" w:after="0"/>
              <w:ind w:left="0" w:right="0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382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gridSpan w:val="2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32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04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tcBorders>
              <w:top w:sz="0.47999998927116394" w:val="single" w:color="#000000"/>
              <w:bottom w:sz="0.479999989271163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0"/>
            <w:gridSpan w:val="4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32" w:after="0"/>
              <w:ind w:left="60" w:right="0" w:firstLine="0"/>
              <w:jc w:val="lef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9 11 13 15 17</w:t>
            </w:r>
          </w:p>
        </w:tc>
        <w:tc>
          <w:tcPr>
            <w:tcW w:type="dxa" w:w="700"/>
            <w:gridSpan w:val="2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2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-1</w:t>
            </w:r>
          </w:p>
        </w:tc>
      </w:tr>
      <w:tr>
        <w:trPr>
          <w:trHeight w:hRule="exact" w:val="200"/>
        </w:trPr>
        <w:tc>
          <w:tcPr>
            <w:tcW w:type="dxa" w:w="10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20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-10</w:t>
            </w:r>
          </w:p>
        </w:tc>
        <w:tc>
          <w:tcPr>
            <w:tcW w:type="dxa" w:w="5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44" w:firstLine="0"/>
              <w:jc w:val="righ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9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2" w:after="0"/>
              <w:ind w:left="0" w:right="0" w:firstLine="0"/>
              <w:jc w:val="center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10 </w:t>
            </w:r>
            <w:r>
              <w:br/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Current [</w:t>
            </w:r>
            <w:r>
              <w:rPr>
                <w:w w:val="103.17213875906808"/>
                <w:rFonts w:ascii="Symbol" w:hAnsi="Symbol" w:eastAsia="Symbol"/>
                <w:b w:val="0"/>
                <w:i w:val="0"/>
                <w:color w:val="000000"/>
                <w:sz w:val="14"/>
              </w:rPr>
              <w:t>μ</w:t>
            </w: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A]</w:t>
            </w:r>
          </w:p>
        </w:tc>
        <w:tc>
          <w:tcPr>
            <w:tcW w:type="dxa" w:w="3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16" w:right="0" w:firstLine="0"/>
              <w:jc w:val="left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0" w:firstLine="0"/>
              <w:jc w:val="center"/>
            </w:pPr>
            <w:r>
              <w:rPr>
                <w:w w:val="103.1721387590680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162"/>
            <w:vMerge w:val="restart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2" w:after="0"/>
              <w:ind w:left="0" w:right="0" w:firstLine="0"/>
              <w:jc w:val="center"/>
            </w:pPr>
            <w:r>
              <w:rPr>
                <w:w w:val="98.19000244140625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382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60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594"/>
            <w:gridSpan w:val="2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04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02"/>
            <w:tcBorders>
              <w:top w:sz="0.479999989271163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0" w:right="0" w:firstLine="0"/>
              <w:jc w:val="center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1188"/>
            <w:gridSpan w:val="4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594"/>
            <w:gridSpan w:val="2"/>
            <w:vMerge/>
            <w:tcBorders>
              <w:top w:sz="0.47999998927116394" w:val="single" w:color="#000000"/>
            </w:tcBorders>
          </w:tcPr>
          <w:p/>
        </w:tc>
      </w:tr>
      <w:tr>
        <w:trPr>
          <w:trHeight w:hRule="exact" w:val="170"/>
        </w:trPr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594"/>
            <w:gridSpan w:val="2"/>
            <w:vMerge/>
            <w:tcBorders/>
          </w:tcPr>
          <w:p/>
        </w:tc>
        <w:tc>
          <w:tcPr>
            <w:tcW w:type="dxa" w:w="297"/>
            <w:vMerge/>
            <w:tcBorders/>
          </w:tcPr>
          <w:p/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297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891"/>
            <w:gridSpan w:val="3"/>
            <w:vMerge/>
            <w:tcBorders>
              <w:top w:sz="0.47999998927116394" w:val="single" w:color="#000000"/>
            </w:tcBorders>
          </w:tcPr>
          <w:p/>
        </w:tc>
        <w:tc>
          <w:tcPr>
            <w:tcW w:type="dxa" w:w="35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1672" w:firstLine="0"/>
              <w:jc w:val="right"/>
            </w:pPr>
            <w:r>
              <w:rPr>
                <w:w w:val="98.17266464233398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die X</w:t>
            </w:r>
          </w:p>
        </w:tc>
      </w:tr>
      <w:tr>
        <w:trPr>
          <w:trHeight w:hRule="exact" w:val="210"/>
        </w:trPr>
        <w:tc>
          <w:tcPr>
            <w:tcW w:type="dxa" w:w="36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9. Cumulative distribution of the drain </w:t>
            </w:r>
          </w:p>
        </w:tc>
        <w:tc>
          <w:tcPr>
            <w:tcW w:type="dxa" w:w="36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10. Number of overlapping cells in the </w:t>
            </w:r>
          </w:p>
        </w:tc>
        <w:tc>
          <w:tcPr>
            <w:tcW w:type="dxa" w:w="35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11. Wafer map of single-device FeFET </w:t>
            </w:r>
          </w:p>
        </w:tc>
      </w:tr>
      <w:tr>
        <w:trPr>
          <w:trHeight w:hRule="exact" w:val="221"/>
        </w:trPr>
        <w:tc>
          <w:tcPr>
            <w:tcW w:type="dxa" w:w="36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current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for the programmed pattern (32 kbit </w:t>
            </w:r>
          </w:p>
        </w:tc>
        <w:tc>
          <w:tcPr>
            <w:tcW w:type="dxa" w:w="36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64 kbit array after pattern writing shown as </w:t>
            </w:r>
          </w:p>
        </w:tc>
        <w:tc>
          <w:tcPr>
            <w:tcW w:type="dxa" w:w="35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current ratios, log(I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D-low-VT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/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D-high-VT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). Clear </w:t>
            </w:r>
          </w:p>
        </w:tc>
      </w:tr>
      <w:tr>
        <w:trPr>
          <w:trHeight w:hRule="exact" w:val="206"/>
        </w:trPr>
        <w:tc>
          <w:tcPr>
            <w:tcW w:type="dxa" w:w="36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in low-V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32 kbit in high-V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state) of the </w:t>
            </w:r>
          </w:p>
        </w:tc>
        <w:tc>
          <w:tcPr>
            <w:tcW w:type="dxa" w:w="36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wafer map. Cross-wafer signature is caused by </w:t>
            </w:r>
          </w:p>
        </w:tc>
        <w:tc>
          <w:tcPr>
            <w:tcW w:type="dxa" w:w="35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separation of the two cell states (low- &amp; high-</w:t>
            </w:r>
          </w:p>
        </w:tc>
      </w:tr>
      <w:tr>
        <w:trPr>
          <w:trHeight w:hRule="exact" w:val="192"/>
        </w:trPr>
        <w:tc>
          <w:tcPr>
            <w:tcW w:type="dxa" w:w="36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64 kbit array. No error exclusion was done. </w:t>
            </w:r>
          </w:p>
        </w:tc>
        <w:tc>
          <w:tcPr>
            <w:tcW w:type="dxa" w:w="364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ALD cross flow profile [3]. </w:t>
            </w:r>
          </w:p>
        </w:tc>
        <w:tc>
          <w:tcPr>
            <w:tcW w:type="dxa" w:w="35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) with ratios &gt;10.000 are demonstrated. </w:t>
            </w:r>
          </w:p>
        </w:tc>
      </w:tr>
      <w:tr>
        <w:trPr>
          <w:trHeight w:hRule="exact" w:val="142"/>
        </w:trPr>
        <w:tc>
          <w:tcPr>
            <w:tcW w:type="dxa" w:w="362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0" w:after="0"/>
              <w:ind w:left="0" w:right="5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-5</w:t>
            </w:r>
          </w:p>
        </w:tc>
        <w:tc>
          <w:tcPr>
            <w:tcW w:type="dxa" w:w="3267"/>
            <w:gridSpan w:val="11"/>
            <w:vMerge/>
            <w:tcBorders/>
          </w:tcPr>
          <w:p/>
        </w:tc>
        <w:tc>
          <w:tcPr>
            <w:tcW w:type="dxa" w:w="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110" w:lineRule="exact" w:before="212" w:after="0"/>
              <w:ind w:left="350" w:right="0" w:firstLine="0"/>
              <w:jc w:val="left"/>
            </w:pPr>
            <w:r>
              <w:tab/>
            </w:r>
            <w:r>
              <w:rPr>
                <w:w w:val="97.31696128845215"/>
                <w:rFonts w:ascii="Helvetica" w:hAnsi="Helvetica" w:eastAsia="Helvetica"/>
                <w:b w:val="0"/>
                <w:i w:val="0"/>
                <w:color w:val="000000"/>
                <w:sz w:val="10"/>
              </w:rPr>
              <w:t xml:space="preserve">-4 </w:t>
            </w:r>
            <w:r>
              <w:br/>
            </w:r>
            <w:r>
              <w:rPr>
                <w:w w:val="97.31729507446289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2980"/>
            <w:gridSpan w:val="11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745"/>
              <w:gridCol w:w="745"/>
              <w:gridCol w:w="745"/>
              <w:gridCol w:w="745"/>
            </w:tblGrid>
            <w:tr>
              <w:trPr>
                <w:trHeight w:hRule="exact" w:val="648"/>
              </w:trPr>
              <w:tc>
                <w:tcPr>
                  <w:tcW w:type="dxa" w:w="2538"/>
                  <w:gridSpan w:val="4"/>
                  <w:vMerge w:val="restart"/>
                  <w:tcBorders>
                    <w:start w:sz="0.47999998927116394" w:val="single" w:color="#000000"/>
                    <w:end w:sz="0.47999998927116394" w:val="single" w:color="#000000"/>
                    <w:bottom w:sz="0.9599999785423279" w:val="single" w:color="#FFFFFF"/>
                    <w:top w:sz="0.9599999785423279" w:val="single" w:color="#FFFFF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234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7800" cy="63500"/>
                        <wp:docPr id="25" name="Picture 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97.31729507446289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low-V</w:t>
                  </w:r>
                  <w:r>
                    <w:rPr>
                      <w:w w:val="96.30329608917236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T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6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7800" cy="762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97.31729507446289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high-V</w:t>
                  </w:r>
                  <w:r>
                    <w:rPr>
                      <w:w w:val="96.30329608917236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T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2980"/>
                  <w:gridSpan w:val="4"/>
                  <w:vMerge/>
                  <w:tcBorders>
                    <w:start w:sz="0.47999998927116394" w:val="single" w:color="#000000"/>
                    <w:end w:sz="0.47999998927116394" w:val="single" w:color="#000000"/>
                    <w:bottom w:sz="0.9599999785423279" w:val="single" w:color="#FFFFFF"/>
                  </w:tcBorders>
                </w:tcPr>
                <w:p/>
              </w:tc>
            </w:tr>
          </w:tbl>
          <w:p/>
        </w:tc>
      </w:tr>
      <w:tr>
        <w:tc>
          <w:tcPr>
            <w:tcW w:type="dxa" w:w="3564"/>
            <w:gridSpan w:val="12"/>
            <w:vMerge/>
            <w:tcBorders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891"/>
            <w:gridSpan w:val="3"/>
            <w:vMerge/>
            <w:tcBorders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3267"/>
            <w:gridSpan w:val="11"/>
            <w:vMerge/>
            <w:tcBorders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</w:tr>
      <w:tr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  <w:tc>
          <w:tcPr>
            <w:tcW w:type="dxa" w:w="297"/>
          </w:tcPr>
          <w:p/>
        </w:tc>
      </w:tr>
    </w:tbl>
    <w:sectPr w:rsidR="00FC693F" w:rsidRPr="0006063C" w:rsidSect="00034616">
      <w:pgSz w:w="12240" w:h="15840"/>
      <w:pgMar w:top="478" w:right="666" w:bottom="78" w:left="580" w:header="720" w:footer="720" w:gutter="0"/>
      <w:cols w:space="720" w:num="1" w:equalWidth="0">
        <w:col w:w="10994" w:space="0"/>
        <w:col w:w="11032" w:space="0"/>
        <w:col w:w="4060" w:space="0"/>
        <w:col w:w="6972" w:space="0"/>
        <w:col w:w="11032" w:space="0"/>
        <w:col w:w="3764" w:space="0"/>
        <w:col w:w="7268" w:space="0"/>
        <w:col w:w="10660" w:space="0"/>
        <w:col w:w="5522" w:space="0"/>
        <w:col w:w="5138" w:space="0"/>
        <w:col w:w="10660" w:space="0"/>
        <w:col w:w="10750" w:space="0"/>
        <w:col w:w="5240" w:space="0"/>
        <w:col w:w="5510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