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92" w:lineRule="exact" w:before="0" w:after="0"/>
        <w:ind w:left="0" w:right="0"/>
      </w:pPr>
    </w:p>
    <w:p>
      <w:pPr>
        <w:autoSpaceDN w:val="0"/>
        <w:tabs>
          <w:tab w:pos="534" w:val="left"/>
          <w:tab w:pos="704" w:val="left"/>
          <w:tab w:pos="958" w:val="left"/>
          <w:tab w:pos="966" w:val="left"/>
          <w:tab w:pos="1652" w:val="left"/>
          <w:tab w:pos="2256" w:val="left"/>
        </w:tabs>
        <w:autoSpaceDE w:val="0"/>
        <w:widowControl/>
        <w:spacing w:line="245" w:lineRule="auto" w:before="0" w:after="32"/>
        <w:ind w:left="86" w:right="432" w:firstLine="0"/>
        <w:jc w:val="left"/>
      </w:pPr>
      <w:r>
        <w:rPr>
          <w:rFonts w:ascii="ArialMT" w:hAnsi="ArialMT" w:eastAsia="ArialMT"/>
          <w:b w:val="0"/>
          <w:i w:val="0"/>
          <w:color w:val="221F1F"/>
          <w:sz w:val="28"/>
        </w:rPr>
        <w:t xml:space="preserve">T7-3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Strategy Toward HZO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>BEOL-FeRAM with Low-Voltage Operation (≤</w:t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1.2 V),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Low Process Temperature, and High Endurance by Thickness Scaling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K. Tahara,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K. Toprasertpong,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Y. Hikosaka,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K. Nakamura,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H. Saito,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M. Takenaka, and </w:t>
      </w:r>
      <w:r>
        <w:rPr>
          <w:rFonts w:ascii="TimesNewRomanPSMT" w:hAnsi="TimesNewRomanPSMT" w:eastAsia="TimesNewRomanPSMT"/>
          <w:b w:val="0"/>
          <w:i w:val="0"/>
          <w:color w:val="000000"/>
          <w:sz w:val="1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S. Takagi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of Electrical Engineering and Information Systems, the University of Tokyo, Tokyo, Japan,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Div., Fujitsu Semiconductor Memory Solution Limited, Kanagawa, Japan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email: toprasertpong@mosfet.t.u-tokyo.ac.jp, takagi@ee.t.u-tokyo.ac.jp </w:t>
      </w:r>
    </w:p>
    <w:p>
      <w:pPr>
        <w:sectPr>
          <w:pgSz w:w="11906" w:h="16044"/>
          <w:pgMar w:top="192" w:right="750" w:bottom="66" w:left="822" w:header="720" w:footer="720" w:gutter="0"/>
          <w:cols w:space="720" w:num="1" w:equalWidth="0">
            <w:col w:w="10333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186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Abstract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potential of thickness scaling in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Hf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Zr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(HZO) is investigated by a systematic study on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MFM capacitors with HZO thickness from 9.5 nm down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2.8 nm. We establish the thickness-temperature mapping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indicating a clear tradeoff between the thickness scaling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crystallization temperature, which has to be taken into account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the implementation as back-end-of-line (BEOL) FeRAM.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Utilizing the thickness scaling and high-field wake-up without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reliability loss, we demonstrate 4-nm-thick HZO having low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crystallization temperature (500ºC), excellent ferroelectricity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&gt;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), low operating voltage (0.7-1.2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V), and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read/write endurance (projected to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).</w:t>
      </w:r>
    </w:p>
    <w:p>
      <w:pPr>
        <w:autoSpaceDN w:val="0"/>
        <w:autoSpaceDE w:val="0"/>
        <w:widowControl/>
        <w:spacing w:line="245" w:lineRule="auto" w:before="0" w:after="0"/>
        <w:ind w:left="0" w:right="18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Introduction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-based ferroelectric thin films [1-2] have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triggered a gr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eat interest in ferroelectric memory toward VLSI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integration owing to their high CMOS compatibility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scalability. In particular, low crystallization temperature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around 400ºC of HZO [3-4] enables the application to BEOL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memory integration, where the process temperature needs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as low as possible, at least below 500ºC [5-6]. On the other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hand, their large coercive field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(&gt; 1 MV/cm) and typical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thickness of 10 nm lead to high operating voltage (&gt; 2 V) that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becomes challenging for the implementation in advanced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nodes. One promising approach to reduce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operating voltage is to scale down the film thickness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reducing the coercive voltage needed for polarization reversal.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However, a lack of systematic studies on how the thickness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scaling impacts on the optimal process, the ferroelectric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properties, and the memory-device reliability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makes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it difficult to understand the real potential of thin-film HZO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toward BEOL FeRAM. In this study, we systematically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investigate the tendency of required annealing temperature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thin HZO, examine the possibility of low-voltage operation (≤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1.2 V), and demonstrate the significant improvement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read/write endurance with thickness scaling. </w:t>
      </w:r>
    </w:p>
    <w:p>
      <w:pPr>
        <w:autoSpaceDN w:val="0"/>
        <w:autoSpaceDE w:val="0"/>
        <w:widowControl/>
        <w:spacing w:line="245" w:lineRule="auto" w:before="0" w:after="0"/>
        <w:ind w:left="0" w:right="184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Device preparation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2(a)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the process flow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TiN/HZO/TiN MFM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capacitors employed in this study. HZO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layers with a wide range of thicknesses of 2.8-9.5 nm were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prepared by ALD (TEMAH, TEMAZ, and H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O) before being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crystallized by rapid thermal annealing in a temperature range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300-600ºC for 30 s after top TiN deposition. TEM images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4.0 nm/500ºC and 4.6 nm/450ºC HZO in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2(b)-(c)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that HZO is well crystallized after annealing.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Strong-field wake-up effect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In thick HZO, clear ferroelec-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tric hysteresis loops can be o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bserved with only small wake-up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effect. On the other hand, HZO films thinner than 5 nm show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AFE-like double hysteresis loops for the pristine state,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agreeing with [7], and exhibit clear ferroelectricity with 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&gt;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25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after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wake-up cycling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). After strong-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(4 MV/cm) cycling, the ferroelectricity is activated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thin HZO films exhibit clear hysteresis loops even at operating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much lower than the cycling field (&lt;&lt; 4 MV/cm), 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low-field cycling is insufficient to obtain hysteresis loops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with wide memory window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</w:t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Thickness-temperature mapping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 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characteristics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of HZO with various thicknesses 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nd annealing temperatures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illustrate that higher annealing temperature is required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effectively crystallizing the ferroelectric phase in thin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HZO: 400ºC, 450ºC, and 500ºC for 9.5-nm, 4.6-nm, and 4.0-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nm HZO, respectively. The annealing temperatures and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HZO thicknesses that provide 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&gt;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10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summarized and mapped in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indicating that there is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clear tradeoff between the thickness scaling and ferroelectric-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phase crystallization temperature.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a schematic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diagram to describe this thickness-temperature tradeoff: more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thermal budget is required to crystallize thinner films.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similar diagram has been introduced in [8] to describe doped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thickness larger than 10 nm, implying that this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diagram is applicable to other HfO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-based ferroelectrics in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wide thickness range. After phase stabilization by annealing,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cycling can boost the transition to the ferroelectric phase, </w:t>
      </w:r>
    </w:p>
    <w:p>
      <w:pPr>
        <w:sectPr>
          <w:type w:val="continuous"/>
          <w:pgSz w:w="11906" w:h="16044"/>
          <w:pgMar w:top="192" w:right="750" w:bottom="66" w:left="822" w:header="720" w:footer="720" w:gutter="0"/>
          <w:cols w:space="720" w:num="2" w:equalWidth="0">
            <w:col w:w="5155" w:space="0"/>
            <w:col w:w="5178" w:space="0"/>
            <w:col w:w="10333" w:space="0"/>
          </w:cols>
          <w:docGrid w:linePitch="360"/>
        </w:sectPr>
      </w:pPr>
    </w:p>
    <w:p>
      <w:pPr>
        <w:autoSpaceDN w:val="0"/>
        <w:tabs>
          <w:tab w:pos="1178" w:val="left"/>
          <w:tab w:pos="2302" w:val="left"/>
          <w:tab w:pos="3046" w:val="left"/>
          <w:tab w:pos="3638" w:val="left"/>
          <w:tab w:pos="4194" w:val="left"/>
          <w:tab w:pos="4950" w:val="left"/>
        </w:tabs>
        <w:autoSpaceDE w:val="0"/>
        <w:widowControl/>
        <w:spacing w:line="245" w:lineRule="auto" w:before="0" w:after="0"/>
        <w:ind w:left="18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which has been reported to be reservable [9]. The following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examinations focus on MFM capacitors near the boundary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thickness-temperature mapping (lowest annealing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temperature at a given thickness), 500ºC for 4.0-nm, 450ºC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4.6- and 5.6-nm, and 400ºC for thick HZO, since lower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thermal budget is preferable for the BEOL implementation. </w:t>
      </w: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Low-voltage operation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the switching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 xml:space="preserve">polarization </w:t>
      </w:r>
      <w:r>
        <w:rPr>
          <w:rFonts w:ascii="TimesNewRomanPS" w:hAnsi="TimesNewRomanPS" w:eastAsia="TimesNewRomanPS"/>
          <w:b w:val="0"/>
          <w:i/>
          <w:color w:val="000000"/>
          <w:sz w:val="20"/>
          <w:u w:val="single"/>
        </w:rPr>
        <w:t>P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sw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 xml:space="preserve"> (= 2</w:t>
      </w:r>
      <w:r>
        <w:rPr>
          <w:rFonts w:ascii="TimesNewRomanPS" w:hAnsi="TimesNewRomanPS" w:eastAsia="TimesNewRomanPS"/>
          <w:b w:val="0"/>
          <w:i/>
          <w:color w:val="000000"/>
          <w:sz w:val="20"/>
          <w:u w:val="single"/>
        </w:rPr>
        <w:t>P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for saturation loops) of HZO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various thicknesses for given read/write voltages. At high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operating voltage, thicker HZO films are preferred owing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their better ferroelectric phase stability. On the other hand, at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low operating voltage, thinner HZO films are favorable to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achieve sufficient field against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polarization reversal.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While thick HZO cannot perform well at applied voltage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below 1.2 V, 4.0-nm and 4.6-nm HZO films exhibit excellent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 hysteresis loops down to 0.7 V and 1.0 V,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respectively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9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suggesting the potential of thin HZO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advanced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technology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nodes.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also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comparatively better data retention in thin HZO under low-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voltage operation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At 1.2 V and 1.0 V read/write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operations, much superior same-state (SS) data retention can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be found in thin HZO because of higher read/write field.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opposite-state (OS) test, which reflects the imprint behavior,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shows comparable tendency to reported literatures [9-10],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indicating that the imprint issue still exists in scaled HZO. </w:t>
      </w:r>
    </w:p>
    <w:p>
      <w:pPr>
        <w:autoSpaceDN w:val="0"/>
        <w:autoSpaceDE w:val="0"/>
        <w:widowControl/>
        <w:spacing w:line="245" w:lineRule="auto" w:before="0" w:after="0"/>
        <w:ind w:left="186" w:right="0" w:firstLine="2718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0"/>
        </w:rPr>
        <w:t>J-E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measurements were </w:t>
      </w: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 xml:space="preserve">Endurance improvement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conducted to investigate the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breakdown characteristics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 xml:space="preserve">Fig.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11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The electrical breakdown of HZO occurs at larger electric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field in thinner HZO: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3.5 MV/cm in 9.5-nm HZO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reaches 6 MV/cm in 4.0-nm HZO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12(a)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This is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attributable to lower applied voltage that decreases the energy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of electrons flowing through and the damages to the HZO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layer, which is similar to the well-known phenomenon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SiO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/Si MOS system having improved breakdown tolerance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thinning oxide [11-12]. The increase of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thickness scaling helps improve the 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C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/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E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BD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ratio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12(b)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and results in the improvement of device reliability especially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endurance performance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13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4.0-nm HZO with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capacitor area of 3600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shows endurance performance as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high as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10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under the high cycling field of 4 MV/cm at 100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kHz while keeping 2</w:t>
      </w:r>
      <w:r>
        <w:rPr>
          <w:rFonts w:ascii="TimesNewRomanPS" w:hAnsi="TimesNewRomanPS" w:eastAsia="TimesNewRomanPS"/>
          <w:b w:val="0"/>
          <w:i/>
          <w:color w:val="000000"/>
          <w:sz w:val="20"/>
        </w:rPr>
        <w:t>P</w:t>
      </w:r>
      <w:r>
        <w:rPr>
          <w:rFonts w:ascii="TimesNewRomanPS" w:hAnsi="TimesNewRomanPS" w:eastAsia="TimesNewRomanPS"/>
          <w:b w:val="0"/>
          <w:i/>
          <w:color w:val="000000"/>
          <w:sz w:val="13"/>
        </w:rPr>
        <w:t>r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&gt;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20 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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C/cm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When reducing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cycling field to 3 MV/cm (1.2 V operation) after wake-up,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4.0-nm HZO does not experience breakdown within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experimental time (&gt;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10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endurance, 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14(c)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endurance of 4.0-nm HZO is projected to be more than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considering the improvement by decreasing field to 3 MV/cm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and increasing cycling frequency to 10 MHz (</w:t>
      </w:r>
      <w:r>
        <w:rPr>
          <w:rFonts w:ascii="TimesNewRomanPS" w:hAnsi="TimesNewRomanPS" w:eastAsia="TimesNewRomanPS"/>
          <w:b/>
          <w:i w:val="0"/>
          <w:color w:val="000000"/>
          <w:sz w:val="20"/>
        </w:rPr>
        <w:t>Fig. 15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),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additional &gt;1000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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improvement is further expected by area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scaling [5]. The fatigue-limited endurance is also extrapolated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to over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14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thanks to high write field even at 1.2 V. Notable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endurance even after wake-up at 4 MV/cm for 10</w:t>
      </w:r>
      <w:r>
        <w:rPr>
          <w:rFonts w:ascii="TimesNewRomanPSMT" w:hAnsi="TimesNewRomanPSMT" w:eastAsia="TimesNewRomanPSMT"/>
          <w:b w:val="0"/>
          <w:i w:val="0"/>
          <w:color w:val="000000"/>
          <w:sz w:val="1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cycles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suggests that the high-field cycling helps improving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ferroelectricity in ultra-thin HZO without reliability penalty. </w:t>
      </w:r>
      <w:r>
        <w:rPr>
          <w:rFonts w:ascii="TimesNewRomanPS" w:hAnsi="TimesNewRomanPS" w:eastAsia="TimesNewRomanPS"/>
          <w:b/>
          <w:i w:val="0"/>
          <w:color w:val="000000"/>
          <w:sz w:val="20"/>
          <w:u w:val="single"/>
        </w:rPr>
        <w:t>Conclusion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 We show that while the thickness scaling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  <w:u w:val="single"/>
        </w:rPr>
        <w:t>HZO result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 in higher crystallization temperature, it enables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low-voltage operation (≤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1.2 V) and improves the low-voltage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data retention as well as the read/write endurance. With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careful consideration of the thickness-temperature tradeoff,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thickness scaling of HZO down to 4 nm suggests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strong potential of ferroelectric HZO toward the highly-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reliable, low-voltage operating BEOL FeRAM application. </w:t>
      </w:r>
    </w:p>
    <w:p>
      <w:pPr>
        <w:autoSpaceDN w:val="0"/>
        <w:tabs>
          <w:tab w:pos="1742" w:val="left"/>
        </w:tabs>
        <w:autoSpaceDE w:val="0"/>
        <w:widowControl/>
        <w:spacing w:line="245" w:lineRule="auto" w:before="18" w:after="0"/>
        <w:ind w:left="18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16"/>
          <w:u w:val="single"/>
        </w:rPr>
        <w:t xml:space="preserve">Acknowledgment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This work was supported by JST CREST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  <w:u w:val="single"/>
        </w:rPr>
        <w:t xml:space="preserve">(JPMJCR20C3),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JSPS KAKENHI (19K15021), and Nanotechnology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Platform project by MEXT (JPMXP09A20UT0056), Japan. </w:t>
      </w:r>
    </w:p>
    <w:p>
      <w:pPr>
        <w:autoSpaceDN w:val="0"/>
        <w:autoSpaceDE w:val="0"/>
        <w:widowControl/>
        <w:spacing w:line="245" w:lineRule="auto" w:before="0" w:after="226"/>
        <w:ind w:left="188" w:right="32" w:firstLine="0"/>
        <w:jc w:val="both"/>
      </w:pPr>
      <w:r>
        <w:rPr>
          <w:rFonts w:ascii="TimesNewRomanPS" w:hAnsi="TimesNewRomanPS" w:eastAsia="TimesNewRomanPS"/>
          <w:b/>
          <w:i w:val="0"/>
          <w:color w:val="000000"/>
          <w:sz w:val="16"/>
          <w:u w:val="single"/>
        </w:rPr>
        <w:t>References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  [1] T.S. Böscke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APL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99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102903 (2011). [2] J. Müller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et </w:t>
      </w:r>
      <w:r>
        <w:rPr>
          <w:rFonts w:ascii="TimesNewRomanPS" w:hAnsi="TimesNewRomanPS" w:eastAsia="TimesNewRomanPS"/>
          <w:b w:val="0"/>
          <w:i/>
          <w:color w:val="000000"/>
          <w:sz w:val="16"/>
          <w:u w:val="single"/>
        </w:rPr>
        <w:t>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  <w:u w:val="single"/>
        </w:rPr>
        <w:t>, Nano L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ett.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4318 (2012). [3] M.H. Park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APL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102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242905 (2013).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[4] K. Toprasertpong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IEEE EDL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41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1588 (2020). [5] L. Grenouillet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 xml:space="preserve">et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VLSI Tech., TF2.4 (2020). [6] J. Okuno et al., VLSI Tech., TF2.1 (2020).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[7] M.H. Park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APL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107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192907 (2015). [8] M. Hoffmann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JAP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118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072006 (2015). [9] T. Mittmann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IEDM, 387 (2020). [10] S.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Mueller,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IEEE TDMR </w:t>
      </w:r>
      <w:r>
        <w:rPr>
          <w:rFonts w:ascii="TimesNewRomanPS" w:hAnsi="TimesNewRomanPS" w:eastAsia="TimesNewRomanPS"/>
          <w:b/>
          <w:i w:val="0"/>
          <w:color w:val="000000"/>
          <w:sz w:val="16"/>
        </w:rPr>
        <w:t>13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93 (2013). [11] K.F. Schuegraf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, IEEE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TED, 761 (1994). [12] J.H. Stathis </w:t>
      </w:r>
      <w:r>
        <w:rPr>
          <w:rFonts w:ascii="TimesNewRomanPS" w:hAnsi="TimesNewRomanPS" w:eastAsia="TimesNewRomanPS"/>
          <w:b w:val="0"/>
          <w:i/>
          <w:color w:val="000000"/>
          <w:sz w:val="16"/>
        </w:rPr>
        <w:t>et al.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, IEDM, 167 (1998).</w:t>
      </w:r>
    </w:p>
    <w:p>
      <w:pPr>
        <w:sectPr>
          <w:type w:val="nextColumn"/>
          <w:pgSz w:w="11906" w:h="16044"/>
          <w:pgMar w:top="192" w:right="750" w:bottom="66" w:left="822" w:header="720" w:footer="720" w:gutter="0"/>
          <w:cols w:space="720" w:num="2" w:equalWidth="0">
            <w:col w:w="5155" w:space="0"/>
            <w:col w:w="5178" w:space="0"/>
            <w:col w:w="10333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445"/>
        <w:gridCol w:w="3445"/>
        <w:gridCol w:w="3445"/>
      </w:tblGrid>
      <w:tr>
        <w:trPr>
          <w:trHeight w:hRule="exact" w:val="340"/>
        </w:trPr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28"/>
              </w:rPr>
              <w:t>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10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978-4-86348-779-6 ©2021 JSAP</w:t>
            </w:r>
          </w:p>
        </w:tc>
        <w:tc>
          <w:tcPr>
            <w:tcW w:type="dxa" w:w="6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58" w:after="0"/>
              <w:ind w:left="96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2021 Symposium on VLSI Technology Digest of Technical Papers</w:t>
            </w:r>
          </w:p>
        </w:tc>
      </w:tr>
    </w:tbl>
    <w:p>
      <w:pPr>
        <w:autoSpaceDN w:val="0"/>
        <w:autoSpaceDE w:val="0"/>
        <w:widowControl/>
        <w:spacing w:line="194" w:lineRule="exact" w:before="28" w:after="0"/>
        <w:ind w:left="0" w:right="0" w:firstLine="0"/>
        <w:jc w:val="center"/>
      </w:pPr>
      <w:r>
        <w:rPr>
          <w:rFonts w:ascii="Helvetica" w:hAnsi="Helvetica" w:eastAsia="Helvetica"/>
          <w:b w:val="0"/>
          <w:i w:val="0"/>
          <w:color w:val="000000"/>
          <w:sz w:val="14"/>
        </w:rPr>
        <w:t xml:space="preserve">Authorized licensed use limited to: Georgia Institute of Technology. Downloaded on March 07,2022 at 01:02:15 UTC from IEEE Xplore.  Restrictions apply. </w:t>
      </w:r>
    </w:p>
    <w:p>
      <w:pPr>
        <w:sectPr>
          <w:type w:val="continuous"/>
          <w:pgSz w:w="11906" w:h="16044"/>
          <w:pgMar w:top="192" w:right="750" w:bottom="66" w:left="822" w:header="720" w:footer="720" w:gutter="0"/>
          <w:cols w:space="720" w:num="1" w:equalWidth="0">
            <w:col w:w="10333" w:space="0"/>
            <w:col w:w="5155" w:space="0"/>
            <w:col w:w="5178" w:space="0"/>
            <w:col w:w="1033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40"/>
        <w:gridCol w:w="3440"/>
        <w:gridCol w:w="3440"/>
      </w:tblGrid>
      <w:tr>
        <w:trPr>
          <w:trHeight w:hRule="exact" w:val="14424"/>
        </w:trPr>
        <w:tc>
          <w:tcPr>
            <w:tcW w:type="dxa" w:w="10302"/>
            <w:gridSpan w:val="3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8" w:val="left"/>
                <w:tab w:pos="9764" w:val="left"/>
              </w:tabs>
              <w:autoSpaceDE w:val="0"/>
              <w:widowControl/>
              <w:spacing w:line="427" w:lineRule="auto" w:before="0" w:after="0"/>
              <w:ind w:left="32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40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20 </w:t>
            </w:r>
            <w:r>
              <w:tab/>
            </w:r>
            <w:r>
              <w:rPr>
                <w:w w:val="103.22799682617188"/>
                <w:rFonts w:ascii="ArialMT" w:hAnsi="ArialMT" w:eastAsia="ArialMT"/>
                <w:b w:val="0"/>
                <w:i w:val="0"/>
                <w:color w:val="000000"/>
                <w:sz w:val="10"/>
              </w:rPr>
              <w:t>Pristine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6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800860" cy="701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860" cy="701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3184" w:val="left"/>
                <w:tab w:pos="3298" w:val="left"/>
              </w:tabs>
              <w:autoSpaceDE w:val="0"/>
              <w:widowControl/>
              <w:spacing w:line="302" w:lineRule="auto" w:before="0" w:after="0"/>
              <w:ind w:left="18" w:right="69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18"/>
              </w:rPr>
              <w:t>Fig.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8"/>
              </w:rPr>
              <w:t xml:space="preserve"> Advantages and challenges in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-20 </w:t>
            </w:r>
            <w:r>
              <w:br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404.0" w:type="dxa"/>
            </w:tblPr>
            <w:tblGrid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  <w:gridCol w:w="572"/>
            </w:tblGrid>
            <w:tr>
              <w:trPr>
                <w:trHeight w:hRule="exact" w:val="309"/>
              </w:trPr>
              <w:tc>
                <w:tcPr>
                  <w:tcW w:type="dxa" w:w="1320"/>
                  <w:gridSpan w:val="6"/>
                  <w:tcBorders>
                    <w:start w:sz="4.7999999999999545" w:val="single" w:color="#000000"/>
                    <w:top w:sz="4.800000000000011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auto" w:before="56" w:after="0"/>
                    <w:ind w:left="80" w:right="0" w:firstLine="0"/>
                    <w:jc w:val="left"/>
                  </w:pPr>
                  <w:r>
                    <w:rPr>
                      <w:w w:val="104.6089935302734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(a) </w:t>
                  </w:r>
                  <w:r>
                    <w:rPr>
                      <w:w w:val="104.60899353027344"/>
                      <w:rFonts w:ascii="Arial" w:hAnsi="Arial" w:eastAsia="Arial"/>
                      <w:b/>
                      <w:i w:val="0"/>
                      <w:color w:val="000000"/>
                      <w:sz w:val="10"/>
                    </w:rPr>
                    <w:t>4.0 nm</w:t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top w:sz="4.800000000000011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8" w:after="0"/>
                    <w:ind w:left="76" w:right="0" w:firstLine="0"/>
                    <w:jc w:val="left"/>
                  </w:pPr>
                  <w:r>
                    <w:rPr>
                      <w:w w:val="104.6089935302734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(b) </w:t>
                  </w:r>
                  <w:r>
                    <w:rPr>
                      <w:w w:val="104.60899353027344"/>
                      <w:rFonts w:ascii="Arial" w:hAnsi="Arial" w:eastAsia="Arial"/>
                      <w:b/>
                      <w:i w:val="0"/>
                      <w:color w:val="000000"/>
                      <w:sz w:val="10"/>
                    </w:rPr>
                    <w:t>4.6 nm</w:t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top w:sz="4.800000000000011" w:val="single" w:color="#000000"/>
                    <w:end w:sz="4.79999999999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2" w:after="0"/>
                    <w:ind w:left="84" w:right="0" w:firstLine="0"/>
                    <w:jc w:val="left"/>
                  </w:pPr>
                  <w:r>
                    <w:rPr>
                      <w:w w:val="104.6089935302734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 xml:space="preserve">(c) </w:t>
                  </w:r>
                  <w:r>
                    <w:rPr>
                      <w:w w:val="104.60899353027344"/>
                      <w:rFonts w:ascii="Arial" w:hAnsi="Arial" w:eastAsia="Arial"/>
                      <w:b/>
                      <w:i w:val="0"/>
                      <w:color w:val="000000"/>
                      <w:sz w:val="10"/>
                    </w:rPr>
                    <w:t>9.5 nm</w:t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1320"/>
                  <w:gridSpan w:val="6"/>
                  <w:tcBorders>
                    <w:start w:sz="4.7999999999999545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36600" cy="520700"/>
                        <wp:docPr id="2" name="Picture 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6600" cy="520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49300" cy="596900"/>
                        <wp:docPr id="3" name="Picture 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00" cy="5969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4.79999999999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0" cy="622300"/>
                        <wp:docPr id="4" name="Picture 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622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310"/>
              </w:trPr>
              <w:tc>
                <w:tcPr>
                  <w:tcW w:type="dxa" w:w="1320"/>
                  <w:gridSpan w:val="6"/>
                  <w:tcBorders>
                    <w:start w:sz="4.7999999999999545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36600" cy="520700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6600" cy="5207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5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49300" cy="596900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00" cy="5969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4.799999999999727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 w:firstLine="0"/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0" cy="622300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6223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trHeight w:hRule="exact" w:val="311"/>
              </w:trPr>
              <w:tc>
                <w:tcPr>
                  <w:tcW w:type="dxa" w:w="1320"/>
                  <w:gridSpan w:val="6"/>
                  <w:tcBorders>
                    <w:start w:sz="4.7999999999999545" w:val="single" w:color="#000000"/>
                    <w:end w:sz="5.599999999999909" w:val="single" w:color="#000000"/>
                    <w:bottom w:sz="4.80000000000006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71.9999999999999" w:type="dxa"/>
                  </w:tblPr>
                  <w:tblGrid>
                    <w:gridCol w:w="660"/>
                    <w:gridCol w:w="660"/>
                  </w:tblGrid>
                  <w:tr>
                    <w:trPr>
                      <w:trHeight w:hRule="exact" w:val="248"/>
                    </w:trPr>
                    <w:tc>
                      <w:tcPr>
                        <w:tcW w:type="dxa" w:w="44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4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25400"/>
                              <wp:docPr id="8" name="Picture 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autoSpaceDN w:val="0"/>
                          <w:autoSpaceDE w:val="0"/>
                          <w:widowControl/>
                          <w:spacing w:line="240" w:lineRule="auto" w:before="60" w:after="0"/>
                          <w:ind w:left="0" w:right="0" w:firstLine="0"/>
                          <w:jc w:val="right"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165100" cy="25400"/>
                              <wp:docPr id="9" name="Picture 9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image.png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5100" cy="254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type="dxa" w:w="660"/>
                        <w:tcBorders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45" w:lineRule="auto" w:before="24" w:after="0"/>
                          <w:ind w:left="6" w:right="0" w:firstLine="0"/>
                          <w:jc w:val="left"/>
                        </w:pPr>
                        <w:r>
                          <w:rPr>
                            <w:w w:val="103.25599670410158"/>
                            <w:rFonts w:ascii="ArialMT" w:hAnsi="ArialMT" w:eastAsia="ArialMT"/>
                            <w:b w:val="0"/>
                            <w:i w:val="0"/>
                            <w:color w:val="000000"/>
                            <w:sz w:val="10"/>
                          </w:rPr>
                          <w:t xml:space="preserve">Pristine </w:t>
                        </w:r>
                        <w:r>
                          <w:br/>
                        </w:r>
                        <w:r>
                          <w:rPr>
                            <w:w w:val="103.25599670410158"/>
                            <w:rFonts w:ascii="ArialMT" w:hAnsi="ArialMT" w:eastAsia="ArialMT"/>
                            <w:b w:val="0"/>
                            <w:i w:val="0"/>
                            <w:color w:val="FF0605"/>
                            <w:sz w:val="10"/>
                          </w:rPr>
                          <w:t>After wake-up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5.599999999999909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gridSpan w:val="6"/>
                  <w:tcBorders>
                    <w:start w:sz="5.599999999999909" w:val="single" w:color="#000000"/>
                    <w:end w:sz="4.799999999999727" w:val="single" w:color="#000000"/>
                    <w:bottom w:sz="4.7999999999999545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0" w:lineRule="auto" w:before="138" w:after="0"/>
                    <w:ind w:left="0" w:right="80" w:firstLine="0"/>
                    <w:jc w:val="right"/>
                  </w:pPr>
                  <w:r>
                    <w:rPr>
                      <w:w w:val="104.60899353027344"/>
                      <w:rFonts w:ascii="ArialMT" w:hAnsi="ArialMT" w:eastAsia="ArialMT"/>
                      <w:b w:val="0"/>
                      <w:i w:val="0"/>
                      <w:color w:val="000000"/>
                      <w:sz w:val="10"/>
                    </w:rPr>
                    <w:t>10 kHz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0" w:after="0"/>
              <w:ind w:left="0" w:right="24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-10</w:t>
            </w:r>
          </w:p>
          <w:p>
            <w:pPr>
              <w:autoSpaceDN w:val="0"/>
              <w:autoSpaceDE w:val="0"/>
              <w:widowControl/>
              <w:spacing w:line="554" w:lineRule="auto" w:before="0" w:after="0"/>
              <w:ind w:left="7798" w:right="2304" w:hanging="114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 xml:space="preserve">-20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3"/>
              </w:rPr>
              <w:t>0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910.0" w:type="dxa"/>
            </w:tblPr>
            <w:tblGrid>
              <w:gridCol w:w="1717"/>
              <w:gridCol w:w="1717"/>
              <w:gridCol w:w="1717"/>
              <w:gridCol w:w="1717"/>
              <w:gridCol w:w="1717"/>
              <w:gridCol w:w="1717"/>
            </w:tblGrid>
            <w:tr>
              <w:trPr>
                <w:trHeight w:hRule="exact" w:val="80"/>
              </w:trPr>
              <w:tc>
                <w:tcPr>
                  <w:tcW w:type="dxa" w:w="1717"/>
                  <w:tcBorders>
                    <w:start w:sz="4.799999999999727" w:val="single" w:color="#000000"/>
                    <w:top w:sz="4.800000000000011" w:val="single" w:color="#000000"/>
                    <w:bottom w:sz="4.7999999999999545" w:val="single" w:color="#000000"/>
                  </w:tcBorders>
                </w:tcPr>
                <w:p/>
              </w:tc>
              <w:tc>
                <w:tcPr>
                  <w:tcW w:type="dxa" w:w="1717"/>
                </w:tcPr>
                <w:p/>
              </w:tc>
              <w:tc>
                <w:tcPr>
                  <w:tcW w:type="dxa" w:w="1717"/>
                </w:tcPr>
                <w:p/>
              </w:tc>
              <w:tc>
                <w:tcPr>
                  <w:tcW w:type="dxa" w:w="1717"/>
                </w:tcPr>
                <w:p/>
              </w:tc>
              <w:tc>
                <w:tcPr>
                  <w:tcW w:type="dxa" w:w="1717"/>
                </w:tcPr>
                <w:p/>
              </w:tc>
              <w:tc>
                <w:tcPr>
                  <w:tcW w:type="dxa" w:w="1717"/>
                </w:tcPr>
                <w:p/>
              </w:tc>
            </w:tr>
          </w:tbl>
          <w:p/>
        </w:tc>
      </w:tr>
      <w:tr>
        <w:tc>
          <w:tcPr>
            <w:tcW w:type="dxa" w:w="3440"/>
          </w:tcPr>
          <w:p/>
        </w:tc>
        <w:tc>
          <w:tcPr>
            <w:tcW w:type="dxa" w:w="3440"/>
          </w:tcPr>
          <w:p/>
        </w:tc>
        <w:tc>
          <w:tcPr>
            <w:tcW w:type="dxa" w:w="3440"/>
          </w:tcPr>
          <w:p/>
        </w:tc>
      </w:tr>
    </w:tbl>
    <w:sectPr w:rsidR="00FC693F" w:rsidRPr="0006063C" w:rsidSect="00034616">
      <w:pgSz w:w="11906" w:h="16044"/>
      <w:pgMar w:top="388" w:right="748" w:bottom="66" w:left="838" w:header="720" w:footer="720" w:gutter="0"/>
      <w:cols w:space="720" w:num="1" w:equalWidth="0">
        <w:col w:w="10320" w:space="0"/>
        <w:col w:w="10333" w:space="0"/>
        <w:col w:w="5155" w:space="0"/>
        <w:col w:w="5178" w:space="0"/>
        <w:col w:w="1033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