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sectPr>
          <w:pgSz w:w="11900" w:h="16840"/>
          <w:pgMar w:top="390" w:right="722" w:bottom="410" w:left="74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Applied Physics Express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2" w:equalWidth="0"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335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4"/>
        <w:sectPr>
          <w:type w:val="nextColumn"/>
          <w:pgSz w:w="11900" w:h="16840"/>
          <w:pgMar w:top="390" w:right="722" w:bottom="410" w:left="742" w:header="720" w:footer="720" w:gutter="0"/>
          <w:cols w:space="720" w:num="2" w:equalWidth="0">
            <w:col w:w="5155" w:space="0"/>
            <w:col w:w="52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9"/>
        <w:gridCol w:w="3479"/>
        <w:gridCol w:w="3479"/>
      </w:tblGrid>
      <w:tr>
        <w:trPr>
          <w:trHeight w:hRule="exact" w:val="888"/>
        </w:trPr>
        <w:tc>
          <w:tcPr>
            <w:tcW w:type="dxa" w:w="6718"/>
            <w:vMerge w:val="restart"/>
            <w:tcBorders>
              <w:top w:sz="6.0" w:val="single" w:color="#000000"/>
              <w:bottom w:sz="6.0" w:val="single" w:color="#006DB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292" w:after="0"/>
              <w:ind w:left="38" w:right="576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LETTER </w:t>
            </w:r>
            <w:r>
              <w:br/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Ferroelectric phase stabilization of HfO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 xml:space="preserve"> by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nitrogen doping</w:t>
            </w:r>
          </w:p>
        </w:tc>
        <w:tc>
          <w:tcPr>
            <w:tcW w:type="dxa" w:w="3698"/>
            <w:gridSpan w:val="2"/>
            <w:tcBorders>
              <w:top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06" w:after="0"/>
              <w:ind w:left="6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Related content</w:t>
            </w:r>
          </w:p>
        </w:tc>
      </w:tr>
      <w:tr>
        <w:trPr>
          <w:trHeight w:hRule="exact" w:val="800"/>
        </w:trPr>
        <w:tc>
          <w:tcPr>
            <w:tcW w:type="dxa" w:w="3479"/>
            <w:vMerge/>
            <w:tcBorders>
              <w:top w:sz="6.0" w:val="single" w:color="#000000"/>
              <w:bottom w:sz="6.0" w:val="single" w:color="#006DB2"/>
            </w:tcBorders>
          </w:tcPr>
          <w:p/>
        </w:tc>
        <w:tc>
          <w:tcPr>
            <w:tcW w:type="dxa" w:w="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0" w:right="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74" w:after="0"/>
              <w:ind w:left="2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0" w:history="1">
                <w:r>
                  <w:rPr>
                    <w:rStyle w:val="Hyperlink"/>
                  </w:rPr>
                  <w:t>Ferroelectricity of nondoped thin HfO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2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0" w:history="1">
                <w:r>
                  <w:rPr>
                    <w:rStyle w:val="Hyperlink"/>
                  </w:rPr>
                  <w:t>films in TiN/HfO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/TiN stacks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Tomonori Nishi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</w:t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ura, Lun X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u, Shigehisa</w:t>
            </w:r>
          </w:p>
          <w:p>
            <w:pPr>
              <w:autoSpaceDN w:val="0"/>
              <w:autoSpaceDE w:val="0"/>
              <w:widowControl/>
              <w:spacing w:line="194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Shibayama et al.</w:t>
            </w:r>
          </w:p>
        </w:tc>
      </w:tr>
      <w:tr>
        <w:trPr>
          <w:trHeight w:hRule="exact" w:val="232"/>
        </w:trPr>
        <w:tc>
          <w:tcPr>
            <w:tcW w:type="dxa" w:w="3479"/>
            <w:vMerge/>
            <w:tcBorders>
              <w:top w:sz="6.0" w:val="single" w:color="#000000"/>
              <w:bottom w:sz="6.0" w:val="single" w:color="#006DB2"/>
            </w:tcBorders>
          </w:tcPr>
          <w:p/>
        </w:tc>
        <w:tc>
          <w:tcPr>
            <w:tcW w:type="dxa" w:w="9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0" w:right="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6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1" w:history="1">
                <w:r>
                  <w:rPr>
                    <w:rStyle w:val="Hyperlink"/>
                  </w:rPr>
                  <w:t xml:space="preserve">Influence of Rapid Thermal Annealing on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the Structure and Electrical Properties of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Ce-Doped HfO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Gate Dielectric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Meng Yong-Qi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</w:t>
            </w:r>
            <w:r>
              <w:rPr>
                <w:u w:val="single" w:color="006db2"/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g, Liu Zheng-T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ang, Feng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Li-Ping et al.</w:t>
            </w:r>
          </w:p>
        </w:tc>
      </w:tr>
      <w:tr>
        <w:trPr>
          <w:trHeight w:hRule="exact" w:val="708"/>
        </w:trPr>
        <w:tc>
          <w:tcPr>
            <w:tcW w:type="dxa" w:w="6718"/>
            <w:vMerge w:val="restart"/>
            <w:tcBorders>
              <w:top w:sz="6.0" w:val="single" w:color="#006DB2"/>
              <w:bottom w:sz="6.0" w:val="single" w:color="#006DB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To cite this article: Lun Xu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2016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Appl. Phys. Express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091501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479"/>
            <w:vMerge/>
            <w:tcBorders>
              <w:top w:sz="6.0" w:val="single" w:color="#006DB2"/>
              <w:bottom w:sz="6.0" w:val="single" w:color="#006DB2"/>
            </w:tcBorders>
          </w:tcPr>
          <w:p/>
        </w:tc>
        <w:tc>
          <w:tcPr>
            <w:tcW w:type="dxa" w:w="9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0" w:right="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22"/>
            <w:tcBorders>
              <w:bottom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2" w:history="1">
                <w:r>
                  <w:rPr>
                    <w:rStyle w:val="Hyperlink"/>
                  </w:rPr>
                  <w:t>Effect of Y and Mn doping into rutile type</w:t>
                </w:r>
              </w:hyperlink>
            </w:r>
          </w:p>
        </w:tc>
      </w:tr>
      <w:tr>
        <w:trPr>
          <w:trHeight w:hRule="exact" w:val="724"/>
        </w:trPr>
        <w:tc>
          <w:tcPr>
            <w:tcW w:type="dxa" w:w="6718"/>
            <w:tcBorders>
              <w:top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View the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article online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for updates and enhancements.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2722"/>
            <w:tcBorders>
              <w:top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6" w:after="0"/>
              <w:ind w:left="22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TiO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hyperlink r:id="rId12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/Ge stack structure by combinatorial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syn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hesis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2" w:history="1">
                <w:r>
                  <w:rPr>
                    <w:rStyle w:val="Hyperlink"/>
                  </w:rPr>
                  <w:t>Yoshihisa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Suzuki, Takahiro Nagata,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Yoshiyuki Yamashita et al.</w:t>
            </w:r>
          </w:p>
        </w:tc>
      </w:tr>
    </w:tbl>
    <w:p>
      <w:pPr>
        <w:autoSpaceDN w:val="0"/>
        <w:autoSpaceDE w:val="0"/>
        <w:widowControl/>
        <w:spacing w:line="330" w:lineRule="exact" w:before="312" w:after="60"/>
        <w:ind w:left="0" w:right="139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Recent citations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98.0" w:type="dxa"/>
      </w:tblPr>
      <w:tblGrid>
        <w:gridCol w:w="5218"/>
        <w:gridCol w:w="5218"/>
      </w:tblGrid>
      <w:tr>
        <w:trPr>
          <w:trHeight w:hRule="exact" w:val="205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  <w:p>
            <w:pPr>
              <w:autoSpaceDN w:val="0"/>
              <w:autoSpaceDE w:val="0"/>
              <w:widowControl/>
              <w:spacing w:line="192" w:lineRule="exact" w:before="43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  <w:p>
            <w:pPr>
              <w:autoSpaceDN w:val="0"/>
              <w:autoSpaceDE w:val="0"/>
              <w:widowControl/>
              <w:spacing w:line="192" w:lineRule="exact" w:before="43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38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4" w:history="1">
                <w:r>
                  <w:rPr>
                    <w:rStyle w:val="Hyperlink"/>
                  </w:rPr>
                  <w:t xml:space="preserve">Origin of Temperature-Dependent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Ferroelectricity in Si-Doped HfO2 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4" w:history="1">
                <w:r>
                  <w:rPr>
                    <w:rStyle w:val="Hyperlink"/>
                  </w:rPr>
                  <w:t xml:space="preserve">Min Hyuk Park 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/>
                <w:color w:val="000000"/>
                <w:sz w:val="14"/>
              </w:rPr>
              <w:hyperlink r:id="rId14" w:history="1">
                <w:r>
                  <w:rPr>
                    <w:rStyle w:val="Hyperlink"/>
                  </w:rPr>
                  <w:t>et al</w:t>
                </w:r>
              </w:hyperlink>
            </w:r>
          </w:p>
          <w:p>
            <w:pPr>
              <w:autoSpaceDN w:val="0"/>
              <w:autoSpaceDE w:val="0"/>
              <w:widowControl/>
              <w:spacing w:line="160" w:lineRule="exact" w:before="150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5" w:history="1">
                <w:r>
                  <w:rPr>
                    <w:rStyle w:val="Hyperlink"/>
                  </w:rPr>
                  <w:t xml:space="preserve">Evolution of ferroelectric HfO2 in ultrathin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5" w:history="1">
                <w:r>
                  <w:rPr>
                    <w:rStyle w:val="Hyperlink"/>
                  </w:rPr>
                  <w:t xml:space="preserve">region down to 3 nm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5" w:history="1">
                <w:r>
                  <w:rPr>
                    <w:rStyle w:val="Hyperlink"/>
                  </w:rPr>
                  <w:t xml:space="preserve">Xuan Tian 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/>
                <w:color w:val="000000"/>
                <w:sz w:val="14"/>
              </w:rPr>
              <w:hyperlink r:id="rId15" w:history="1">
                <w:r>
                  <w:rPr>
                    <w:rStyle w:val="Hyperlink"/>
                  </w:rPr>
                  <w:t>et al</w:t>
                </w:r>
              </w:hyperlink>
            </w:r>
          </w:p>
          <w:p>
            <w:pPr>
              <w:autoSpaceDN w:val="0"/>
              <w:autoSpaceDE w:val="0"/>
              <w:widowControl/>
              <w:spacing w:line="160" w:lineRule="exact" w:before="150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6" w:history="1">
                <w:r>
                  <w:rPr>
                    <w:rStyle w:val="Hyperlink"/>
                  </w:rPr>
                  <w:t xml:space="preserve">Polarization switching behavior of Hf–Zr–O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6" w:history="1">
                <w:r>
                  <w:rPr>
                    <w:rStyle w:val="Hyperlink"/>
                  </w:rPr>
                  <w:t xml:space="preserve">ferroelectric ultrathin films studied through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6" w:history="1">
                <w:r>
                  <w:rPr>
                    <w:rStyle w:val="Hyperlink"/>
                  </w:rPr>
                  <w:t xml:space="preserve">coercive field characteristics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6" w:history="1">
                <w:r>
                  <w:rPr>
                    <w:rStyle w:val="Hyperlink"/>
                  </w:rPr>
                  <w:t xml:space="preserve">Shinji Migita 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/>
                <w:color w:val="000000"/>
                <w:sz w:val="14"/>
              </w:rPr>
              <w:hyperlink r:id="rId16" w:history="1">
                <w:r>
                  <w:rPr>
                    <w:rStyle w:val="Hyperlink"/>
                  </w:rPr>
                  <w:t>et al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20" w:lineRule="exact" w:before="775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This content was downloaded from IP address 130.207.225.224 on 18/04/2018 at 22:23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1" w:equalWidth="0"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6536690</wp:posOffset>
            </wp:positionH>
            <wp:positionV relativeFrom="page">
              <wp:posOffset>618490</wp:posOffset>
            </wp:positionV>
            <wp:extent cx="425450" cy="4191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571500</wp:posOffset>
            </wp:positionV>
            <wp:extent cx="6388100" cy="533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7"/>
        </w:rPr>
        <w:t>Applied Physics Express</w:t>
      </w:r>
      <w:r>
        <w:rPr>
          <w:rFonts w:ascii="AdvTT16f3b945.B" w:hAnsi="AdvTT16f3b945.B" w:eastAsia="AdvTT16f3b945.B"/>
          <w:b w:val="0"/>
          <w:i w:val="0"/>
          <w:color w:val="ED1C24"/>
          <w:sz w:val="17"/>
        </w:rPr>
        <w:t xml:space="preserve"> 9</w:t>
      </w:r>
      <w:r>
        <w:rPr>
          <w:rFonts w:ascii="AdvTT153188ed" w:hAnsi="AdvTT153188ed" w:eastAsia="AdvTT153188ed"/>
          <w:b w:val="0"/>
          <w:i w:val="0"/>
          <w:color w:val="ED1C24"/>
          <w:sz w:val="17"/>
        </w:rPr>
        <w:t>, 091501 (2016)</w:t>
      </w:r>
    </w:p>
    <w:p>
      <w:pPr>
        <w:autoSpaceDN w:val="0"/>
        <w:autoSpaceDE w:val="0"/>
        <w:widowControl/>
        <w:spacing w:line="160" w:lineRule="exact" w:before="80" w:after="0"/>
        <w:ind w:left="0" w:right="0" w:firstLine="0"/>
        <w:jc w:val="left"/>
      </w:pPr>
      <w:r>
        <w:rPr>
          <w:rFonts w:ascii="Advhvn" w:hAnsi="Advhvn" w:eastAsia="Advhvn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http://doi.org/</w:t>
          </w:r>
        </w:hyperlink>
      </w:r>
      <w:r>
        <w:rPr>
          <w:rFonts w:ascii="Advhvn_b" w:hAnsi="Advhvn_b" w:eastAsia="Advhvn_b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10.7567/APEX.9.091501</w:t>
          </w:r>
        </w:hyperlink>
      </w:r>
    </w:p>
    <w:p>
      <w:pPr>
        <w:autoSpaceDN w:val="0"/>
        <w:autoSpaceDE w:val="0"/>
        <w:widowControl/>
        <w:spacing w:line="288" w:lineRule="exact" w:before="278" w:after="0"/>
        <w:ind w:left="0" w:right="0" w:firstLine="0"/>
        <w:jc w:val="left"/>
      </w:pPr>
      <w:r>
        <w:rPr>
          <w:w w:val="98.75912873641305"/>
          <w:rFonts w:ascii="AdvTT16f3b945.B" w:hAnsi="AdvTT16f3b945.B" w:eastAsia="AdvTT16f3b945.B"/>
          <w:b w:val="0"/>
          <w:i w:val="0"/>
          <w:color w:val="ED1C24"/>
          <w:sz w:val="23"/>
        </w:rPr>
        <w:t>Ferroelectric phase stabilization of HfO</w:t>
      </w:r>
      <w:r>
        <w:rPr>
          <w:rFonts w:ascii="AdvTT16f3b945.B" w:hAnsi="AdvTT16f3b945.B" w:eastAsia="AdvTT16f3b945.B"/>
          <w:b w:val="0"/>
          <w:i w:val="0"/>
          <w:color w:val="ED1C24"/>
          <w:sz w:val="16"/>
        </w:rPr>
        <w:t>2</w:t>
      </w:r>
      <w:r>
        <w:rPr>
          <w:w w:val="98.75912873641305"/>
          <w:rFonts w:ascii="AdvTT16f3b945.B" w:hAnsi="AdvTT16f3b945.B" w:eastAsia="AdvTT16f3b945.B"/>
          <w:b w:val="0"/>
          <w:i w:val="0"/>
          <w:color w:val="ED1C24"/>
          <w:sz w:val="23"/>
        </w:rPr>
        <w:t xml:space="preserve"> by nitrogen doping</w:t>
      </w:r>
    </w:p>
    <w:p>
      <w:pPr>
        <w:autoSpaceDN w:val="0"/>
        <w:autoSpaceDE w:val="0"/>
        <w:widowControl/>
        <w:spacing w:line="230" w:lineRule="exact" w:before="146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9"/>
        </w:rPr>
        <w:t>Lun Xu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ARIAL_r_mt_r" w:hAnsi="AdvARIAL_r_mt_r" w:eastAsia="AdvARIAL_r_mt_r"/>
          <w:b w:val="0"/>
          <w:i w:val="0"/>
          <w:color w:val="221F1F"/>
          <w:sz w:val="19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Tomonori Nishimura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Shigehisa Shibayama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Takeaki Yajima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Shinji Migita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and Akira Toriumi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</w:p>
    <w:p>
      <w:pPr>
        <w:autoSpaceDN w:val="0"/>
        <w:autoSpaceDE w:val="0"/>
        <w:widowControl/>
        <w:spacing w:line="198" w:lineRule="exact" w:before="112" w:after="0"/>
        <w:ind w:left="0" w:right="2592" w:firstLine="0"/>
        <w:jc w:val="left"/>
      </w:pP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1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Department of Materials Engineering, The University of Tokyo, Bunkyo, Tokyo 113-8656, Japan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2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>National Institute of Advanced Industrial Science and Technology (AIST), Tsukuba, Ibaraki 305-8569, Japan</w:t>
      </w:r>
    </w:p>
    <w:p>
      <w:pPr>
        <w:autoSpaceDN w:val="0"/>
        <w:autoSpaceDE w:val="0"/>
        <w:widowControl/>
        <w:spacing w:line="168" w:lineRule="exact" w:before="112" w:after="0"/>
        <w:ind w:left="0" w:right="0" w:firstLine="0"/>
        <w:jc w:val="left"/>
      </w:pP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E-mail: xulun</w:t>
      </w: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@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adam.t.u-tokyo.ac.jp</w:t>
      </w:r>
    </w:p>
    <w:p>
      <w:pPr>
        <w:autoSpaceDN w:val="0"/>
        <w:autoSpaceDE w:val="0"/>
        <w:widowControl/>
        <w:spacing w:line="168" w:lineRule="exact" w:before="110" w:after="138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Received July 12, 2016; accepted July 29, 2016; published online August 17, 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6"/>
      </w:tblGrid>
      <w:tr>
        <w:trPr>
          <w:trHeight w:hRule="exact" w:val="258"/>
        </w:trPr>
        <w:tc>
          <w:tcPr>
            <w:tcW w:type="dxa" w:w="10036"/>
            <w:tcBorders/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We report that nitrogen (N) doping can drive the ferroelectricity of HfO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. It was found that N doping can cause the transition from a monoclinic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56"/>
      </w:tblGrid>
      <w:tr>
        <w:trPr>
          <w:trHeight w:hRule="exact" w:val="190"/>
        </w:trPr>
        <w:tc>
          <w:tcPr>
            <w:tcW w:type="dxa" w:w="9860"/>
            <w:tcBorders/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phase to a highly symmetric phase. The role of N doping is discussed from the viewpoints of charge balance and bond-constraining effects.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56"/>
      </w:tblGrid>
      <w:tr>
        <w:trPr>
          <w:trHeight w:hRule="exact" w:val="200"/>
        </w:trPr>
        <w:tc>
          <w:tcPr>
            <w:tcW w:type="dxa" w:w="9860"/>
            <w:tcBorders/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former is responsible for the structural transformation from a paraelectric phase to a ferroelectric phase by forming an oxygen vacancy. In addition,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0056"/>
      </w:tblGrid>
      <w:tr>
        <w:trPr>
          <w:trHeight w:hRule="exact" w:val="418"/>
        </w:trPr>
        <w:tc>
          <w:tcPr>
            <w:tcW w:type="dxa" w:w="9860"/>
            <w:tcBorders/>
            <w:shd w:fill="fff0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11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Hf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N and N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O bonds with covalent characteristics have strong effects on HfO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structural and electrical properties, and thus contribute to a marked 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HfO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para-</w:t>
            </w:r>
            <w:r>
              <w:rPr>
                <w:rFonts w:ascii="AdvARIAL_r_mt_r" w:hAnsi="AdvARIAL_r_mt_r" w:eastAsia="AdvARIAL_r_mt_r"/>
                <w:b w:val="0"/>
                <w:i w:val="0"/>
                <w:color w:val="221F1F"/>
                <w:sz w:val="15"/>
              </w:rPr>
              <w:t>/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ferroelectric transition.</w:t>
            </w:r>
            <w:r>
              <w:rPr>
                <w:w w:val="98.57684687564247"/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 xml:space="preserve"> ©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2016 The Japan Society of Applied Physics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40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106" w:lineRule="exact" w:before="818" w:after="0"/>
        <w:ind w:left="566" w:right="0" w:hanging="566"/>
        <w:jc w:val="left"/>
      </w:pPr>
      <w:r>
        <w:rPr>
          <w:rFonts w:ascii="AdvTT16f3b945.B" w:hAnsi="AdvTT16f3b945.B" w:eastAsia="AdvTT16f3b945.B"/>
          <w:b w:val="0"/>
          <w:i w:val="0"/>
          <w:color w:val="ED1C24"/>
          <w:sz w:val="84"/>
        </w:rPr>
        <w:t xml:space="preserve">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transistors (FeFETs),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negative-capacitance FETs.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attention owing to its promising applications, such 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nonvolatile memories,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eld-e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he ferroelectricity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has attracted considerable</w:t>
      </w:r>
    </w:p>
    <w:p>
      <w:pPr>
        <w:autoSpaceDN w:val="0"/>
        <w:autoSpaceDE w:val="0"/>
        <w:widowControl/>
        <w:spacing w:line="236" w:lineRule="exact" w:before="36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Most results reported so far on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ferroelectricity have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been demonstrated by cation doping (Si,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4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6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Y,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7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9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Al,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Zr,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11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Sr,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Gd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). Although the role of dopants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still not well understood, the ferroelectric phase is considered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originate from the structural stabilization of the non-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centrosymmetric phase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, owing to cation doping.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It is like dopant-induced martensitic phase transition of ZrO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studied extensively by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ne ceramics community, in which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two possible reasons have been conjectured.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One is charge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balance and the other one is ionic radius.</w:t>
      </w:r>
    </w:p>
    <w:p>
      <w:pPr>
        <w:autoSpaceDN w:val="0"/>
        <w:autoSpaceDE w:val="0"/>
        <w:widowControl/>
        <w:spacing w:line="238" w:lineRule="exact" w:before="34" w:after="0"/>
        <w:ind w:left="0" w:right="14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ferroelectricity enhancement reported 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always accompanied by the structural phase transition.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According to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rst-principles calculations, the free energies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of two orthorhombic (O) polar phases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Pca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Pmn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relatively low and very close to those of nonpolar equilibrium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phases [e.g.,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monoclinic (M) phase at a low temper-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ature].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15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orthorhombic phase has a higher symmetry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than the monoclinic one, but it has a lower coordination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number of Hf (7) than that in a tetragonal (T,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nmc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cubic (C,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Fm</w:t>
      </w:r>
      <w:r>
        <w:rPr>
          <w:rFonts w:ascii="AdvSTIX_r_mt_r" w:hAnsi="AdvSTIX_r_mt_r" w:eastAsia="AdvSTIX_r_mt_r"/>
          <w:b w:val="0"/>
          <w:i w:val="0"/>
          <w:color w:val="221F1F"/>
          <w:sz w:val="20"/>
        </w:rPr>
        <w:t>�</w:t>
      </w:r>
      <w:r>
        <w:rPr>
          <w:rFonts w:ascii="AdvSTIX_r_mt_r" w:hAnsi="AdvSTIX_r_mt_r" w:eastAsia="AdvSTIX_r_mt_r"/>
          <w:b w:val="0"/>
          <w:i w:val="0"/>
          <w:color w:val="221F1F"/>
          <w:sz w:val="20"/>
        </w:rPr>
        <w:t>3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m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case (8). From the viewpoint of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phase transition, the metastable orthorhombic polar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might exist at the boundary between the monoclinic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tetragonal phases.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16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Therefore, the ferroelectric phase forma-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tion and related ferroelectric properties should be signi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cantly a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ected by phase transition processes.</w:t>
      </w:r>
    </w:p>
    <w:p>
      <w:pPr>
        <w:autoSpaceDN w:val="0"/>
        <w:autoSpaceDE w:val="0"/>
        <w:widowControl/>
        <w:spacing w:line="252" w:lineRule="exact" w:before="14" w:after="0"/>
        <w:ind w:left="0" w:right="14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the conventional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high-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k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case, Y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 SiO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two typical dopants that induce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transition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a higher symmetric one, but possibly by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erent mech-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anisms. Y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triggers the oxygen vacancy (V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formation for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maintaining the charge neutrality, and SiO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may distort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owing to its smaller cation radius.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17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oxygen vacancy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origin may apply in sub-tetravalent ionic cation doping cases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(e.g., Y, Gd, and Sr), and their ferroelectric properties, such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as a large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(1.5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2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cm), are quite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similar.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7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9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,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contrast, the Si-doped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has a much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smaller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E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(&lt; 1 MV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cm) and exhibits strongly anti-ferro-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electric performance.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4</w:t>
      </w:r>
      <w:r>
        <w:rPr>
          <w:rFonts w:ascii="20" w:hAnsi="20" w:eastAsia="20"/>
          <w:b w:val="0"/>
          <w:i w:val="0"/>
          <w:color w:val="221F1F"/>
          <w:sz w:val="14"/>
        </w:rPr>
        <w:t>–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6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transition mechan-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ism might be understandable from the charge balance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small dopant radius, but the physical origin of the ferro-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electric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is still not well understood. Furthermore,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there is no report on the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ects of anion doping on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para-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 transition, although it was reported that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tabs>
          <w:tab w:pos="342" w:val="left"/>
        </w:tabs>
        <w:autoSpaceDE w:val="0"/>
        <w:widowControl/>
        <w:spacing w:line="264" w:lineRule="exact" w:before="0" w:after="0"/>
        <w:ind w:left="142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anion dopants could also induce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transition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higher symmetric phases.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br/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this Letter, we report that N doping can cause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para-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ferroelectric transition in addition to the fact that it can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stabilize highly symmetric phases. Moreover, we have found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that the phase transition in the N-doped case is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erent from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that in the cation-doped one in several aspects. We discuss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ferroelectricity from the viewpoint that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both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and 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bonds have more covalent bonding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characters than the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counterpart in addition to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oxygen vacancy formation 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8" w:lineRule="exact" w:before="22" w:after="0"/>
        <w:ind w:left="142" w:right="20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were fabricated by rf sputtering on highly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doped p-type Ge (111) after chemical cleaning by methanol,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17% HCl, and diluted 5% HF solutions. The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+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Ge substrate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was reported to enhance the ferroelectric behaviors of thin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because of the reduced interface dielectric layer at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Ge interface.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19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Less than 6 × 10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6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Pa was achieved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before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deposition, and the working pressure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was 0.12 Pa during sputtering with 20 sccm Ar gas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fl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ow. For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Sc-doped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(or 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), the sputtering power was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varied from 10 to 60 W for the Sc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source (from 10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30 W for the Y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source), while it was kept at 80 W for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source. For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,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source power was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kept at 80 W, and the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gas ratio [N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(N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+ Ar)] was varied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from 0.25 to 50% with 20 sccm total gas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fl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ow. In our experi-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ments, the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thickness was controlled at around 28 nm, 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top Au electrodes (5.7 × 10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5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were thermally evapo-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rated after the postdeposition annealing (PDA) at 600 °C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1 atm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for 30 s. Here, thick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and top Au elec-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trode evaporation after PDA were used to limit both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surface enthalpy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 and top-TiN-layer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21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-induced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phase transition.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voltage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and capaci-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tance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voltage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characteristics were measured at 100 Hz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10 kHz, respectively. X-ray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raction (XRD) and X-ray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photoelectron spectroscopy (XPS) were used for the struc-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tural phase and chemical composition analyses, respectively.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atom pro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les in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were analyzed by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secondary ion mass spectrometry (SIMS).</w:t>
      </w:r>
    </w:p>
    <w:p>
      <w:pPr>
        <w:autoSpaceDN w:val="0"/>
        <w:autoSpaceDE w:val="0"/>
        <w:widowControl/>
        <w:spacing w:line="240" w:lineRule="exact" w:before="30" w:after="94"/>
        <w:ind w:left="142" w:right="20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SIMS depth pro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les of annealed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stacks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with 1 and 10%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gas ratios during the sputtering are shown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Fig. 1(a), in which the N doping concentration [the total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atomic ratio in this work, N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(Hf + O + N)] was estimated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be 0.34 and 2.44%, respectively. Assuming that the N doping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concentration is proportional to the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gas ratio, we estimated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N doping concentration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deposited with dif-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ferent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gas ratios. The Ge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usion into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can be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8"/>
        </w:rPr>
        <w:t>091501-1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2016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196"/>
        </w:trPr>
        <w:tc>
          <w:tcPr>
            <w:tcW w:type="dxa" w:w="604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Appl. Phys. Express</w:t>
            </w:r>
            <w:r>
              <w:rPr>
                <w:rFonts w:ascii="AdvTT16f3b945.B" w:hAnsi="AdvTT16f3b945.B" w:eastAsia="AdvTT16f3b945.B"/>
                <w:b w:val="0"/>
                <w:i w:val="0"/>
                <w:color w:val="ED1C24"/>
                <w:sz w:val="17"/>
              </w:rPr>
              <w:t xml:space="preserve"> 9</w:t>
            </w: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, 091501 (2016)</w:t>
            </w:r>
          </w:p>
        </w:tc>
        <w:tc>
          <w:tcPr>
            <w:tcW w:type="dxa" w:w="3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L. Xu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8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572" w:right="0" w:firstLine="0"/>
        <w:jc w:val="left"/>
      </w:pPr>
      <w:r>
        <w:rPr>
          <w:rFonts w:ascii="Helvetica" w:hAnsi="Helvetica" w:eastAsia="Helvetica"/>
          <w:b w:val="0"/>
          <w:i w:val="0"/>
          <w:color w:val="F16521"/>
          <w:sz w:val="16"/>
        </w:rPr>
        <w:t>(a)</w:t>
      </w:r>
    </w:p>
    <w:p>
      <w:pPr>
        <w:autoSpaceDN w:val="0"/>
        <w:autoSpaceDE w:val="0"/>
        <w:widowControl/>
        <w:spacing w:line="240" w:lineRule="auto" w:before="0" w:after="166"/>
        <w:ind w:left="5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73630" cy="17513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7513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3074"/>
        </w:trPr>
        <w:tc>
          <w:tcPr>
            <w:tcW w:type="dxa" w:w="5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86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ED1C24"/>
                <w:sz w:val="16"/>
              </w:rPr>
              <w:t>Fig. 1.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(b)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37410" cy="178688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1786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96"/>
        </w:trPr>
        <w:tc>
          <w:tcPr>
            <w:tcW w:type="dxa" w:w="335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2" w:after="0"/>
              <w:ind w:left="0" w:right="0" w:firstLine="0"/>
              <w:jc w:val="center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(a) SIMS depth pro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>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les of N and Ge atoms in annealed N-doped</w:t>
            </w:r>
          </w:p>
        </w:tc>
      </w:tr>
    </w:tbl>
    <w:p>
      <w:pPr>
        <w:autoSpaceDN w:val="0"/>
        <w:autoSpaceDE w:val="0"/>
        <w:widowControl/>
        <w:spacing w:line="186" w:lineRule="exact" w:before="34" w:after="0"/>
        <w:ind w:left="0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lms with 1 and 10% N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gas ratios during sputtering. (b) N 1s XPS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spectra of nondoped and N-doped 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lms (with 50% N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gas ratio). O 1s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peaks are normalized and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xed at 530.4 eV as the reference.</w:t>
      </w:r>
    </w:p>
    <w:p>
      <w:pPr>
        <w:autoSpaceDN w:val="0"/>
        <w:autoSpaceDE w:val="0"/>
        <w:widowControl/>
        <w:spacing w:line="322" w:lineRule="exact" w:before="318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ignored because there is no Ge signal in the SIMS depth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pro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les of annealed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[Fig. 1(a)]. For Sc- or Y-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with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erent sputtering powers, the doping con-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centration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½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Sc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=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ð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O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Sc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Þ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;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Y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=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ð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O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Y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Þ�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was meas-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ured by XPS. Figure 1(b) shows the N 1s XPS spectra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nondoped and heavily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 (with 50%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gas ratio). Here, the O 1s peak was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xed at 530.4 eV as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reference. The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 exhibits a clear and strong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peak at 396 eV showing the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bond formation.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18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addition, a weak peak at 403 eV indicates the existence of a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small number of 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 bonds. Since both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and 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bonds have strong covalent properties, they should a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structural and electrical properties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0" w:lineRule="exact" w:before="140" w:after="0"/>
        <w:ind w:left="0" w:right="14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) and capacitance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eld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characteristics of 0.34%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are shown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Figs. 2(a) and 2(b), respectively. Figure 2(c) shows the di-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electric and ferroelectric properties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as a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function of N doping concentration. Interestingly, 0.34% 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doping is su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cient to maximize the remanent polarization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while it is markedly suppressed when the doping concen-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tration is more than 1%. For the nondoped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lm,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monoclinic phase is dominant, and thus the dielectric con-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stant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approximately 18. Nevertheless, 10 µC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of the switchable polarization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SW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+</w:t>
      </w:r>
      <w:r>
        <w:rPr>
          <w:rFonts w:ascii="22" w:hAnsi="22" w:eastAsia="22"/>
          <w:b w:val="0"/>
          <w:i w:val="0"/>
          <w:color w:val="221F1F"/>
          <w:sz w:val="20"/>
        </w:rPr>
        <w:t>−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is observed for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nondoped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. This was also previously reported for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sputtered nondoped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lms.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7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An approximately 20%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highly symmetric phase was found in the nondoped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(Fig. 3), which supports the observed ferroelectric behavior.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ferroelectricity in the nondoped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might be caused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by the formation of highly symmetric phases in sputtering or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1148" w:right="0" w:firstLine="0"/>
        <w:jc w:val="left"/>
      </w:pPr>
      <w:r>
        <w:rPr>
          <w:rFonts w:ascii="Helvetica" w:hAnsi="Helvetica" w:eastAsia="Helvetica"/>
          <w:b w:val="0"/>
          <w:i w:val="0"/>
          <w:color w:val="F16521"/>
          <w:sz w:val="16"/>
        </w:rPr>
        <w:t>(a)</w:t>
      </w:r>
    </w:p>
    <w:p>
      <w:pPr>
        <w:autoSpaceDN w:val="0"/>
        <w:autoSpaceDE w:val="0"/>
        <w:widowControl/>
        <w:spacing w:line="240" w:lineRule="auto" w:before="0" w:after="0"/>
        <w:ind w:left="1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7369" cy="1432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7369" cy="1432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226" w:after="0"/>
        <w:ind w:left="1150" w:right="0" w:firstLine="0"/>
        <w:jc w:val="left"/>
      </w:pPr>
      <w:r>
        <w:rPr>
          <w:rFonts w:ascii="Helvetica" w:hAnsi="Helvetica" w:eastAsia="Helvetica"/>
          <w:b w:val="0"/>
          <w:i w:val="0"/>
          <w:color w:val="F16521"/>
          <w:sz w:val="16"/>
        </w:rPr>
        <w:t>(b)</w:t>
      </w:r>
    </w:p>
    <w:p>
      <w:pPr>
        <w:autoSpaceDN w:val="0"/>
        <w:autoSpaceDE w:val="0"/>
        <w:widowControl/>
        <w:spacing w:line="240" w:lineRule="auto" w:before="2" w:after="0"/>
        <w:ind w:left="11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1019" cy="1417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1019" cy="141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226" w:after="0"/>
        <w:ind w:left="432" w:right="0" w:firstLine="0"/>
        <w:jc w:val="left"/>
      </w:pPr>
      <w:r>
        <w:rPr>
          <w:rFonts w:ascii="Helvetica" w:hAnsi="Helvetica" w:eastAsia="Helvetica"/>
          <w:b w:val="0"/>
          <w:i w:val="0"/>
          <w:color w:val="F16521"/>
          <w:sz w:val="16"/>
        </w:rPr>
        <w:t>(c)</w:t>
      </w:r>
    </w:p>
    <w:p>
      <w:pPr>
        <w:autoSpaceDN w:val="0"/>
        <w:autoSpaceDE w:val="0"/>
        <w:widowControl/>
        <w:spacing w:line="240" w:lineRule="auto" w:before="2" w:after="0"/>
        <w:ind w:left="44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25420" cy="14820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482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90" w:val="left"/>
        </w:tabs>
        <w:autoSpaceDE w:val="0"/>
        <w:widowControl/>
        <w:spacing w:line="224" w:lineRule="exact" w:before="136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ED1C24"/>
          <w:sz w:val="16"/>
        </w:rPr>
        <w:t xml:space="preserve">Fig. 2.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(a)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(100 Hz) and (b)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C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(10 kHz) characteristics of the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28-nm-thick 0.34% N-doped 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lm. (c) Switchable polarization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 xml:space="preserve">SW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+</w:t>
      </w:r>
      <w:r>
        <w:rPr>
          <w:rFonts w:ascii="22" w:hAnsi="22" w:eastAsia="22"/>
          <w:b w:val="0"/>
          <w:i w:val="0"/>
          <w:color w:val="221F1F"/>
          <w:sz w:val="16"/>
        </w:rPr>
        <w:t>−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r</w:t>
      </w:r>
      <w:r>
        <w:rPr>
          <w:w w:val="101.43454291603781"/>
          <w:rFonts w:ascii="22" w:hAnsi="22" w:eastAsia="22"/>
          <w:b w:val="0"/>
          <w:i w:val="0"/>
          <w:color w:val="221F1F"/>
          <w:sz w:val="11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) and relative dielectric constant of 28-nm-thick 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lms with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di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erent N doping concentrations.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+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and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r</w:t>
      </w:r>
      <w:r>
        <w:rPr>
          <w:w w:val="101.43454291603781"/>
          <w:rFonts w:ascii="22" w:hAnsi="22" w:eastAsia="22"/>
          <w:b w:val="0"/>
          <w:i w:val="0"/>
          <w:color w:val="221F1F"/>
          <w:sz w:val="11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are positive and negative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remanent polarizations under zero bias condition, respectively. The dielectric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constant is estimated from the central crossing point of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 xml:space="preserve"> C</w:t>
      </w:r>
      <w:r>
        <w:rPr>
          <w:rFonts w:ascii="20" w:hAnsi="20" w:eastAsia="20"/>
          <w:b w:val="0"/>
          <w:i w:val="0"/>
          <w:color w:val="221F1F"/>
          <w:sz w:val="16"/>
        </w:rPr>
        <w:t>–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E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curves.</w:t>
      </w:r>
    </w:p>
    <w:p>
      <w:pPr>
        <w:autoSpaceDN w:val="0"/>
        <w:autoSpaceDE w:val="0"/>
        <w:widowControl/>
        <w:spacing w:line="240" w:lineRule="exact" w:before="244" w:after="0"/>
        <w:ind w:left="142" w:right="20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PDA processes. For example, it is known that Ar atoms,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doped into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during sputtering, can stabilize highly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symmetric phases.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22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Moreover, rapid PDA processes were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used to obtain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highly symmetric phases in conventional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high-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k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research.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23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 small amount of N doping (&lt;0.7%) can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enhance both the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r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 dielectric constant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owing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formation of ferroelectric orthorhombic phases. However,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ferroelectricity will be markedly suppressed when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doping concentration is over 1%, while the dielectric con-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stant will still be kept above 30. This suggests the transition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from the ferroelectric orthorhombic phase to the paraelectric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orthorhombic, tetragonal or cubic phase. The ferroelectricity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was lost by further increasing the N doping concentration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to over 2%, although the highly symmetric phase is still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dominant in the XRD patterns.</w:t>
      </w:r>
    </w:p>
    <w:p>
      <w:pPr>
        <w:autoSpaceDN w:val="0"/>
        <w:autoSpaceDE w:val="0"/>
        <w:widowControl/>
        <w:spacing w:line="286" w:lineRule="exact" w:before="0" w:after="126"/>
        <w:ind w:left="142" w:right="2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Intuitively, the role of N doping can be considered from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two aspects: the introduction of oxygen vacancy as required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for keeping the charge neutrality when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replaces 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and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formation of 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and 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covalent bonds. The latter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seems to bring some properties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erent from those in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case of ionic cation doping. To further distinguish N bond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8"/>
        </w:rPr>
        <w:t>091501-2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2016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789940</wp:posOffset>
            </wp:positionV>
            <wp:extent cx="3036569" cy="3887825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6569" cy="388782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216"/>
        </w:trPr>
        <w:tc>
          <w:tcPr>
            <w:tcW w:type="dxa" w:w="402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Appl. Phys. Express</w:t>
            </w:r>
            <w:r>
              <w:rPr>
                <w:rFonts w:ascii="AdvTT16f3b945.B" w:hAnsi="AdvTT16f3b945.B" w:eastAsia="AdvTT16f3b945.B"/>
                <w:b w:val="0"/>
                <w:i w:val="0"/>
                <w:color w:val="ED1C24"/>
                <w:sz w:val="17"/>
              </w:rPr>
              <w:t xml:space="preserve"> 9</w:t>
            </w: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, 091501 (2016)</w:t>
            </w:r>
          </w:p>
        </w:tc>
        <w:tc>
          <w:tcPr>
            <w:tcW w:type="dxa" w:w="6012"/>
            <w:gridSpan w:val="3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L. Xu et al.</w:t>
            </w:r>
          </w:p>
        </w:tc>
      </w:tr>
      <w:tr>
        <w:trPr>
          <w:trHeight w:hRule="exact" w:val="2360"/>
        </w:trPr>
        <w:tc>
          <w:tcPr>
            <w:tcW w:type="dxa" w:w="154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0" w:after="0"/>
              <w:ind w:left="3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(a)</w:t>
            </w:r>
          </w:p>
        </w:tc>
        <w:tc>
          <w:tcPr>
            <w:tcW w:type="dxa" w:w="24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0" w:after="0"/>
              <w:ind w:left="0" w:right="12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(b)</w:t>
            </w:r>
          </w:p>
        </w:tc>
        <w:tc>
          <w:tcPr>
            <w:tcW w:type="dxa" w:w="192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0" w:after="0"/>
              <w:ind w:left="0" w:right="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(a)</w:t>
            </w:r>
          </w:p>
        </w:tc>
        <w:tc>
          <w:tcPr>
            <w:tcW w:type="dxa" w:w="40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36470" cy="123317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470" cy="1233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20"/>
        </w:trPr>
        <w:tc>
          <w:tcPr>
            <w:tcW w:type="dxa" w:w="402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34" w:after="0"/>
              <w:ind w:left="3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(c)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4" w:after="0"/>
              <w:ind w:left="0" w:right="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16521"/>
                <w:sz w:val="16"/>
              </w:rPr>
              <w:t>(b)</w:t>
            </w:r>
          </w:p>
        </w:tc>
        <w:tc>
          <w:tcPr>
            <w:tcW w:type="dxa" w:w="4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16150" cy="120268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12026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4022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02" w:after="0"/>
              <w:ind w:left="0" w:right="156" w:firstLine="0"/>
              <w:jc w:val="right"/>
            </w:pPr>
            <w:r>
              <w:rPr>
                <w:rFonts w:ascii="AdvTT16f3b945.B" w:hAnsi="AdvTT16f3b945.B" w:eastAsia="AdvTT16f3b945.B"/>
                <w:b w:val="0"/>
                <w:i w:val="0"/>
                <w:color w:val="ED1C24"/>
                <w:sz w:val="16"/>
              </w:rPr>
              <w:t>Fig. 4.</w:t>
            </w:r>
          </w:p>
        </w:tc>
        <w:tc>
          <w:tcPr>
            <w:tcW w:type="dxa" w:w="42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4" w:after="0"/>
              <w:ind w:left="4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(a) Switchable polarization of 28-nm-thick HfO</w:t>
            </w:r>
            <w:r>
              <w:rPr>
                <w:w w:val="101.43454291603781"/>
                <w:rFonts w:ascii="AdvOT8608a8d1" w:hAnsi="AdvOT8608a8d1" w:eastAsia="AdvOT8608a8d1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lms with</w:t>
            </w:r>
          </w:p>
        </w:tc>
      </w:tr>
      <w:tr>
        <w:trPr>
          <w:trHeight w:hRule="exact" w:val="186"/>
        </w:trPr>
        <w:tc>
          <w:tcPr>
            <w:tcW w:type="dxa" w:w="4022"/>
            <w:gridSpan w:val="2"/>
            <w:vMerge/>
            <w:tcBorders/>
          </w:tcPr>
          <w:p/>
        </w:tc>
        <w:tc>
          <w:tcPr>
            <w:tcW w:type="dxa" w:w="60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1136" w:right="0" w:firstLine="0"/>
              <w:jc w:val="left"/>
            </w:pP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di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>ff</w:t>
            </w:r>
            <w:r>
              <w:rPr>
                <w:rFonts w:ascii="AdvOT8608a8d1" w:hAnsi="AdvOT8608a8d1" w:eastAsia="AdvOT8608a8d1"/>
                <w:b w:val="0"/>
                <w:i w:val="0"/>
                <w:color w:val="221F1F"/>
                <w:sz w:val="16"/>
              </w:rPr>
              <w:t>erent N, Sc, or Y doping concentrations. (b) Schematic descriptions of N-</w:t>
            </w:r>
          </w:p>
        </w:tc>
      </w:tr>
    </w:tbl>
    <w:p>
      <w:pPr>
        <w:autoSpaceDN w:val="0"/>
        <w:autoSpaceDE w:val="0"/>
        <w:widowControl/>
        <w:spacing w:line="192" w:lineRule="exact" w:before="24" w:after="666"/>
        <w:ind w:left="5160" w:right="20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16"/>
        </w:rPr>
        <w:t>and Sc- (or Y-) doping-induced para-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ferroelectric transition. V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can stabilize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higher symmetric phases, and thus lead to the para-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ferroelectric transition.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This is the case for Sc or Y doping. However, in the N-doped 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case, a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marked para-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ferroelectric transition is observed as a strong e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ect from the </w:t>
      </w:r>
      <w:r>
        <w:br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direction N bonds.</w:t>
      </w: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ED1C24"/>
          <w:sz w:val="16"/>
        </w:rPr>
        <w:t xml:space="preserve">Fig. 3.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XRD patterns of annealed 28-nm-thick (a) N- and (b) Sc-doped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lms with di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erent doping concentrations. The black dotted lines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represent monoclinic</w:t>
      </w:r>
      <w:r>
        <w:rPr>
          <w:rFonts w:ascii="AdvSTIX_r_sym" w:hAnsi="AdvSTIX_r_sym" w:eastAsia="AdvSTIX_r_sym"/>
          <w:b w:val="0"/>
          <w:i w:val="0"/>
          <w:color w:val="221F1F"/>
          <w:sz w:val="16"/>
        </w:rPr>
        <w:t xml:space="preserve"> ð</w:t>
      </w:r>
      <w:r>
        <w:rPr>
          <w:rFonts w:ascii="AdvSTIX_r_mt_r" w:hAnsi="AdvSTIX_r_mt_r" w:eastAsia="AdvSTIX_r_mt_r"/>
          <w:b w:val="0"/>
          <w:i w:val="0"/>
          <w:color w:val="221F1F"/>
          <w:sz w:val="16"/>
        </w:rPr>
        <w:t>�</w:t>
      </w:r>
      <w:r>
        <w:rPr>
          <w:rFonts w:ascii="AdvSTIX_r_mt_r" w:hAnsi="AdvSTIX_r_mt_r" w:eastAsia="AdvSTIX_r_mt_r"/>
          <w:b w:val="0"/>
          <w:i w:val="0"/>
          <w:color w:val="221F1F"/>
          <w:sz w:val="16"/>
        </w:rPr>
        <w:t>111</w:t>
      </w:r>
      <w:r>
        <w:rPr>
          <w:rFonts w:ascii="AdvSTIX_r_sym" w:hAnsi="AdvSTIX_r_sym" w:eastAsia="AdvSTIX_r_sym"/>
          <w:b w:val="0"/>
          <w:i w:val="0"/>
          <w:color w:val="221F1F"/>
          <w:sz w:val="16"/>
        </w:rPr>
        <w:t>Þ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and (111) peaks, and the red dotted lines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represent orthorhombic (111), tetragonal (111) and cubic (111) peaks.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(c) Highly symmetric phase (O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T</w:t>
      </w:r>
      <w:r>
        <w:rPr>
          <w:rFonts w:ascii="AdvSTIX_r_m_r" w:hAnsi="AdvSTIX_r_m_r" w:eastAsia="AdvSTIX_r_m_r"/>
          <w:b w:val="0"/>
          <w:i w:val="0"/>
          <w:color w:val="221F1F"/>
          <w:sz w:val="16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C) of HfO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 (</w:t>
      </w:r>
      <w:r>
        <w:rPr>
          <w:rFonts w:ascii="AdvOTdd3b7348.I" w:hAnsi="AdvOTdd3b7348.I" w:eastAsia="AdvOTdd3b7348.I"/>
          <w:b w:val="0"/>
          <w:i w:val="0"/>
          <w:color w:val="221F1F"/>
          <w:sz w:val="16"/>
        </w:rPr>
        <w:t>r</w:t>
      </w:r>
      <w:r>
        <w:rPr>
          <w:w w:val="101.43454291603781"/>
          <w:rFonts w:ascii="AdvOT8608a8d1" w:hAnsi="AdvOT8608a8d1" w:eastAsia="AdvOT8608a8d1"/>
          <w:b w:val="0"/>
          <w:i w:val="0"/>
          <w:color w:val="221F1F"/>
          <w:sz w:val="11"/>
        </w:rPr>
        <w:t>H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) with di</w:t>
      </w:r>
      <w:r>
        <w:rPr>
          <w:rFonts w:ascii="fb" w:hAnsi="fb" w:eastAsia="fb"/>
          <w:b w:val="0"/>
          <w:i w:val="0"/>
          <w:color w:val="221F1F"/>
          <w:sz w:val="16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 xml:space="preserve">erent N, Sc, or Y </w:t>
      </w:r>
      <w:r>
        <w:rPr>
          <w:rFonts w:ascii="AdvOT8608a8d1" w:hAnsi="AdvOT8608a8d1" w:eastAsia="AdvOT8608a8d1"/>
          <w:b w:val="0"/>
          <w:i w:val="0"/>
          <w:color w:val="221F1F"/>
          <w:sz w:val="16"/>
        </w:rPr>
        <w:t>doping concentrations.</w:t>
      </w:r>
    </w:p>
    <w:p>
      <w:pPr>
        <w:autoSpaceDN w:val="0"/>
        <w:autoSpaceDE w:val="0"/>
        <w:widowControl/>
        <w:spacing w:line="238" w:lineRule="exact" w:before="422" w:after="0"/>
        <w:ind w:left="0" w:right="14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ects from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ects, Sc- and 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lms were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studied considering that two Sc (or Y) atoms (replace Hf)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20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or two N atoms (replace O)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24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can make one oxygen vacancy,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respectively. Figure 4(a) shows the switchable polariza-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tion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SW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for N-, Sc-, and 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as a function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doping concentration. As expected, the Sc- and Y-doped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exhibit quite similar behaviors. With the coordination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number 8, ionic Sr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3+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has an 87 pm radius, which is very close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that of Hf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4+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(83 pm), while the radius of ionic Y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3+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102 pm.</w:t>
      </w:r>
      <w:r>
        <w:rPr>
          <w:rFonts w:ascii="AdvOT8608a8d1" w:hAnsi="AdvOT8608a8d1" w:eastAsia="AdvOT8608a8d1"/>
          <w:b w:val="0"/>
          <w:i w:val="0"/>
          <w:color w:val="2E3092"/>
          <w:sz w:val="14"/>
        </w:rPr>
        <w:t>25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)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This suggests that the Sc- or Y-doping-induced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para-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 transition is dominated by the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mechanism, whereas the ionic radius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 is not dominated.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For the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, slight doping can enhance the ferro-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electricity, but overdoping can eliminate the ferroelectricity.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This tendency is similar to Sc and Y doping cases. How-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ever, note that 0.34% N is su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cient to maximize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ferroelectricity, and 2.44% N can totally suppress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P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SW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below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2 µC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cm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, whereas 0.7 and over 4% are needed for Sc doping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Y doping cases, respectively.</w:t>
      </w:r>
    </w:p>
    <w:p>
      <w:pPr>
        <w:autoSpaceDN w:val="0"/>
        <w:autoSpaceDE w:val="0"/>
        <w:widowControl/>
        <w:spacing w:line="268" w:lineRule="exact" w:before="4" w:after="0"/>
        <w:ind w:left="0" w:right="14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addition, the XRD patterns of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erent from those of Sc-doped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[shown in Figs. 3(a)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and 3(b)]. The highly symmetric phase ratio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H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shown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Fig. 3(c) is calculated from the XRD results according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where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the XRD peak area intensity. We noted that 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equation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H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¼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I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STIX_r_m_i_vw" w:hAnsi="AdvSTIX_r_m_i_vw" w:eastAsia="AdvSTIX_r_m_i_vw"/>
          <w:b w:val="0"/>
          <w:i w:val="0"/>
          <w:color w:val="221F1F"/>
          <w:sz w:val="14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T</w:t>
      </w:r>
      <w:r>
        <w:rPr>
          <w:rFonts w:ascii="AdvSTIX_r_m_i_vw" w:hAnsi="AdvSTIX_r_m_i_vw" w:eastAsia="AdvSTIX_r_m_i_vw"/>
          <w:b w:val="0"/>
          <w:i w:val="0"/>
          <w:color w:val="221F1F"/>
          <w:sz w:val="14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ð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111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Þ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=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½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I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M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ð</w:t>
      </w:r>
      <w:r>
        <w:rPr>
          <w:rFonts w:ascii="AdvSTIX_r_mt_r" w:hAnsi="AdvSTIX_r_mt_r" w:eastAsia="AdvSTIX_r_mt_r"/>
          <w:b w:val="0"/>
          <w:i w:val="0"/>
          <w:color w:val="221F1F"/>
          <w:sz w:val="14"/>
        </w:rPr>
        <w:t>�111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Þ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I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STIX_r_m_i_vw" w:hAnsi="AdvSTIX_r_m_i_vw" w:eastAsia="AdvSTIX_r_m_i_vw"/>
          <w:b w:val="0"/>
          <w:i w:val="0"/>
          <w:color w:val="221F1F"/>
          <w:sz w:val="14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T</w:t>
      </w:r>
      <w:r>
        <w:rPr>
          <w:rFonts w:ascii="AdvSTIX_r_m_i_vw" w:hAnsi="AdvSTIX_r_m_i_vw" w:eastAsia="AdvSTIX_r_m_i_vw"/>
          <w:b w:val="0"/>
          <w:i w:val="0"/>
          <w:color w:val="221F1F"/>
          <w:sz w:val="14"/>
        </w:rPr>
        <w:t>=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C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ð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111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Þ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þ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I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M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ð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111</w:t>
      </w:r>
      <w:r>
        <w:rPr>
          <w:rFonts w:ascii="AdvSTIX_r_sym" w:hAnsi="AdvSTIX_r_sym" w:eastAsia="AdvSTIX_r_sym"/>
          <w:b w:val="0"/>
          <w:i w:val="0"/>
          <w:color w:val="221F1F"/>
          <w:sz w:val="14"/>
        </w:rPr>
        <w:t>Þ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�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doping is more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ective in driving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transition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to a highly symmetric phase than Sc or Y doping in a slightly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doped region; however, we also observed opposite behaviors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42" w:right="22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a heavily doped region, in which the monoclinic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can survive in over 2%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but disappears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over 2% Sc- or 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. From the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viewpoint,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r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H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can be increased and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nally becomes 100% as the stabilized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tetragonal or cubic phases by introducing enough oxygen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vacancies. This can explain the Sc- or Y-doping-induced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phase transition behaviors very well, but it is not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suitable in the N doping case. We attribute the unique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N-doping behaviors to N bond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ects.</w:t>
      </w:r>
    </w:p>
    <w:p>
      <w:pPr>
        <w:autoSpaceDN w:val="0"/>
        <w:autoSpaceDE w:val="0"/>
        <w:widowControl/>
        <w:spacing w:line="234" w:lineRule="exact" w:before="34" w:after="0"/>
        <w:ind w:left="142" w:right="22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>Here, since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the key ingredient for structural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transition and the present doping systems can be regarded 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diluted doping, we assume that the key parameter in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N-doped case is still the oxygen vacancy motion. Therefore,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we discuss the results in Figs. 3(c) and 4(a) thermodynami-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cally from the viewpoint of the activity of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(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>a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) as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follows:</w:t>
      </w:r>
    </w:p>
    <w:p>
      <w:pPr>
        <w:autoSpaceDN w:val="0"/>
        <w:tabs>
          <w:tab w:pos="1926" w:val="left"/>
          <w:tab w:pos="4776" w:val="left"/>
        </w:tabs>
        <w:autoSpaceDE w:val="0"/>
        <w:widowControl/>
        <w:spacing w:line="236" w:lineRule="exact" w:before="288" w:after="126"/>
        <w:ind w:left="142" w:right="0" w:firstLine="0"/>
        <w:jc w:val="left"/>
      </w:pPr>
      <w:r>
        <w:tab/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a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 /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 �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>C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STIX_r_m_i_vw" w:hAnsi="AdvSTIX_r_m_i_vw" w:eastAsia="AdvSTIX_r_m_i_vw"/>
          <w:b w:val="0"/>
          <w:i w:val="0"/>
          <w:color w:val="221F1F"/>
          <w:sz w:val="20"/>
        </w:rPr>
        <w:t xml:space="preserve">; </w:t>
      </w:r>
      <w:r>
        <w:tab/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>ð</w:t>
      </w:r>
      <w:r>
        <w:rPr>
          <w:rFonts w:ascii="AdvSTIX_r_mt_r" w:hAnsi="AdvSTIX_r_mt_r" w:eastAsia="AdvSTIX_r_mt_r"/>
          <w:b w:val="0"/>
          <w:i w:val="0"/>
          <w:color w:val="221F1F"/>
          <w:sz w:val="20"/>
        </w:rPr>
        <w:t>1</w:t>
      </w:r>
      <w:r>
        <w:rPr>
          <w:rFonts w:ascii="AdvSTIX_r_sym" w:hAnsi="AdvSTIX_r_sym" w:eastAsia="AdvSTIX_r_sym"/>
          <w:b w:val="0"/>
          <w:i w:val="0"/>
          <w:color w:val="221F1F"/>
          <w:sz w:val="20"/>
        </w:rPr>
        <w:t xml:space="preserve">Þ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which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C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and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γ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are the concentration and activity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coe</w:t>
      </w:r>
      <w:r>
        <w:rPr>
          <w:rFonts w:ascii="fb" w:hAnsi="fb" w:eastAsia="fb"/>
          <w:b w:val="0"/>
          <w:i w:val="0"/>
          <w:color w:val="221F1F"/>
          <w:sz w:val="20"/>
        </w:rPr>
        <w:t>ffi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cient of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, respectively. In the N doping case,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a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Vo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increases with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C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more sharply than that in the cation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doping case at a small doping stage. On the other hand,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γ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sharply decreases when</w:t>
      </w:r>
      <w:r>
        <w:rPr>
          <w:rFonts w:ascii="AdvOTdd3b7348.I" w:hAnsi="AdvOTdd3b7348.I" w:eastAsia="AdvOTdd3b7348.I"/>
          <w:b w:val="0"/>
          <w:i w:val="0"/>
          <w:color w:val="221F1F"/>
          <w:sz w:val="20"/>
        </w:rPr>
        <w:t xml:space="preserve"> C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Vo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over 1% owing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stronger N bond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ects, while it is not the case in Sc- or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, in which the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activity is simply equal to the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density. For the ferroelectricity enhancement region,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can cause the phase transition from the monoclinic phase to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higher symmetric phases, and then generates metastable polar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phases at the boundary of M and T phases. Therefore, slight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Sc, Y, and N dopings are all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ective in enhancing the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ferroelectricity. Here,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exhibits a marked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transition in a small doping region, which should be related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N bond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ects. In the ferroelectricity suppression region,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it is understandable that the overdoping of Sc and Y can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eliminate the ferroelectricity as the stabilization of the T or C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8"/>
        </w:rPr>
        <w:t>091501-3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2016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196"/>
        </w:trPr>
        <w:tc>
          <w:tcPr>
            <w:tcW w:type="dxa" w:w="604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Appl. Phys. Express</w:t>
            </w:r>
            <w:r>
              <w:rPr>
                <w:rFonts w:ascii="AdvTT16f3b945.B" w:hAnsi="AdvTT16f3b945.B" w:eastAsia="AdvTT16f3b945.B"/>
                <w:b w:val="0"/>
                <w:i w:val="0"/>
                <w:color w:val="ED1C24"/>
                <w:sz w:val="17"/>
              </w:rPr>
              <w:t xml:space="preserve"> 9</w:t>
            </w: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, 091501 (2016)</w:t>
            </w:r>
          </w:p>
        </w:tc>
        <w:tc>
          <w:tcPr>
            <w:tcW w:type="dxa" w:w="3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ED1C24"/>
                <w:sz w:val="17"/>
              </w:rPr>
              <w:t>L. Xu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8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0" w:right="156" w:firstLine="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phase. As shown in Figs. 3(b) and 3(c), the monoclinic phase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has totally transformed to highly symmetric phases when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the doping concentration is over 1.5%, and accordingly,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ferroelectricity of Sc- or Y-doped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suppressed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in this doping region. However, in the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 xml:space="preserve">2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case, although we can observe the coexistence of the M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and highly symmetric phases, the ferroelectricity is more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markedly suppressed than that in the cation doping case.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This indicates that a large number of N bonds, especially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 bonds, might be responsible for suppressing atomic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motions, and thus contribute to a marked suppression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ferroelectricity.</w:t>
      </w:r>
    </w:p>
    <w:p>
      <w:pPr>
        <w:autoSpaceDN w:val="0"/>
        <w:autoSpaceDE w:val="0"/>
        <w:widowControl/>
        <w:spacing w:line="258" w:lineRule="exact" w:before="0" w:after="0"/>
        <w:ind w:left="0" w:right="156" w:firstLine="200"/>
        <w:jc w:val="both"/>
      </w:pP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In this study, the electrical and structural phase properties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of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have been investigated. A small amount of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doping drives the ferroelectricity of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, and the para-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 xml:space="preserve">=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 transition 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is more sensitive to N doping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than to Sc or Y doping. The oxygen vacancy formation due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to the replacement of 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by N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3</w:t>
      </w:r>
      <w:r>
        <w:rPr>
          <w:rFonts w:ascii="22" w:hAnsi="22" w:eastAsia="22"/>
          <w:b w:val="0"/>
          <w:i w:val="0"/>
          <w:color w:val="221F1F"/>
          <w:sz w:val="14"/>
        </w:rPr>
        <w:t>−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may explain the para-</w:t>
      </w:r>
      <w:r>
        <w:rPr>
          <w:rFonts w:ascii="AdvSTIX_r_m_r" w:hAnsi="AdvSTIX_r_m_r" w:eastAsia="AdvSTIX_r_m_r"/>
          <w:b w:val="0"/>
          <w:i w:val="0"/>
          <w:color w:val="221F1F"/>
          <w:sz w:val="20"/>
        </w:rPr>
        <w:t xml:space="preserve">=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ferroelectric transition origin in N-doped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. Moreover,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note that directional N bonds (Hf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and 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O) have strong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ects on the oxygen vacancy activity, which is di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erent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from that of the trivalent cation doping case. N bonds initially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help increase the V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o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 activity and then weaken it in HfO</w:t>
      </w:r>
      <w:r>
        <w:rPr>
          <w:rFonts w:ascii="AdvOT8608a8d1" w:hAnsi="AdvOT8608a8d1" w:eastAsia="AdvOT8608a8d1"/>
          <w:b w:val="0"/>
          <w:i w:val="0"/>
          <w:color w:val="221F1F"/>
          <w:sz w:val="14"/>
        </w:rPr>
        <w:t>2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.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N doping has two directly opposite e</w:t>
      </w:r>
      <w:r>
        <w:rPr>
          <w:rFonts w:ascii="fb" w:hAnsi="fb" w:eastAsia="fb"/>
          <w:b w:val="0"/>
          <w:i w:val="0"/>
          <w:color w:val="221F1F"/>
          <w:sz w:val="20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 xml:space="preserve">ects, namely, to trigger </w:t>
      </w:r>
      <w:r>
        <w:rPr>
          <w:rFonts w:ascii="AdvOT8608a8d1" w:hAnsi="AdvOT8608a8d1" w:eastAsia="AdvOT8608a8d1"/>
          <w:b w:val="0"/>
          <w:i w:val="0"/>
          <w:color w:val="221F1F"/>
          <w:sz w:val="20"/>
        </w:rPr>
        <w:t>the ferroelectricity and suppress it.</w:t>
      </w:r>
    </w:p>
    <w:p>
      <w:pPr>
        <w:autoSpaceDN w:val="0"/>
        <w:tabs>
          <w:tab w:pos="1576" w:val="left"/>
        </w:tabs>
        <w:autoSpaceDE w:val="0"/>
        <w:widowControl/>
        <w:spacing w:line="174" w:lineRule="exact" w:before="46" w:after="0"/>
        <w:ind w:left="20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ED1C24"/>
          <w:sz w:val="15"/>
        </w:rPr>
        <w:t xml:space="preserve">Acknowledgment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This work was supported by JST-CREST.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and 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28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28" w:history="1">
          <w:r>
            <w:rPr>
              <w:rStyle w:val="Hyperlink"/>
            </w:rPr>
            <w:t xml:space="preserve"> 99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28" w:history="1">
          <w:r>
            <w:rPr>
              <w:rStyle w:val="Hyperlink"/>
            </w:rPr>
            <w:t>, 112904 (2011).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74" w:lineRule="exact" w:before="8" w:after="0"/>
        <w:ind w:left="23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5)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D. Martin, J. Müller, T. Schenk, T. M. Arruda, A. Kumar, E. Strelcov, E.</w:t>
      </w:r>
    </w:p>
    <w:p>
      <w:pPr>
        <w:autoSpaceDN w:val="0"/>
        <w:autoSpaceDE w:val="0"/>
        <w:widowControl/>
        <w:spacing w:line="190" w:lineRule="exact" w:before="0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Yurchuk, S. Müller, D. Pohl, U. Schröder, S. V. Kalinin, and T. Mikolajick,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29" w:history="1">
          <w:r>
            <w:rPr>
              <w:rStyle w:val="Hyperlink"/>
            </w:rPr>
            <w:t>Adv. Mater.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29" w:history="1">
          <w:r>
            <w:rPr>
              <w:rStyle w:val="Hyperlink"/>
            </w:rPr>
            <w:t xml:space="preserve"> 26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29" w:history="1">
          <w:r>
            <w:rPr>
              <w:rStyle w:val="Hyperlink"/>
            </w:rPr>
            <w:t>, 8198 (2014).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0" w:after="0"/>
        <w:ind w:left="23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6)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D. Zhou, J. Muller, J. Xu, S. Knebel, D. Brauhaus, and U. Schroder,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0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0" w:history="1">
          <w:r>
            <w:rPr>
              <w:rStyle w:val="Hyperlink"/>
            </w:rPr>
            <w:t>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0" w:history="1">
          <w:r>
            <w:rPr>
              <w:rStyle w:val="Hyperlink"/>
            </w:rPr>
            <w:t xml:space="preserve"> 100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0" w:history="1">
          <w:r>
            <w:rPr>
              <w:rStyle w:val="Hyperlink"/>
            </w:rPr>
            <w:t>, 082905 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23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7)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T. Olsen, U. Schroder, S. Muller, A. Krause, D. Martin, A. Singh, J. Muller,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M. Geidel, and 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1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1" w:history="1">
          <w:r>
            <w:rPr>
              <w:rStyle w:val="Hyperlink"/>
            </w:rPr>
            <w:t xml:space="preserve"> 101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1" w:history="1">
          <w:r>
            <w:rPr>
              <w:rStyle w:val="Hyperlink"/>
            </w:rPr>
            <w:t>, 082905 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23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8)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S. Starschich, D. Griesche, T. Schneller, R. Waser, and U. Bottger,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2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2" w:history="1">
          <w:r>
            <w:rPr>
              <w:rStyle w:val="Hyperlink"/>
            </w:rPr>
            <w:t>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2" w:history="1">
          <w:r>
            <w:rPr>
              <w:rStyle w:val="Hyperlink"/>
            </w:rPr>
            <w:t xml:space="preserve"> 104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2" w:history="1">
          <w:r>
            <w:rPr>
              <w:rStyle w:val="Hyperlink"/>
            </w:rPr>
            <w:t>, 202903 (2014).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236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9)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S. Starschich, S. Menzel, and U. Bottger,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3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3" w:history="1">
          <w:r>
            <w:rPr>
              <w:rStyle w:val="Hyperlink"/>
            </w:rPr>
            <w:t xml:space="preserve"> 108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3" w:history="1">
          <w:r>
            <w:rPr>
              <w:rStyle w:val="Hyperlink"/>
            </w:rPr>
            <w:t xml:space="preserve">, 032903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3" w:history="1">
          <w:r>
            <w:rPr>
              <w:rStyle w:val="Hyperlink"/>
            </w:rPr>
            <w:t>(2016).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Mueller, J. Mueller, A. Singh, S. Riedel, J. Sundqvist, U. Schroeder, and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4" w:history="1">
          <w:r>
            <w:rPr>
              <w:rStyle w:val="Hyperlink"/>
            </w:rPr>
            <w:t>Adv. Funct. Mater.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4" w:history="1">
          <w:r>
            <w:rPr>
              <w:rStyle w:val="Hyperlink"/>
            </w:rPr>
            <w:t xml:space="preserve"> 22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4" w:history="1">
          <w:r>
            <w:rPr>
              <w:rStyle w:val="Hyperlink"/>
            </w:rPr>
            <w:t>, 2412 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6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11)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J. Müller, T. S. Böscke, U. Schröder, S. Mueller, D. Bräuhaus, U. Böttger,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L. Frey, and 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5" w:history="1">
          <w:r>
            <w:rPr>
              <w:rStyle w:val="Hyperlink"/>
            </w:rPr>
            <w:t>Nano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5" w:history="1">
          <w:r>
            <w:rPr>
              <w:rStyle w:val="Hyperlink"/>
            </w:rPr>
            <w:t xml:space="preserve"> 12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5" w:history="1">
          <w:r>
            <w:rPr>
              <w:rStyle w:val="Hyperlink"/>
            </w:rPr>
            <w:t>, 4318 (2012).</w:t>
          </w:r>
        </w:hyperlink>
      </w:r>
    </w:p>
    <w:p>
      <w:pPr>
        <w:autoSpaceDN w:val="0"/>
        <w:autoSpaceDE w:val="0"/>
        <w:widowControl/>
        <w:spacing w:line="190" w:lineRule="exact" w:before="0" w:after="0"/>
        <w:ind w:left="486" w:right="0" w:hanging="332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Schenk, S. Mueller, U. Schroeder, R. Materlik, A. Kersch, M. Popovici,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C. Adelmann, S. Van Elshocht, and 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6" w:history="1">
          <w:r>
            <w:rPr>
              <w:rStyle w:val="Hyperlink"/>
            </w:rPr>
            <w:t>Proc. European Solid-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6" w:history="1">
          <w:r>
            <w:rPr>
              <w:rStyle w:val="Hyperlink"/>
            </w:rPr>
            <w:t xml:space="preserve">State Device Research Conf., 2013, p. 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6" w:history="1">
          <w:r>
            <w:rPr>
              <w:rStyle w:val="Hyperlink"/>
            </w:rPr>
            <w:t>260.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S. Mueller, C. Adelmann, A. Singh, S. Van Elschocht, U. Schroeder, and T.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7" w:history="1">
          <w:r>
            <w:rPr>
              <w:rStyle w:val="Hyperlink"/>
            </w:rPr>
            <w:t>ECS J. Solid State Sci. Technol.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7" w:history="1">
          <w:r>
            <w:rPr>
              <w:rStyle w:val="Hyperlink"/>
            </w:rPr>
            <w:t xml:space="preserve"> 1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7" w:history="1">
          <w:r>
            <w:rPr>
              <w:rStyle w:val="Hyperlink"/>
            </w:rPr>
            <w:t>, N123 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J. Tang, F. Zhang, P. Zoogman, J. Fabbri, S.-W. Chan, Y. Zhu, L. E. Brus,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and M. L. Steigerwald,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8" w:history="1">
          <w:r>
            <w:rPr>
              <w:rStyle w:val="Hyperlink"/>
            </w:rPr>
            <w:t>Adv. Funct. Mater.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8" w:history="1">
          <w:r>
            <w:rPr>
              <w:rStyle w:val="Hyperlink"/>
            </w:rPr>
            <w:t xml:space="preserve"> 15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8" w:history="1">
          <w:r>
            <w:rPr>
              <w:rStyle w:val="Hyperlink"/>
            </w:rPr>
            <w:t>, 1595 (2005).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D. Huan, V. Sharma, G. A. Rossetti, Jr., and R. Ramprasad,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9" w:history="1">
          <w:r>
            <w:rPr>
              <w:rStyle w:val="Hyperlink"/>
            </w:rPr>
            <w:t xml:space="preserve">Phys. Rev. B </w:t>
          </w:r>
        </w:hyperlink>
      </w:r>
      <w:r>
        <w:tab/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39" w:history="1">
          <w:r>
            <w:rPr>
              <w:rStyle w:val="Hyperlink"/>
            </w:rPr>
            <w:t>90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39" w:history="1">
          <w:r>
            <w:rPr>
              <w:rStyle w:val="Hyperlink"/>
            </w:rPr>
            <w:t>, 064111 (2014).</w:t>
          </w:r>
        </w:hyperlink>
      </w:r>
    </w:p>
    <w:p>
      <w:pPr>
        <w:autoSpaceDN w:val="0"/>
        <w:autoSpaceDE w:val="0"/>
        <w:widowControl/>
        <w:spacing w:line="176" w:lineRule="exact" w:before="16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16)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M. Ho</w:t>
      </w:r>
      <w:r>
        <w:rPr>
          <w:rFonts w:ascii="fb" w:hAnsi="fb" w:eastAsia="fb"/>
          <w:b w:val="0"/>
          <w:i w:val="0"/>
          <w:color w:val="221F1F"/>
          <w:sz w:val="15"/>
        </w:rPr>
        <w:t>ff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mann, U. Schroeder, T. Schenk, T. Shimizu, H. Funakubo, O.</w:t>
      </w:r>
    </w:p>
    <w:p>
      <w:pPr>
        <w:autoSpaceDN w:val="0"/>
        <w:autoSpaceDE w:val="0"/>
        <w:widowControl/>
        <w:spacing w:line="188" w:lineRule="exact" w:before="0" w:after="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Sakata, D. Pohl, M. Drescher, C. Adelmann, R. Materlik, A. Kersch, and T.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0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0" w:history="1">
          <w:r>
            <w:rPr>
              <w:rStyle w:val="Hyperlink"/>
            </w:rPr>
            <w:t xml:space="preserve"> 118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0" w:history="1">
          <w:r>
            <w:rPr>
              <w:rStyle w:val="Hyperlink"/>
            </w:rPr>
            <w:t>, 072006 (2015).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17)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C. Lee, E. Cho, H. Lee, C. S. Hwang, and S. Han,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1" w:history="1">
          <w:r>
            <w:rPr>
              <w:rStyle w:val="Hyperlink"/>
            </w:rPr>
            <w:t>Phys. Rev. B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1" w:history="1">
          <w:r>
            <w:rPr>
              <w:rStyle w:val="Hyperlink"/>
            </w:rPr>
            <w:t xml:space="preserve"> 78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1" w:history="1">
          <w:r>
            <w:rPr>
              <w:rStyle w:val="Hyperlink"/>
            </w:rPr>
            <w:t xml:space="preserve">, 012102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1" w:history="1">
          <w:r>
            <w:rPr>
              <w:rStyle w:val="Hyperlink"/>
            </w:rPr>
            <w:t>(2008).</w:t>
          </w:r>
        </w:hyperlink>
      </w:r>
    </w:p>
    <w:p>
      <w:pPr>
        <w:autoSpaceDN w:val="0"/>
        <w:autoSpaceDE w:val="0"/>
        <w:widowControl/>
        <w:spacing w:line="190" w:lineRule="exact" w:before="0" w:after="0"/>
        <w:ind w:left="486" w:right="0" w:hanging="332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18)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Sarakinos, D. Music, S. Mráz, M. to Baben, K. Jiang, F. Nahif, A. Braun,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C. Zilkens, S. Konstantinidis, F. Renaux, D. Cossement, F. Munnik, and 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J. M. Schneider,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2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2" w:history="1">
          <w:r>
            <w:rPr>
              <w:rStyle w:val="Hyperlink"/>
            </w:rPr>
            <w:t xml:space="preserve"> 108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2" w:history="1">
          <w:r>
            <w:rPr>
              <w:rStyle w:val="Hyperlink"/>
            </w:rPr>
            <w:t>, 014904 (2010).</w:t>
          </w:r>
        </w:hyperlink>
      </w:r>
    </w:p>
    <w:p>
      <w:pPr>
        <w:autoSpaceDN w:val="0"/>
        <w:autoSpaceDE w:val="0"/>
        <w:widowControl/>
        <w:spacing w:line="174" w:lineRule="exact" w:before="1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>19)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P. D. Lomenzo, Q. Takmeel, C. M. Fancher, C. Zhou, N. G. Rudawski, S.</w:t>
      </w:r>
    </w:p>
    <w:p>
      <w:pPr>
        <w:autoSpaceDN w:val="0"/>
        <w:autoSpaceDE w:val="0"/>
        <w:widowControl/>
        <w:spacing w:line="180" w:lineRule="exact" w:before="10" w:after="10"/>
        <w:ind w:left="486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Moghaddam, J. L. Jones, and T. Nishida,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3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3" w:history="1">
          <w:r>
            <w:rPr>
              <w:rStyle w:val="Hyperlink"/>
            </w:rPr>
            <w:t xml:space="preserve"> 36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3" w:history="1">
          <w:r>
            <w:rPr>
              <w:rStyle w:val="Hyperlink"/>
            </w:rPr>
            <w:t>,</w:t>
          </w:r>
        </w:hyperlink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31" w:space="0"/>
            <w:col w:w="5024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10436" w:space="0"/>
            <w:col w:w="5155" w:space="0"/>
            <w:col w:w="5280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3858" w:firstLine="0"/>
        <w:jc w:val="right"/>
      </w:pP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3" w:history="1">
          <w:r>
            <w:rPr>
              <w:rStyle w:val="Hyperlink"/>
            </w:rPr>
            <w:t>766 (2015).</w:t>
          </w:r>
        </w:hyperlink>
      </w:r>
    </w:p>
    <w:p>
      <w:pPr>
        <w:autoSpaceDN w:val="0"/>
        <w:tabs>
          <w:tab w:pos="358" w:val="left"/>
          <w:tab w:pos="5186" w:val="left"/>
        </w:tabs>
        <w:autoSpaceDE w:val="0"/>
        <w:widowControl/>
        <w:spacing w:line="172" w:lineRule="exact" w:before="0" w:after="0"/>
        <w:ind w:left="10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1)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M. H. Park, Y. H. Lee, H. J. Kim, Y. J. Kim, T. Moon, K. D. Kim, J. </w:t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20)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A. Navrotsky,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4" w:history="1">
          <w:r>
            <w:rPr>
              <w:rStyle w:val="Hyperlink"/>
            </w:rPr>
            <w:t>J. Mater. Chem.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4" w:history="1">
          <w:r>
            <w:rPr>
              <w:rStyle w:val="Hyperlink"/>
            </w:rPr>
            <w:t xml:space="preserve"> 15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4" w:history="1">
          <w:r>
            <w:rPr>
              <w:rStyle w:val="Hyperlink"/>
            </w:rPr>
            <w:t>, 1883 (2005).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0" w:lineRule="exact" w:before="4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Muller, A. Kersch, U. Schroeder, T. Mikolajick, and C. S. Hwang,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5" w:history="1">
          <w:r>
            <w:rPr>
              <w:rStyle w:val="Hyperlink"/>
            </w:rPr>
            <w:t xml:space="preserve">Adv.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21)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P. Polakowski and J. Muller,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6" w:history="1">
          <w:r>
            <w:rPr>
              <w:rStyle w:val="Hyperlink"/>
            </w:rPr>
            <w:t>Appl. Phys.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6" w:history="1">
          <w:r>
            <w:rPr>
              <w:rStyle w:val="Hyperlink"/>
            </w:rPr>
            <w:t xml:space="preserve"> 106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6" w:history="1">
          <w:r>
            <w:rPr>
              <w:rStyle w:val="Hyperlink"/>
            </w:rPr>
            <w:t>, 232905 (2015).</w:t>
          </w:r>
        </w:hyperlink>
      </w:r>
    </w:p>
    <w:p>
      <w:pPr>
        <w:autoSpaceDN w:val="0"/>
        <w:tabs>
          <w:tab w:pos="5186" w:val="left"/>
        </w:tabs>
        <w:autoSpaceDE w:val="0"/>
        <w:widowControl/>
        <w:spacing w:line="182" w:lineRule="exact" w:before="8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5" w:history="1">
          <w:r>
            <w:rPr>
              <w:rStyle w:val="Hyperlink"/>
            </w:rPr>
            <w:t>Mater.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5" w:history="1">
          <w:r>
            <w:rPr>
              <w:rStyle w:val="Hyperlink"/>
            </w:rPr>
            <w:t xml:space="preserve"> 27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5" w:history="1">
          <w:r>
            <w:rPr>
              <w:rStyle w:val="Hyperlink"/>
            </w:rPr>
            <w:t xml:space="preserve">, 1811 (2015).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22)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T. Iwai, Y. Nakajima, T. Nishimura, K. Nagashio, and A. Toriumi, Int.</w:t>
      </w:r>
    </w:p>
    <w:p>
      <w:pPr>
        <w:autoSpaceDN w:val="0"/>
        <w:tabs>
          <w:tab w:pos="358" w:val="left"/>
          <w:tab w:pos="5518" w:val="left"/>
        </w:tabs>
        <w:autoSpaceDE w:val="0"/>
        <w:widowControl/>
        <w:spacing w:line="174" w:lineRule="exact" w:before="4" w:after="0"/>
        <w:ind w:left="10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2)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U. Schroeder, S. Mueller, J. Mueller, E. Yurchuk, D. Martin, C. Adelmann,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Conf. Solid State Devices and Materials, 2012, p. 767.</w:t>
      </w:r>
    </w:p>
    <w:p>
      <w:pPr>
        <w:autoSpaceDN w:val="0"/>
        <w:tabs>
          <w:tab w:pos="5186" w:val="left"/>
        </w:tabs>
        <w:autoSpaceDE w:val="0"/>
        <w:widowControl/>
        <w:spacing w:line="174" w:lineRule="exact" w:before="16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21F1F"/>
          <w:sz w:val="15"/>
        </w:rPr>
        <w:t>T. Schloesser, R. van Bentum, and T. Mikolajick,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7" w:history="1">
          <w:r>
            <w:rPr>
              <w:rStyle w:val="Hyperlink"/>
            </w:rPr>
            <w:t xml:space="preserve">ECS J. Solid State Sci.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23)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Y. Nakajima, K. Kita, T. Nishimura, K. Nagashio, and A. Toriumi,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8" w:history="1">
          <w:r>
            <w:rPr>
              <w:rStyle w:val="Hyperlink"/>
            </w:rPr>
            <w:t>ECS</w:t>
          </w:r>
        </w:hyperlink>
      </w:r>
    </w:p>
    <w:p>
      <w:pPr>
        <w:autoSpaceDN w:val="0"/>
        <w:tabs>
          <w:tab w:pos="5518" w:val="left"/>
        </w:tabs>
        <w:autoSpaceDE w:val="0"/>
        <w:widowControl/>
        <w:spacing w:line="182" w:lineRule="exact" w:before="8" w:after="0"/>
        <w:ind w:left="358" w:right="0" w:firstLine="0"/>
        <w:jc w:val="left"/>
      </w:pP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7" w:history="1">
          <w:r>
            <w:rPr>
              <w:rStyle w:val="Hyperlink"/>
            </w:rPr>
            <w:t>Technol.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7" w:history="1">
          <w:r>
            <w:rPr>
              <w:rStyle w:val="Hyperlink"/>
            </w:rPr>
            <w:t xml:space="preserve"> 2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7" w:history="1">
          <w:r>
            <w:rPr>
              <w:rStyle w:val="Hyperlink"/>
            </w:rPr>
            <w:t xml:space="preserve">, N69 (2013). </w:t>
          </w:r>
        </w:hyperlink>
      </w:r>
      <w:r>
        <w:tab/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8" w:history="1">
          <w:r>
            <w:rPr>
              <w:rStyle w:val="Hyperlink"/>
            </w:rPr>
            <w:t>Trans.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8" w:history="1">
          <w:r>
            <w:rPr>
              <w:rStyle w:val="Hyperlink"/>
            </w:rPr>
            <w:t xml:space="preserve"> 28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8" w:history="1">
          <w:r>
            <w:rPr>
              <w:rStyle w:val="Hyperlink"/>
            </w:rPr>
            <w:t xml:space="preserve"> [2], 203 (2010).</w:t>
          </w:r>
        </w:hyperlink>
      </w:r>
    </w:p>
    <w:p>
      <w:pPr>
        <w:autoSpaceDN w:val="0"/>
        <w:tabs>
          <w:tab w:pos="358" w:val="left"/>
          <w:tab w:pos="5186" w:val="left"/>
        </w:tabs>
        <w:autoSpaceDE w:val="0"/>
        <w:widowControl/>
        <w:spacing w:line="172" w:lineRule="exact" w:before="0" w:after="0"/>
        <w:ind w:left="10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3)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>S. Salahuddin and S. Datta,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9" w:history="1">
          <w:r>
            <w:rPr>
              <w:rStyle w:val="Hyperlink"/>
            </w:rPr>
            <w:t>Nano Lett.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49" w:history="1">
          <w:r>
            <w:rPr>
              <w:rStyle w:val="Hyperlink"/>
            </w:rPr>
            <w:t xml:space="preserve"> 8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49" w:history="1">
          <w:r>
            <w:rPr>
              <w:rStyle w:val="Hyperlink"/>
            </w:rPr>
            <w:t xml:space="preserve">, 405 (2008). </w:t>
          </w:r>
        </w:hyperlink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24)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K. Xiong, J. Robertson, and S. J. Clark,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50" w:history="1">
          <w:r>
            <w:rPr>
              <w:rStyle w:val="Hyperlink"/>
            </w:rPr>
            <w:t>J. Appl. Phys.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50" w:history="1">
          <w:r>
            <w:rPr>
              <w:rStyle w:val="Hyperlink"/>
            </w:rPr>
            <w:t xml:space="preserve"> 99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50" w:history="1">
          <w:r>
            <w:rPr>
              <w:rStyle w:val="Hyperlink"/>
            </w:rPr>
            <w:t>, 044105 (2006).</w:t>
          </w:r>
        </w:hyperlink>
      </w:r>
    </w:p>
    <w:p>
      <w:pPr>
        <w:autoSpaceDN w:val="0"/>
        <w:tabs>
          <w:tab w:pos="358" w:val="left"/>
          <w:tab w:pos="5186" w:val="left"/>
        </w:tabs>
        <w:autoSpaceDE w:val="0"/>
        <w:widowControl/>
        <w:spacing w:line="172" w:lineRule="exact" w:before="0" w:after="0"/>
        <w:ind w:left="108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5"/>
        </w:rPr>
        <w:t xml:space="preserve">4) </w:t>
      </w:r>
      <w:r>
        <w:tab/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T. S. Böscke, St. Teichert, D. Bräuhaus, J. Müller, U. Schröder, U. Böttger, </w:t>
      </w:r>
      <w:r>
        <w:tab/>
      </w:r>
      <w:r>
        <w:rPr>
          <w:rFonts w:ascii="AdvTT153188ed" w:hAnsi="AdvTT153188ed" w:eastAsia="AdvTT153188ed"/>
          <w:b w:val="0"/>
          <w:i w:val="0"/>
          <w:color w:val="ED1C24"/>
          <w:sz w:val="15"/>
        </w:rPr>
        <w:t>25)</w:t>
      </w:r>
      <w:r>
        <w:rPr>
          <w:rFonts w:ascii="AdvOT8608a8d1" w:hAnsi="AdvOT8608a8d1" w:eastAsia="AdvOT8608a8d1"/>
          <w:b w:val="0"/>
          <w:i w:val="0"/>
          <w:color w:val="221F1F"/>
          <w:sz w:val="15"/>
        </w:rPr>
        <w:t xml:space="preserve"> R. D. Shannon and C. T. Prewitt,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t xml:space="preserve"> </w:t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51" w:history="1">
          <w:r>
            <w:rPr>
              <w:rStyle w:val="Hyperlink"/>
            </w:rPr>
            <w:t>Acta Crystallogr., Sect. B</w:t>
          </w:r>
        </w:hyperlink>
      </w:r>
      <w:r>
        <w:rPr>
          <w:rFonts w:ascii="AdvOT8b40f9c2.B" w:hAnsi="AdvOT8b40f9c2.B" w:eastAsia="AdvOT8b40f9c2.B"/>
          <w:b w:val="0"/>
          <w:i w:val="0"/>
          <w:color w:val="2E3092"/>
          <w:sz w:val="15"/>
        </w:rPr>
        <w:hyperlink r:id="rId51" w:history="1">
          <w:r>
            <w:rPr>
              <w:rStyle w:val="Hyperlink"/>
            </w:rPr>
            <w:t xml:space="preserve"> 25</w:t>
          </w:r>
        </w:hyperlink>
      </w:r>
      <w:r>
        <w:rPr>
          <w:rFonts w:ascii="AdvOT8608a8d1" w:hAnsi="AdvOT8608a8d1" w:eastAsia="AdvOT8608a8d1"/>
          <w:b w:val="0"/>
          <w:i w:val="0"/>
          <w:color w:val="2E3092"/>
          <w:sz w:val="15"/>
        </w:rPr>
        <w:hyperlink r:id="rId51" w:history="1">
          <w:r>
            <w:rPr>
              <w:rStyle w:val="Hyperlink"/>
            </w:rPr>
            <w:t>, 925 (1969).</w:t>
          </w:r>
        </w:hyperlink>
      </w:r>
    </w:p>
    <w:p>
      <w:pPr>
        <w:autoSpaceDN w:val="0"/>
        <w:tabs>
          <w:tab w:pos="6750" w:val="left"/>
        </w:tabs>
        <w:autoSpaceDE w:val="0"/>
        <w:widowControl/>
        <w:spacing w:line="224" w:lineRule="exact" w:before="6366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ED1C24"/>
          <w:sz w:val="18"/>
        </w:rPr>
        <w:t>091501-4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221F1F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221F1F"/>
          <w:sz w:val="16"/>
        </w:rPr>
        <w:t>2016 The Japan Society of Applied Physics</w:t>
      </w:r>
    </w:p>
    <w:sectPr w:rsidR="00FC693F" w:rsidRPr="0006063C" w:rsidSect="00034616">
      <w:type w:val="continuous"/>
      <w:pgSz w:w="11906" w:h="16838"/>
      <w:pgMar w:top="352" w:right="914" w:bottom="342" w:left="936" w:header="720" w:footer="720" w:gutter="0"/>
      <w:cols w:space="720" w:num="1" w:equalWidth="0">
        <w:col w:w="10082" w:space="0"/>
        <w:col w:w="5031" w:space="0"/>
        <w:col w:w="5024" w:space="0"/>
        <w:col w:w="10056" w:space="0"/>
        <w:col w:w="10056" w:space="0"/>
        <w:col w:w="5018" w:space="0"/>
        <w:col w:w="5038" w:space="0"/>
        <w:col w:w="10056" w:space="0"/>
        <w:col w:w="10056" w:space="0"/>
        <w:col w:w="5018" w:space="0"/>
        <w:col w:w="5038" w:space="0"/>
        <w:col w:w="10056" w:space="0"/>
        <w:col w:w="10056" w:space="0"/>
        <w:col w:w="5018" w:space="0"/>
        <w:col w:w="5038" w:space="0"/>
        <w:col w:w="10056" w:space="0"/>
        <w:col w:w="10436" w:space="0"/>
        <w:col w:w="5155" w:space="0"/>
        <w:col w:w="52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iopscience.iop.org/article/10.7567/JJAP.55.08PB01" TargetMode="External"/><Relationship Id="rId11" Type="http://schemas.openxmlformats.org/officeDocument/2006/relationships/hyperlink" Target="http://iopscience.iop.org/article/10.1088/0256-307X/31/7/077702" TargetMode="External"/><Relationship Id="rId12" Type="http://schemas.openxmlformats.org/officeDocument/2006/relationships/hyperlink" Target="http://iopscience.iop.org/article/10.7567/JJAP.56.06GF11" TargetMode="External"/><Relationship Id="rId13" Type="http://schemas.openxmlformats.org/officeDocument/2006/relationships/hyperlink" Target="https://doi.org/10.7567/APEX.9.091501" TargetMode="External"/><Relationship Id="rId14" Type="http://schemas.openxmlformats.org/officeDocument/2006/relationships/hyperlink" Target="http://dx.doi.org/10.1002/aelm.201700489" TargetMode="External"/><Relationship Id="rId15" Type="http://schemas.openxmlformats.org/officeDocument/2006/relationships/hyperlink" Target="http://dx.doi.org/10.1063/1.5017094" TargetMode="External"/><Relationship Id="rId16" Type="http://schemas.openxmlformats.org/officeDocument/2006/relationships/hyperlink" Target="http://iopscience.iop.org/1347-4065/57/4S/04FB01" TargetMode="External"/><Relationship Id="rId17" Type="http://schemas.openxmlformats.org/officeDocument/2006/relationships/hyperlink" Target="http://doi.org/10.7567/APEX.9.091501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hyperlink" Target="http://doi.org/10.1063/1.3636434" TargetMode="External"/><Relationship Id="rId29" Type="http://schemas.openxmlformats.org/officeDocument/2006/relationships/hyperlink" Target="http://doi.org/10.1002/adma.201403115" TargetMode="External"/><Relationship Id="rId30" Type="http://schemas.openxmlformats.org/officeDocument/2006/relationships/hyperlink" Target="http://doi.org/10.1063/1.3688915" TargetMode="External"/><Relationship Id="rId31" Type="http://schemas.openxmlformats.org/officeDocument/2006/relationships/hyperlink" Target="http://doi.org/10.1063/1.4747209" TargetMode="External"/><Relationship Id="rId32" Type="http://schemas.openxmlformats.org/officeDocument/2006/relationships/hyperlink" Target="http://doi.org/10.1063/1.4879283" TargetMode="External"/><Relationship Id="rId33" Type="http://schemas.openxmlformats.org/officeDocument/2006/relationships/hyperlink" Target="http://doi.org/10.1063/1.4940370" TargetMode="External"/><Relationship Id="rId34" Type="http://schemas.openxmlformats.org/officeDocument/2006/relationships/hyperlink" Target="http://doi.org/10.1002/adfm.201103119" TargetMode="External"/><Relationship Id="rId35" Type="http://schemas.openxmlformats.org/officeDocument/2006/relationships/hyperlink" Target="http://doi.org/10.1021/nl302049k" TargetMode="External"/><Relationship Id="rId36" Type="http://schemas.openxmlformats.org/officeDocument/2006/relationships/hyperlink" Target="http://doi.org/10.1109/ESSDERC.2013.6818868" TargetMode="External"/><Relationship Id="rId37" Type="http://schemas.openxmlformats.org/officeDocument/2006/relationships/hyperlink" Target="http://doi.org/10.1149/2.002301jss" TargetMode="External"/><Relationship Id="rId38" Type="http://schemas.openxmlformats.org/officeDocument/2006/relationships/hyperlink" Target="http://doi.org/10.1002/adfm.200500050" TargetMode="External"/><Relationship Id="rId39" Type="http://schemas.openxmlformats.org/officeDocument/2006/relationships/hyperlink" Target="http://doi.org/10.1103/PhysRevB.90.064111" TargetMode="External"/><Relationship Id="rId40" Type="http://schemas.openxmlformats.org/officeDocument/2006/relationships/hyperlink" Target="http://doi.org/10.1063/1.4927805" TargetMode="External"/><Relationship Id="rId41" Type="http://schemas.openxmlformats.org/officeDocument/2006/relationships/hyperlink" Target="http://doi.org/10.1103/PhysRevB.78.012102" TargetMode="External"/><Relationship Id="rId42" Type="http://schemas.openxmlformats.org/officeDocument/2006/relationships/hyperlink" Target="http://doi.org/10.1063/1.3437646" TargetMode="External"/><Relationship Id="rId43" Type="http://schemas.openxmlformats.org/officeDocument/2006/relationships/hyperlink" Target="http://doi.org/10.1109/LED.2015.2445352" TargetMode="External"/><Relationship Id="rId44" Type="http://schemas.openxmlformats.org/officeDocument/2006/relationships/hyperlink" Target="http://doi.org/10.1039/b417143h" TargetMode="External"/><Relationship Id="rId45" Type="http://schemas.openxmlformats.org/officeDocument/2006/relationships/hyperlink" Target="http://doi.org/10.1002/adma.201404531" TargetMode="External"/><Relationship Id="rId46" Type="http://schemas.openxmlformats.org/officeDocument/2006/relationships/hyperlink" Target="http://doi.org/10.1063/1.4922272" TargetMode="External"/><Relationship Id="rId47" Type="http://schemas.openxmlformats.org/officeDocument/2006/relationships/hyperlink" Target="http://doi.org/10.1149/2.010304jss" TargetMode="External"/><Relationship Id="rId48" Type="http://schemas.openxmlformats.org/officeDocument/2006/relationships/hyperlink" Target="http://doi.org/10.1149/1.3372576" TargetMode="External"/><Relationship Id="rId49" Type="http://schemas.openxmlformats.org/officeDocument/2006/relationships/hyperlink" Target="http://doi.org/10.1021/nl071804g" TargetMode="External"/><Relationship Id="rId50" Type="http://schemas.openxmlformats.org/officeDocument/2006/relationships/hyperlink" Target="http://doi.org/10.1063/1.2173688" TargetMode="External"/><Relationship Id="rId51" Type="http://schemas.openxmlformats.org/officeDocument/2006/relationships/hyperlink" Target="http://doi.org/10.1107/S0567740869003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