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55"/>
        <w:gridCol w:w="5255"/>
      </w:tblGrid>
      <w:tr>
        <w:trPr>
          <w:trHeight w:hRule="exact" w:val="524"/>
        </w:trPr>
        <w:tc>
          <w:tcPr>
            <w:tcW w:type="dxa" w:w="9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4"/>
              </w:rPr>
              <w:t>6B-3</w:t>
            </w:r>
          </w:p>
        </w:tc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6" w:after="0"/>
              <w:ind w:left="48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7"/>
              </w:rPr>
              <w:t>Nucleation-driven ferroelectric phase formation in ZrO</w:t>
            </w:r>
            <w:r>
              <w:rPr>
                <w:w w:val="101.64706286262064"/>
                <w:rFonts w:ascii="TimesNewRomanPS" w:hAnsi="TimesNewRomanPS" w:eastAsia="TimesNewRomanPS"/>
                <w:b/>
                <w:i w:val="0"/>
                <w:color w:val="000000"/>
                <w:sz w:val="17"/>
              </w:rPr>
              <w:t>2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7"/>
              </w:rPr>
              <w:t xml:space="preserve"> thin films </w:t>
            </w:r>
          </w:p>
        </w:tc>
      </w:tr>
    </w:tbl>
    <w:p>
      <w:pPr>
        <w:autoSpaceDN w:val="0"/>
        <w:tabs>
          <w:tab w:pos="2150" w:val="left"/>
          <w:tab w:pos="2300" w:val="left"/>
          <w:tab w:pos="2694" w:val="left"/>
        </w:tabs>
        <w:autoSpaceDE w:val="0"/>
        <w:widowControl/>
        <w:spacing w:line="274" w:lineRule="auto" w:before="30" w:after="532"/>
        <w:ind w:left="1908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7"/>
        </w:rPr>
        <w:t>-</w:t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>What is different in ZrO</w:t>
      </w:r>
      <w:r>
        <w:rPr>
          <w:w w:val="101.64706286262064"/>
          <w:rFonts w:ascii="TimesNewRomanPS" w:hAnsi="TimesNewRomanPS" w:eastAsia="TimesNewRomanPS"/>
          <w:b/>
          <w:i w:val="0"/>
          <w:color w:val="000000"/>
          <w:sz w:val="17"/>
        </w:rPr>
        <w:t>2</w:t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 from HfO</w:t>
      </w:r>
      <w:r>
        <w:rPr>
          <w:w w:val="101.64706286262064"/>
          <w:rFonts w:ascii="TimesNewRomanPS" w:hAnsi="TimesNewRomanPS" w:eastAsia="TimesNewRomanPS"/>
          <w:b/>
          <w:i w:val="0"/>
          <w:color w:val="000000"/>
          <w:sz w:val="17"/>
        </w:rPr>
        <w:t>2</w:t>
      </w:r>
      <w:r>
        <w:rPr>
          <w:rFonts w:ascii="TimesNewRomanPS" w:hAnsi="TimesNewRomanPS" w:eastAsia="TimesNewRomanPS"/>
          <w:b/>
          <w:i w:val="0"/>
          <w:color w:val="000000"/>
          <w:sz w:val="27"/>
        </w:rPr>
        <w:t xml:space="preserve"> ?  -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Shigehisa Shibayama</w:t>
      </w:r>
      <w:r>
        <w:rPr>
          <w:w w:val="102.91200002034506"/>
          <w:rFonts w:ascii="TimesNewRomanPSMT" w:hAnsi="TimesNewRomanPSMT" w:eastAsia="TimesNewRomanPSMT"/>
          <w:b w:val="0"/>
          <w:i w:val="0"/>
          <w:color w:val="000000"/>
          <w:sz w:val="15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, Tomonori Nishimura</w:t>
      </w:r>
      <w:r>
        <w:rPr>
          <w:w w:val="102.91200002034506"/>
          <w:rFonts w:ascii="TimesNewRomanPSMT" w:hAnsi="TimesNewRomanPSMT" w:eastAsia="TimesNewRomanPSMT"/>
          <w:b w:val="0"/>
          <w:i w:val="0"/>
          <w:color w:val="000000"/>
          <w:sz w:val="15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, Shinji Migita</w:t>
      </w:r>
      <w:r>
        <w:rPr>
          <w:w w:val="102.91200002034506"/>
          <w:rFonts w:ascii="TimesNewRomanPSMT" w:hAnsi="TimesNewRomanPSMT" w:eastAsia="TimesNewRomanPSMT"/>
          <w:b w:val="0"/>
          <w:i w:val="0"/>
          <w:color w:val="000000"/>
          <w:sz w:val="15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>, and Akira Toriumi</w:t>
      </w:r>
      <w:r>
        <w:rPr>
          <w:w w:val="102.91200002034506"/>
          <w:rFonts w:ascii="TimesNewRomanPSMT" w:hAnsi="TimesNewRomanPSMT" w:eastAsia="TimesNewRomanPSMT"/>
          <w:b w:val="0"/>
          <w:i w:val="0"/>
          <w:color w:val="000000"/>
          <w:sz w:val="15"/>
        </w:rPr>
        <w:t xml:space="preserve">1 </w:t>
      </w:r>
      <w:r>
        <w:tab/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Univ. of Tokyo, Tokyo, Japan, shibayama@adam.t.u-tokyo.ac.jp </w:t>
      </w:r>
      <w:r>
        <w:br/>
      </w:r>
      <w:r>
        <w:tab/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National Institute of Advanced Industrial Science and Technology, AIST </w:t>
      </w:r>
    </w:p>
    <w:p>
      <w:pPr>
        <w:sectPr>
          <w:pgSz w:w="11906" w:h="16838"/>
          <w:pgMar w:top="440" w:right="688" w:bottom="260" w:left="708" w:header="720" w:footer="720" w:gutter="0"/>
          <w:cols w:space="720" w:num="1" w:equalWidth="0"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432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Abstract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Ferroelectric phase formation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thin films is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discussed by paying attention to the film deposition </w:t>
      </w:r>
    </w:p>
    <w:p>
      <w:pPr>
        <w:sectPr>
          <w:type w:val="continuous"/>
          <w:pgSz w:w="11906" w:h="16838"/>
          <w:pgMar w:top="440" w:right="688" w:bottom="260" w:left="708" w:header="720" w:footer="720" w:gutter="0"/>
          <w:cols w:space="720" w:num="2" w:equalWidth="0"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7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comparing those of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</w:t>
      </w:r>
    </w:p>
    <w:p>
      <w:pPr>
        <w:autoSpaceDN w:val="0"/>
        <w:tabs>
          <w:tab w:pos="600" w:val="left"/>
        </w:tabs>
        <w:autoSpaceDE w:val="0"/>
        <w:widowControl/>
        <w:spacing w:line="247" w:lineRule="auto" w:before="34" w:after="150"/>
        <w:ind w:left="17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Therefore, we have investigated the stabilization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mechanism of FE phase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</w:t>
      </w:r>
    </w:p>
    <w:p>
      <w:pPr>
        <w:sectPr>
          <w:type w:val="nextColumn"/>
          <w:pgSz w:w="11906" w:h="16838"/>
          <w:pgMar w:top="440" w:right="688" w:bottom="260" w:left="708" w:header="720" w:footer="720" w:gutter="0"/>
          <w:cols w:space="720" w:num="2" w:equalWidth="0"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tabs>
          <w:tab w:pos="7112" w:val="left"/>
        </w:tabs>
        <w:autoSpaceDE w:val="0"/>
        <w:widowControl/>
        <w:spacing w:line="242" w:lineRule="auto" w:before="0" w:after="22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process and doping into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by comparing with the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Experiments </w:t>
      </w:r>
    </w:p>
    <w:p>
      <w:pPr>
        <w:sectPr>
          <w:type w:val="continuous"/>
          <w:pgSz w:w="11906" w:h="16838"/>
          <w:pgMar w:top="440" w:right="688" w:bottom="260" w:left="708" w:header="720" w:footer="720" w:gutter="0"/>
          <w:cols w:space="720" w:num="1" w:equalWidth="0"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auto" w:before="0" w:after="0"/>
        <w:ind w:left="566" w:right="2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counterpart. The results are showing a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considerable difference between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terms of the stability against thermal annealing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process. It is inferred that this is likely to be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originated from the activation energy difference 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structural phase transitions from tetragonal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orthorhombic and subsequent orthorhombic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monoclinic phase transitions. </w:t>
      </w:r>
    </w:p>
    <w:p>
      <w:pPr>
        <w:autoSpaceDN w:val="0"/>
        <w:autoSpaceDE w:val="0"/>
        <w:widowControl/>
        <w:spacing w:line="233" w:lineRule="auto" w:before="304" w:after="0"/>
        <w:ind w:left="5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(Keywords: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,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ferroelectric) </w:t>
      </w:r>
    </w:p>
    <w:p>
      <w:pPr>
        <w:autoSpaceDN w:val="0"/>
        <w:autoSpaceDE w:val="0"/>
        <w:widowControl/>
        <w:spacing w:line="262" w:lineRule="auto" w:before="158" w:after="0"/>
        <w:ind w:left="566" w:right="144" w:firstLine="1664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It was recently reported that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ferroelectric (FE)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properties was achieved by forming the non-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centrosymmetric orthorhombic structure, Pca2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[1, 2].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 addition, it was found that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had a universal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kinetic pathway for the phase transition; cubic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)/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tetragonal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SymbolMT" w:hAnsi="SymbolMT" w:eastAsia="SymbolMT"/>
          <w:b w:val="0"/>
          <w:i w:val="0"/>
          <w:color w:val="000000"/>
          <w:sz w:val="21"/>
        </w:rPr>
        <w:t>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orthorhombic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SymbolMT" w:hAnsi="SymbolMT" w:eastAsia="SymbolMT"/>
          <w:b w:val="0"/>
          <w:i w:val="0"/>
          <w:color w:val="000000"/>
          <w:sz w:val="21"/>
        </w:rPr>
        <w:t>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monoclinic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[3]. This phase transition can be controlled by a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deformation factor in the structural phase transition.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On the other hand, Hf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Zr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has often been studied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as a ferroelectric film because of its broad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concentration sensitivity [4]. Moreover, it has been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recently reported that non-doped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also exhibits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FE properties in some conditions, in addition to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fact that it usually indicates anti-ferroelectric (AFE)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properties [5-8]. </w:t>
      </w:r>
    </w:p>
    <w:p>
      <w:pPr>
        <w:autoSpaceDN w:val="0"/>
        <w:autoSpaceDE w:val="0"/>
        <w:widowControl/>
        <w:spacing w:line="262" w:lineRule="auto" w:before="34" w:after="0"/>
        <w:ind w:left="566" w:right="144" w:firstLine="42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 recent theoretical calculation discusses that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AFE hysteresis in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is caused by the electric field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induced phase transition from tetragonal to non-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centrosymmetric orthorhombic phase (Pca2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[5].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Experimentally, it was reported that FE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was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formed by a stress from the substrate [6, 7].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TiN/MgO(001) or Pt  substrates were used for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inducing the stress. Another paper reported ~190-nm-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thick FE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which was formed by the chemical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solution deposition method, by focusing on the piezo-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electric application [8]. </w:t>
      </w:r>
    </w:p>
    <w:p>
      <w:pPr>
        <w:autoSpaceDN w:val="0"/>
        <w:autoSpaceDE w:val="0"/>
        <w:widowControl/>
        <w:spacing w:line="259" w:lineRule="auto" w:before="34" w:after="0"/>
        <w:ind w:left="566" w:right="144" w:firstLine="42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has similar physical properties with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in terms of ionic radii, electron negativity,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crystalline phases. To elucidate those Zr-related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issues, it is needed to understand structural properties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 conjunction with FE properties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by </w:t>
      </w:r>
    </w:p>
    <w:p>
      <w:pPr>
        <w:sectPr>
          <w:type w:val="continuous"/>
          <w:pgSz w:w="11906" w:h="16838"/>
          <w:pgMar w:top="440" w:right="688" w:bottom="260" w:left="708" w:header="720" w:footer="720" w:gutter="0"/>
          <w:cols w:space="720" w:num="2" w:equalWidth="0"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150" w:right="432" w:firstLine="422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-Ge(001) substrate was used as the backside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metal because it was reported that p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-Ge backside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metal gave a good interface properties compared to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other metals [9]. After conventional chemical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cleaning of p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+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-Ge(001) substrate, ~30-nm-thick non-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doped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were deposited by rf-sputtering at several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deposition temperatures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T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depo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). Subsequently,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post-deposition annealing (PDA) at 400–600°C for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30 s in N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ambient was carried out. Finally, Au was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deposited as a top gate. Doped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was deposited by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rf-co-sputtering, also at room temperature (RT).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crystalline structure was characterized by the grazing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angle out-of-plane X-ray diffraction (XRD) method.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Both FE and AFE properties were characterized by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polarization-electrical field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-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measurements at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100 kHz. </w:t>
      </w:r>
    </w:p>
    <w:p>
      <w:pPr>
        <w:autoSpaceDN w:val="0"/>
        <w:tabs>
          <w:tab w:pos="572" w:val="left"/>
          <w:tab w:pos="836" w:val="left"/>
          <w:tab w:pos="1378" w:val="left"/>
        </w:tabs>
        <w:autoSpaceDE w:val="0"/>
        <w:widowControl/>
        <w:spacing w:line="264" w:lineRule="auto" w:before="160" w:after="0"/>
        <w:ind w:left="150" w:right="432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 xml:space="preserve">Results and discussion </w:t>
      </w:r>
      <w:r>
        <w:br/>
      </w:r>
      <w:r>
        <w:tab/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~Stability of tetragonal phase ZrO</w:t>
      </w:r>
      <w:r>
        <w:rPr>
          <w:w w:val="102.79384759756236"/>
          <w:rFonts w:ascii="TimesNewRomanPS" w:hAnsi="TimesNewRomanPS" w:eastAsia="TimesNewRomanPS"/>
          <w:b w:val="0"/>
          <w:i/>
          <w:color w:val="000000"/>
          <w:sz w:val="13"/>
        </w:rPr>
        <w:t>2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 xml:space="preserve">~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First, we focus on the effects of annealing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doping on phase transition from 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/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to 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phase for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films deposited at RT, because they are key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parameters in FE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formation. </w:t>
      </w:r>
      <w:r>
        <w:rPr>
          <w:rFonts w:ascii="TimesNewRomanPS" w:hAnsi="TimesNewRomanPS" w:eastAsia="TimesNewRomanPS"/>
          <w:b/>
          <w:i w:val="0"/>
          <w:color w:val="000000"/>
          <w:sz w:val="21"/>
        </w:rPr>
        <w:t>Figure 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shows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PDA temperature dependence of (a) out-of-plane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XRD patterns and (b) 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-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curves. The crystalline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structures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films annealed at 400–600°C are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all highly symmetric phases with no monoclinic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phase. Here, highly symmetric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phase denotes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phase including cubic, tetragonal and orthorhombic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ones, because they are not distinguishable from each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other. Fig. 1 (b) shows that AFE hysteresis is more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clearly observed by increasing the PDA temperature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from 400 to 600°C. Considering AFE property of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film is achieved in the tetragonal, the results in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Fig. 1(a) show these films are with tetragonal phase.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Furthermore, although high temperature XRD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measurements were carried out, no monoclinic phase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was observed up to 600°C (</w:t>
      </w:r>
      <w:r>
        <w:rPr>
          <w:rFonts w:ascii="TimesNewRomanPS" w:hAnsi="TimesNewRomanPS" w:eastAsia="TimesNewRomanPS"/>
          <w:b w:val="0"/>
          <w:i/>
          <w:color w:val="000000"/>
          <w:sz w:val="21"/>
        </w:rPr>
        <w:t>not shown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). This fact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indicates that the tetragonal phase in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thermally quite stable comparing with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as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expected thermodynamically. </w:t>
      </w:r>
    </w:p>
    <w:p>
      <w:pPr>
        <w:autoSpaceDN w:val="0"/>
        <w:autoSpaceDE w:val="0"/>
        <w:widowControl/>
        <w:spacing w:line="247" w:lineRule="auto" w:before="32" w:after="82"/>
        <w:ind w:left="150" w:right="432" w:firstLine="31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Next the doping effect in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is discussed.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Since we already demonstrated that Nb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000000"/>
          <w:sz w:val="13"/>
        </w:rPr>
        <w:t>5+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doping </w:t>
      </w:r>
    </w:p>
    <w:p>
      <w:pPr>
        <w:sectPr>
          <w:type w:val="nextColumn"/>
          <w:pgSz w:w="11906" w:h="16838"/>
          <w:pgMar w:top="440" w:right="688" w:bottom="260" w:left="708" w:header="720" w:footer="720" w:gutter="0"/>
          <w:cols w:space="720" w:num="2" w:equalWidth="0"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tabs>
          <w:tab w:pos="3698" w:val="left"/>
          <w:tab w:pos="5114" w:val="left"/>
        </w:tabs>
        <w:autoSpaceDE w:val="0"/>
        <w:widowControl/>
        <w:spacing w:line="362" w:lineRule="auto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116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978-1-5386-3712-8/18/$31.00 ©2018 IEEE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2018 IEEE Electron Devices Technology and Manufacturing Conference Proceedings of Technical Papers</w:t>
      </w:r>
    </w:p>
    <w:p>
      <w:pPr>
        <w:sectPr>
          <w:type w:val="continuous"/>
          <w:pgSz w:w="11906" w:h="16838"/>
          <w:pgMar w:top="440" w:right="688" w:bottom="260" w:left="708" w:header="720" w:footer="720" w:gutter="0"/>
          <w:cols w:space="720" w:num="1" w:equalWidth="0"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4932" w:val="left"/>
        </w:tabs>
        <w:autoSpaceDE w:val="0"/>
        <w:widowControl/>
        <w:spacing w:line="233" w:lineRule="auto" w:before="0" w:after="34"/>
        <w:ind w:left="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strongly induced the monoclinic phase in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[3],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temperature. </w:t>
      </w:r>
    </w:p>
    <w:p>
      <w:pPr>
        <w:sectPr>
          <w:pgSz w:w="11906" w:h="16838"/>
          <w:pgMar w:top="704" w:right="688" w:bottom="270" w:left="1226" w:header="720" w:footer="720" w:gutter="0"/>
          <w:cols w:space="720" w:num="1" w:equalWidth="0">
            <w:col w:w="9992" w:space="0"/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0"/>
        <w:ind w:left="4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Nb was also introduced into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</w:t>
      </w:r>
      <w:r>
        <w:rPr>
          <w:rFonts w:ascii="TimesNewRomanPS" w:hAnsi="TimesNewRomanPS" w:eastAsia="TimesNewRomanPS"/>
          <w:b/>
          <w:i w:val="0"/>
          <w:color w:val="221F1F"/>
          <w:sz w:val="21"/>
        </w:rPr>
        <w:t>Figure 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shows (a)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out-of-plane XRD patterns and (b)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P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-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E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curves, of Nb-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doped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Interestingly,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phase is observed,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though very slightly and AFE-hysteresis is broadened,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in only 2.26 at.% Nb doped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A large amount of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Nb doping (9.96 at.%) suppresses the crystallization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This tendency is substantially different from </w:t>
      </w:r>
    </w:p>
    <w:p>
      <w:pPr>
        <w:sectPr>
          <w:type w:val="continuous"/>
          <w:pgSz w:w="11906" w:h="16838"/>
          <w:pgMar w:top="704" w:right="688" w:bottom="270" w:left="1226" w:header="720" w:footer="720" w:gutter="0"/>
          <w:cols w:space="720" w:num="2" w:equalWidth="0">
            <w:col w:w="4781" w:space="0"/>
            <w:col w:w="5210" w:space="0"/>
            <w:col w:w="9992" w:space="0"/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32"/>
        <w:ind w:left="150" w:right="532" w:firstLine="424"/>
        <w:jc w:val="both"/>
      </w:pPr>
      <w:r>
        <w:rPr>
          <w:rFonts w:ascii="TimesNewRomanPS" w:hAnsi="TimesNewRomanPS" w:eastAsia="TimesNewRomanPS"/>
          <w:b/>
          <w:i w:val="0"/>
          <w:color w:val="221F1F"/>
          <w:sz w:val="21"/>
        </w:rPr>
        <w:t>Figure 3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shows the out-of-plane XRD pattern of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films deposited at 300, 400, and 500°C,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respectively. Both results with and without PDA at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600°C for 30 s in N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ambient are shown. By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increasing the deposition temperature, m-phase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formation is clearly observed even for as deposited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samples. In addition, it is found that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h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(111) peak </w:t>
      </w:r>
    </w:p>
    <w:p>
      <w:pPr>
        <w:sectPr>
          <w:type w:val="nextColumn"/>
          <w:pgSz w:w="11906" w:h="16838"/>
          <w:pgMar w:top="704" w:right="688" w:bottom="270" w:left="1226" w:header="720" w:footer="720" w:gutter="0"/>
          <w:cols w:space="720" w:num="2" w:equalWidth="0">
            <w:col w:w="4781" w:space="0"/>
            <w:col w:w="5210" w:space="0"/>
            <w:col w:w="9992" w:space="0"/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tabs>
          <w:tab w:pos="4932" w:val="left"/>
        </w:tabs>
        <w:autoSpaceDE w:val="0"/>
        <w:widowControl/>
        <w:spacing w:line="233" w:lineRule="auto" w:before="0" w:after="34"/>
        <w:ind w:left="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that in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position shifts toward the lower 2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θ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direction </w:t>
      </w:r>
    </w:p>
    <w:p>
      <w:pPr>
        <w:sectPr>
          <w:type w:val="continuous"/>
          <w:pgSz w:w="11906" w:h="16838"/>
          <w:pgMar w:top="704" w:right="688" w:bottom="270" w:left="1226" w:header="720" w:footer="720" w:gutter="0"/>
          <w:cols w:space="720" w:num="1" w:equalWidth="0">
            <w:col w:w="9992" w:space="0"/>
            <w:col w:w="4781" w:space="0"/>
            <w:col w:w="5210" w:space="0"/>
            <w:col w:w="9992" w:space="0"/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48" w:right="206" w:firstLine="42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Neither PDA nor doping is effective to cause the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phase transition from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to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phase in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This fact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indicates that the activation energy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from 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 to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m phase (</w:t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>E</w:t>
      </w:r>
      <w:r>
        <w:rPr>
          <w:w w:val="102.79384759756236"/>
          <w:rFonts w:ascii="TimesNewRomanPS" w:hAnsi="TimesNewRomanPS" w:eastAsia="TimesNewRomanPS"/>
          <w:b w:val="0"/>
          <w:i/>
          <w:color w:val="221F1F"/>
          <w:sz w:val="13"/>
        </w:rPr>
        <w:t>t</w:t>
      </w:r>
      <w:r>
        <w:rPr>
          <w:w w:val="102.79384759756236"/>
          <w:rFonts w:ascii="SymbolMT" w:hAnsi="SymbolMT" w:eastAsia="SymbolMT"/>
          <w:b w:val="0"/>
          <w:i w:val="0"/>
          <w:color w:val="221F1F"/>
          <w:sz w:val="13"/>
        </w:rPr>
        <w:t></w:t>
      </w:r>
      <w:r>
        <w:rPr>
          <w:w w:val="102.79384759756236"/>
          <w:rFonts w:ascii="TimesNewRomanPS" w:hAnsi="TimesNewRomanPS" w:eastAsia="TimesNewRomanPS"/>
          <w:b w:val="0"/>
          <w:i/>
          <w:color w:val="221F1F"/>
          <w:sz w:val="13"/>
        </w:rPr>
        <w:t>m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) is much larger than that of HfO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</w:t>
      </w:r>
    </w:p>
    <w:p>
      <w:pPr>
        <w:autoSpaceDN w:val="0"/>
        <w:tabs>
          <w:tab w:pos="470" w:val="left"/>
          <w:tab w:pos="508" w:val="left"/>
        </w:tabs>
        <w:autoSpaceDE w:val="0"/>
        <w:widowControl/>
        <w:spacing w:line="262" w:lineRule="auto" w:before="300" w:after="284"/>
        <w:ind w:left="48" w:right="144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1"/>
        </w:rPr>
        <w:t xml:space="preserve">~Ferroelectric orthorhombic nucleation ~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The sputtering deposition at a low temperature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generally leads to a non-equilibrium phase, which is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the tetragonal phase in the case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. According to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>a phase diagram of ZrO</w:t>
      </w:r>
      <w:r>
        <w:rPr>
          <w:w w:val="102.79384759756236"/>
          <w:rFonts w:ascii="TimesNewRomanPSMT" w:hAnsi="TimesNewRomanPSMT" w:eastAsia="TimesNewRomanPSMT"/>
          <w:b w:val="0"/>
          <w:i w:val="0"/>
          <w:color w:val="221F1F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, the monoclinic phase is a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most stable one at room temperature and atmospheric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pressure. Since a higher temperature deposition may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enable to achieve an equilibrium one, the m-phase </w:t>
      </w:r>
      <w:r>
        <w:rPr>
          <w:rFonts w:ascii="TimesNewRomanPSMT" w:hAnsi="TimesNewRomanPSMT" w:eastAsia="TimesNewRomanPSMT"/>
          <w:b w:val="0"/>
          <w:i w:val="0"/>
          <w:color w:val="221F1F"/>
          <w:sz w:val="21"/>
        </w:rPr>
        <w:t xml:space="preserve">formation is expected by the sputtering at a high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  <w:gridCol w:w="714"/>
      </w:tblGrid>
      <w:tr>
        <w:trPr>
          <w:trHeight w:hRule="exact" w:val="254"/>
        </w:trPr>
        <w:tc>
          <w:tcPr>
            <w:tcW w:type="dxa" w:w="334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7"/>
              </w:rPr>
              <w:t>Intensity (arb. unit)</w:t>
            </w:r>
          </w:p>
        </w:tc>
        <w:tc>
          <w:tcPr>
            <w:tcW w:type="dxa" w:w="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2" w:after="0"/>
              <w:ind w:left="0" w:right="0" w:firstLine="0"/>
              <w:jc w:val="center"/>
            </w:pPr>
            <w:r>
              <w:rPr>
                <w:w w:val="97.49414126078287"/>
                <w:rFonts w:ascii="Arial" w:hAnsi="Arial" w:eastAsia="Arial"/>
                <w:b/>
                <w:i w:val="0"/>
                <w:color w:val="221F1F"/>
                <w:sz w:val="12"/>
              </w:rPr>
              <w:t>PDA temperature</w:t>
            </w:r>
          </w:p>
        </w:tc>
        <w:tc>
          <w:tcPr>
            <w:tcW w:type="dxa" w:w="1198"/>
            <w:gridSpan w:val="4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980" w:after="0"/>
              <w:ind w:left="0" w:right="0" w:firstLine="0"/>
              <w:jc w:val="left"/>
            </w:pPr>
            <w:r>
              <w:rPr>
                <w:w w:val="98.37297439575195"/>
                <w:rFonts w:ascii="ArialMT" w:hAnsi="ArialMT" w:eastAsia="ArialMT"/>
                <w:b w:val="0"/>
                <w:i w:val="0"/>
                <w:color w:val="221F1F"/>
                <w:sz w:val="10"/>
              </w:rPr>
              <w:t>2</w:t>
            </w:r>
            <w:r>
              <w:rPr>
                <w:w w:val="102.5499701499939"/>
                <w:rFonts w:ascii="ArialMT" w:hAnsi="ArialMT" w:eastAsia="ArialMT"/>
                <w:b w:val="0"/>
                <w:i w:val="0"/>
                <w:color w:val="221F1F"/>
                <w:sz w:val="16"/>
              </w:rPr>
              <w:t>)</w:t>
            </w:r>
          </w:p>
        </w:tc>
        <w:tc>
          <w:tcPr>
            <w:tcW w:type="dxa" w:w="254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0" w:firstLine="0"/>
              <w:jc w:val="center"/>
            </w:pPr>
            <w:r>
              <w:rPr>
                <w:w w:val="98.81809949874878"/>
                <w:rFonts w:ascii="ArialMT" w:hAnsi="ArialMT" w:eastAsia="ArialMT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1968"/>
            <w:gridSpan w:val="5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  <w:gridCol w:w="123"/>
            </w:tblGrid>
            <w:tr>
              <w:trPr>
                <w:trHeight w:hRule="exact" w:val="56"/>
              </w:trPr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  <w:tc>
                <w:tcPr>
                  <w:tcW w:type="dxa" w:w="123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  <w:bottom w:sz="17.583999633789062" w:val="single" w:color="#221F1F"/>
                  </w:tcBorders>
                </w:tcPr>
                <w:p/>
              </w:tc>
            </w:tr>
          </w:tbl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2142"/>
            <w:gridSpan w:val="3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  <w:vMerge/>
            <w:tcBorders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2142"/>
            <w:gridSpan w:val="3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  <w:vMerge/>
            <w:tcBorders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3570"/>
            <w:gridSpan w:val="5"/>
            <w:vMerge/>
            <w:tcBorders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</w:tr>
      <w:tr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  <w:tc>
          <w:tcPr>
            <w:tcW w:type="dxa" w:w="714"/>
          </w:tcPr>
          <w:p/>
        </w:tc>
      </w:tr>
    </w:tbl>
    <w:p>
      <w:pPr>
        <w:sectPr>
          <w:type w:val="continuous"/>
          <w:pgSz w:w="11906" w:h="16838"/>
          <w:pgMar w:top="704" w:right="688" w:bottom="270" w:left="1226" w:header="720" w:footer="720" w:gutter="0"/>
          <w:cols w:space="720" w:num="2" w:equalWidth="0">
            <w:col w:w="4781" w:space="0"/>
            <w:col w:w="5210" w:space="0"/>
            <w:col w:w="9992" w:space="0"/>
            <w:col w:w="4781" w:space="0"/>
            <w:col w:w="5210" w:space="0"/>
            <w:col w:w="9992" w:space="0"/>
            <w:col w:w="10510" w:space="0"/>
            <w:col w:w="5300" w:space="0"/>
            <w:col w:w="5210" w:space="0"/>
            <w:col w:w="10510" w:space="0"/>
            <w:col w:w="5272" w:space="0"/>
            <w:col w:w="5238" w:space="0"/>
            <w:col w:w="1051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>
        <w:trPr>
          <w:trHeight w:hRule="exact" w:val="268"/>
        </w:trPr>
        <w:tc>
          <w:tcPr>
            <w:tcW w:type="dxa" w:w="324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44" w:right="0" w:firstLine="0"/>
              <w:jc w:val="left"/>
            </w:pPr>
            <w:r>
              <w:rPr>
                <w:w w:val="98.93899917602539"/>
                <w:rFonts w:ascii="Arial" w:hAnsi="Arial" w:eastAsia="Arial"/>
                <w:b w:val="0"/>
                <w:i/>
                <w:color w:val="221F1F"/>
                <w:sz w:val="20"/>
              </w:rPr>
              <w:t>m</w:t>
            </w:r>
            <w:r>
              <w:rPr>
                <w:w w:val="98.93899917602539"/>
                <w:rFonts w:ascii="ArialMT" w:hAnsi="ArialMT" w:eastAsia="ArialMT"/>
                <w:b w:val="0"/>
                <w:i w:val="0"/>
                <w:color w:val="221F1F"/>
                <w:sz w:val="20"/>
              </w:rPr>
              <w:t>(11-1)</w:t>
            </w:r>
            <w:r>
              <w:rPr>
                <w:w w:val="98.93899917602539"/>
                <w:rFonts w:ascii="Arial" w:hAnsi="Arial" w:eastAsia="Arial"/>
                <w:b w:val="0"/>
                <w:i/>
                <w:color w:val="221F1F"/>
                <w:sz w:val="20"/>
              </w:rPr>
              <w:t xml:space="preserve"> h(111)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62" w:lineRule="auto" w:before="10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2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3" w:lineRule="auto" w:before="1496" w:after="0"/>
              <w:ind w:left="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-10</w:t>
            </w:r>
          </w:p>
          <w:p>
            <w:pPr>
              <w:autoSpaceDN w:val="0"/>
              <w:autoSpaceDE w:val="0"/>
              <w:widowControl/>
              <w:spacing w:line="718" w:lineRule="auto" w:before="0" w:after="0"/>
              <w:ind w:left="210" w:right="2304" w:hanging="176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 xml:space="preserve">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21F1F"/>
                <w:sz w:val="20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3.9999999999998" w:type="dxa"/>
            </w:tblPr>
            <w:tblGrid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  <w:gridCol w:w="171"/>
            </w:tblGrid>
            <w:tr>
              <w:trPr>
                <w:trHeight w:hRule="exact" w:val="114"/>
              </w:trPr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</w:tr>
            <w:tr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  <w:tc>
                <w:tcPr>
                  <w:tcW w:type="dxa" w:w="171"/>
                  <w:tcBorders>
                    <w:start w:sz="17.583999633789062" w:val="single" w:color="#221F1F"/>
                    <w:top w:sz="17.583999633789062" w:val="single" w:color="#221F1F"/>
                    <w:end w:sz="17.583999633789062" w:val="single" w:color="#221F1F"/>
                  </w:tcBorders>
                </w:tcPr>
                <w:p/>
              </w:tc>
            </w:tr>
          </w:tbl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4403"/>
            <w:gridSpan w:val="7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  <w:vMerge/>
            <w:tcBorders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  <w:tr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  <w:tc>
          <w:tcPr>
            <w:tcW w:type="dxa" w:w="629"/>
          </w:tcPr>
          <w:p/>
        </w:tc>
      </w:tr>
    </w:tbl>
    <w:sectPr w:rsidR="00FC693F" w:rsidRPr="0006063C" w:rsidSect="00034616">
      <w:pgSz w:w="11906" w:h="16838"/>
      <w:pgMar w:top="850" w:right="1202" w:bottom="472" w:left="1274" w:header="720" w:footer="720" w:gutter="0"/>
      <w:cols w:space="720" w:num="1" w:equalWidth="0">
        <w:col w:w="9430" w:space="0"/>
        <w:col w:w="4781" w:space="0"/>
        <w:col w:w="5210" w:space="0"/>
        <w:col w:w="9992" w:space="0"/>
        <w:col w:w="4781" w:space="0"/>
        <w:col w:w="5210" w:space="0"/>
        <w:col w:w="9992" w:space="0"/>
        <w:col w:w="10510" w:space="0"/>
        <w:col w:w="5300" w:space="0"/>
        <w:col w:w="5210" w:space="0"/>
        <w:col w:w="10510" w:space="0"/>
        <w:col w:w="5272" w:space="0"/>
        <w:col w:w="5238" w:space="0"/>
        <w:col w:w="105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