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995"/>
        <w:gridCol w:w="2995"/>
        <w:gridCol w:w="2995"/>
        <w:gridCol w:w="2995"/>
      </w:tblGrid>
      <w:tr>
        <w:trPr>
          <w:trHeight w:hRule="exact" w:val="3512"/>
        </w:trPr>
        <w:tc>
          <w:tcPr>
            <w:tcW w:type="dxa" w:w="2390"/>
            <w:tcBorders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371600" cy="104140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0414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9572"/>
            <w:gridSpan w:val="3"/>
            <w:tcBorders>
              <w:bottom w:sz="8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16" w:lineRule="exact" w:before="1224" w:after="0"/>
              <w:ind w:left="10" w:right="432" w:firstLine="0"/>
              <w:jc w:val="left"/>
            </w:pPr>
            <w:r>
              <w:rPr>
                <w:rFonts w:ascii="Montserrat" w:hAnsi="Montserrat" w:eastAsia="Montserrat"/>
                <w:b/>
                <w:i w:val="0"/>
                <w:color w:val="000000"/>
                <w:sz w:val="40"/>
              </w:rPr>
              <w:t xml:space="preserve">Identification of the ferroelectric switching </w:t>
            </w:r>
            <w:r>
              <w:rPr>
                <w:rFonts w:ascii="Montserrat" w:hAnsi="Montserrat" w:eastAsia="Montserrat"/>
                <w:b/>
                <w:i w:val="0"/>
                <w:color w:val="000000"/>
                <w:sz w:val="40"/>
              </w:rPr>
              <w:t xml:space="preserve">process and dopant-dependent switching </w:t>
            </w:r>
            <w:r>
              <w:rPr>
                <w:rFonts w:ascii="Montserrat" w:hAnsi="Montserrat" w:eastAsia="Montserrat"/>
                <w:b/>
                <w:i w:val="0"/>
                <w:color w:val="000000"/>
                <w:sz w:val="40"/>
              </w:rPr>
              <w:t xml:space="preserve">properties in orthorhombic HfO2: A first </w:t>
            </w:r>
            <w:r>
              <w:rPr>
                <w:rFonts w:ascii="Montserrat" w:hAnsi="Montserrat" w:eastAsia="Montserrat"/>
                <w:b/>
                <w:i w:val="0"/>
                <w:color w:val="000000"/>
                <w:sz w:val="40"/>
              </w:rPr>
              <w:t>principles insight</w:t>
            </w:r>
          </w:p>
        </w:tc>
      </w:tr>
      <w:tr>
        <w:trPr>
          <w:trHeight w:hRule="exact" w:val="740"/>
        </w:trPr>
        <w:tc>
          <w:tcPr>
            <w:tcW w:type="dxa" w:w="2390"/>
            <w:tcBorders>
              <w:top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371600" cy="104140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0414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9572"/>
            <w:gridSpan w:val="3"/>
            <w:tcBorders>
              <w:top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130" w:after="0"/>
              <w:ind w:left="10" w:right="1008" w:firstLine="0"/>
              <w:jc w:val="left"/>
            </w:pPr>
            <w:r>
              <w:rPr>
                <w:rFonts w:ascii="Montserrat" w:hAnsi="Montserrat" w:eastAsia="Montserrat"/>
                <w:b w:val="0"/>
                <w:i w:val="0"/>
                <w:color w:val="000000"/>
                <w:sz w:val="18"/>
              </w:rPr>
              <w:t xml:space="preserve">Cite as: Appl. Phys. Lett. </w:t>
            </w:r>
            <w:r>
              <w:rPr>
                <w:rFonts w:ascii="Montserrat" w:hAnsi="Montserrat" w:eastAsia="Montserrat"/>
                <w:b/>
                <w:i w:val="0"/>
                <w:color w:val="000000"/>
                <w:sz w:val="18"/>
              </w:rPr>
              <w:t>104</w:t>
            </w:r>
            <w:r>
              <w:rPr>
                <w:rFonts w:ascii="Montserrat" w:hAnsi="Montserrat" w:eastAsia="Montserrat"/>
                <w:b w:val="0"/>
                <w:i w:val="0"/>
                <w:color w:val="000000"/>
                <w:sz w:val="18"/>
              </w:rPr>
              <w:t xml:space="preserve">, 092906 (2014); </w:t>
            </w:r>
            <w:r>
              <w:rPr>
                <w:rFonts w:ascii="Montserrat" w:hAnsi="Montserrat" w:eastAsia="Montserrat"/>
                <w:b w:val="0"/>
                <w:i w:val="0"/>
                <w:color w:val="00AEEF"/>
                <w:sz w:val="18"/>
              </w:rPr>
              <w:hyperlink r:id="rId10" w:history="1">
                <w:r>
                  <w:rPr>
                    <w:rStyle w:val="Hyperlink"/>
                  </w:rPr>
                  <w:t xml:space="preserve">https://doi.org/10.1063/1.4867975 </w:t>
                </w:r>
              </w:hyperlink>
            </w:r>
            <w:r>
              <w:br/>
            </w:r>
            <w:r>
              <w:rPr>
                <w:rFonts w:ascii="Montserrat" w:hAnsi="Montserrat" w:eastAsia="Montserrat"/>
                <w:b w:val="0"/>
                <w:i w:val="0"/>
                <w:color w:val="000000"/>
                <w:sz w:val="18"/>
              </w:rPr>
              <w:t>Submitted: 20 December 2013 . Accepted: 21 February 2014 . Published Online: 05 March 2014</w:t>
            </w:r>
          </w:p>
        </w:tc>
      </w:tr>
      <w:tr>
        <w:trPr>
          <w:trHeight w:hRule="exact" w:val="424"/>
        </w:trPr>
        <w:tc>
          <w:tcPr>
            <w:tcW w:type="dxa" w:w="2390"/>
            <w:tcBorders>
              <w:top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371600" cy="104140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0414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9572"/>
            <w:gridSpan w:val="3"/>
            <w:tcBorders>
              <w:top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66" w:after="0"/>
              <w:ind w:left="10" w:right="0" w:firstLine="0"/>
              <w:jc w:val="left"/>
            </w:pPr>
            <w:r>
              <w:rPr>
                <w:rFonts w:ascii="Montserrat" w:hAnsi="Montserrat" w:eastAsia="Montserrat"/>
                <w:b w:val="0"/>
                <w:i w:val="0"/>
                <w:color w:val="000000"/>
                <w:sz w:val="18"/>
              </w:rPr>
              <w:hyperlink r:id="rId11" w:history="1">
                <w:r>
                  <w:rPr>
                    <w:rStyle w:val="Hyperlink"/>
                  </w:rPr>
                  <w:t>S. Clima</w:t>
                </w:r>
              </w:hyperlink>
            </w:r>
            <w:r>
              <w:rPr>
                <w:rFonts w:ascii="Montserrat" w:hAnsi="Montserrat" w:eastAsia="Montserrat"/>
                <w:b w:val="0"/>
                <w:i w:val="0"/>
                <w:color w:val="000000"/>
                <w:sz w:val="18"/>
              </w:rPr>
              <w:t xml:space="preserve">, </w:t>
            </w:r>
            <w:r>
              <w:rPr>
                <w:rFonts w:ascii="Montserrat" w:hAnsi="Montserrat" w:eastAsia="Montserrat"/>
                <w:b w:val="0"/>
                <w:i w:val="0"/>
                <w:color w:val="000000"/>
                <w:sz w:val="18"/>
              </w:rPr>
              <w:hyperlink r:id="rId12" w:history="1">
                <w:r>
                  <w:rPr>
                    <w:rStyle w:val="Hyperlink"/>
                  </w:rPr>
                  <w:t>D. J. Wouters</w:t>
                </w:r>
              </w:hyperlink>
            </w:r>
            <w:r>
              <w:rPr>
                <w:rFonts w:ascii="Montserrat" w:hAnsi="Montserrat" w:eastAsia="Montserrat"/>
                <w:b w:val="0"/>
                <w:i w:val="0"/>
                <w:color w:val="000000"/>
                <w:sz w:val="18"/>
              </w:rPr>
              <w:t xml:space="preserve">, </w:t>
            </w:r>
            <w:r>
              <w:rPr>
                <w:rFonts w:ascii="Montserrat" w:hAnsi="Montserrat" w:eastAsia="Montserrat"/>
                <w:b w:val="0"/>
                <w:i w:val="0"/>
                <w:color w:val="000000"/>
                <w:sz w:val="18"/>
              </w:rPr>
              <w:hyperlink r:id="rId13" w:history="1">
                <w:r>
                  <w:rPr>
                    <w:rStyle w:val="Hyperlink"/>
                  </w:rPr>
                  <w:t>C. Adelmann</w:t>
                </w:r>
              </w:hyperlink>
            </w:r>
            <w:r>
              <w:rPr>
                <w:rFonts w:ascii="Montserrat" w:hAnsi="Montserrat" w:eastAsia="Montserrat"/>
                <w:b w:val="0"/>
                <w:i w:val="0"/>
                <w:color w:val="000000"/>
                <w:sz w:val="18"/>
              </w:rPr>
              <w:t xml:space="preserve">, </w:t>
            </w:r>
            <w:r>
              <w:rPr>
                <w:rFonts w:ascii="Montserrat" w:hAnsi="Montserrat" w:eastAsia="Montserrat"/>
                <w:b w:val="0"/>
                <w:i w:val="0"/>
                <w:color w:val="000000"/>
                <w:sz w:val="18"/>
              </w:rPr>
              <w:hyperlink r:id="rId14" w:history="1">
                <w:r>
                  <w:rPr>
                    <w:rStyle w:val="Hyperlink"/>
                  </w:rPr>
                  <w:t>T. Schenk</w:t>
                </w:r>
              </w:hyperlink>
            </w:r>
            <w:r>
              <w:rPr>
                <w:rFonts w:ascii="Montserrat" w:hAnsi="Montserrat" w:eastAsia="Montserrat"/>
                <w:b w:val="0"/>
                <w:i w:val="0"/>
                <w:color w:val="000000"/>
                <w:sz w:val="18"/>
              </w:rPr>
              <w:t xml:space="preserve">, </w:t>
            </w:r>
            <w:r>
              <w:rPr>
                <w:rFonts w:ascii="Montserrat" w:hAnsi="Montserrat" w:eastAsia="Montserrat"/>
                <w:b w:val="0"/>
                <w:i w:val="0"/>
                <w:color w:val="000000"/>
                <w:sz w:val="18"/>
              </w:rPr>
              <w:hyperlink r:id="rId15" w:history="1">
                <w:r>
                  <w:rPr>
                    <w:rStyle w:val="Hyperlink"/>
                  </w:rPr>
                  <w:t>U. Schroeder</w:t>
                </w:r>
              </w:hyperlink>
            </w:r>
            <w:r>
              <w:rPr>
                <w:rFonts w:ascii="Montserrat" w:hAnsi="Montserrat" w:eastAsia="Montserrat"/>
                <w:b w:val="0"/>
                <w:i w:val="0"/>
                <w:color w:val="000000"/>
                <w:sz w:val="18"/>
              </w:rPr>
              <w:t xml:space="preserve">, </w:t>
            </w:r>
            <w:r>
              <w:rPr>
                <w:rFonts w:ascii="Montserrat" w:hAnsi="Montserrat" w:eastAsia="Montserrat"/>
                <w:b w:val="0"/>
                <w:i w:val="0"/>
                <w:color w:val="000000"/>
                <w:sz w:val="18"/>
              </w:rPr>
              <w:hyperlink r:id="rId16" w:history="1">
                <w:r>
                  <w:rPr>
                    <w:rStyle w:val="Hyperlink"/>
                  </w:rPr>
                  <w:t>M. Jurczak</w:t>
                </w:r>
              </w:hyperlink>
            </w:r>
            <w:r>
              <w:rPr>
                <w:rFonts w:ascii="Montserrat" w:hAnsi="Montserrat" w:eastAsia="Montserrat"/>
                <w:b w:val="0"/>
                <w:i w:val="0"/>
                <w:color w:val="000000"/>
                <w:sz w:val="18"/>
              </w:rPr>
              <w:t xml:space="preserve">, and </w:t>
            </w:r>
            <w:r>
              <w:rPr>
                <w:rFonts w:ascii="Montserrat" w:hAnsi="Montserrat" w:eastAsia="Montserrat"/>
                <w:b w:val="0"/>
                <w:i w:val="0"/>
                <w:color w:val="000000"/>
                <w:sz w:val="18"/>
              </w:rPr>
              <w:hyperlink r:id="rId17" w:history="1">
                <w:r>
                  <w:rPr>
                    <w:rStyle w:val="Hyperlink"/>
                  </w:rPr>
                  <w:t>G. Pourtois</w:t>
                </w:r>
              </w:hyperlink>
            </w:r>
          </w:p>
        </w:tc>
      </w:tr>
      <w:tr>
        <w:trPr>
          <w:trHeight w:hRule="exact" w:val="1234"/>
        </w:trPr>
        <w:tc>
          <w:tcPr>
            <w:tcW w:type="dxa" w:w="2390"/>
            <w:tcBorders>
              <w:top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371600" cy="104140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0414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510"/>
            <w:tcBorders>
              <w:top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62" w:after="0"/>
              <w:ind w:left="0" w:right="188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444500" cy="4445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500" cy="444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200"/>
            <w:tcBorders>
              <w:top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62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444500" cy="4445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500" cy="444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862"/>
            <w:tcBorders>
              <w:top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8" w:after="0"/>
              <w:ind w:left="11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469900" cy="466089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00" cy="46608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8828"/>
        </w:trPr>
        <w:tc>
          <w:tcPr>
            <w:tcW w:type="dxa" w:w="2390"/>
            <w:vMerge w:val="restart"/>
            <w:tcBorders>
              <w:top w:sz="8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371600" cy="104140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0414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9572"/>
            <w:gridSpan w:val="3"/>
            <w:tcBorders>
              <w:top w:sz="8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194" w:after="0"/>
              <w:ind w:left="10" w:right="0" w:firstLine="0"/>
              <w:jc w:val="left"/>
            </w:pPr>
            <w:r>
              <w:rPr>
                <w:rFonts w:ascii="Montserrat" w:hAnsi="Montserrat" w:eastAsia="Montserrat"/>
                <w:b/>
                <w:i w:val="0"/>
                <w:color w:val="000000"/>
                <w:sz w:val="20"/>
              </w:rPr>
              <w:t>ARTICLES YOU MAY BE INTERESTED IN</w:t>
            </w:r>
          </w:p>
          <w:p>
            <w:pPr>
              <w:autoSpaceDN w:val="0"/>
              <w:autoSpaceDE w:val="0"/>
              <w:widowControl/>
              <w:spacing w:line="290" w:lineRule="exact" w:before="230" w:after="0"/>
              <w:ind w:left="10" w:right="1872" w:firstLine="0"/>
              <w:jc w:val="left"/>
            </w:pPr>
            <w:r>
              <w:rPr>
                <w:rFonts w:ascii="Montserrat" w:hAnsi="Montserrat" w:eastAsia="Montserrat"/>
                <w:b w:val="0"/>
                <w:i w:val="0"/>
                <w:color w:val="00AEEF"/>
                <w:sz w:val="20"/>
              </w:rPr>
              <w:hyperlink r:id="rId21" w:history="1">
                <w:r>
                  <w:rPr>
                    <w:rStyle w:val="Hyperlink"/>
                  </w:rPr>
                  <w:t xml:space="preserve">Ferroelectricity in hafnium oxide thin films </w:t>
                </w:r>
              </w:hyperlink>
            </w:r>
            <w:r>
              <w:br/>
            </w:r>
            <w:r>
              <w:rPr>
                <w:rFonts w:ascii="Montserrat" w:hAnsi="Montserrat" w:eastAsia="Montserrat"/>
                <w:b w:val="0"/>
                <w:i w:val="0"/>
                <w:color w:val="000000"/>
                <w:sz w:val="20"/>
              </w:rPr>
              <w:t xml:space="preserve">Applied Physics Letters </w:t>
            </w:r>
            <w:r>
              <w:rPr>
                <w:rFonts w:ascii="Montserrat" w:hAnsi="Montserrat" w:eastAsia="Montserrat"/>
                <w:b/>
                <w:i w:val="0"/>
                <w:color w:val="000000"/>
                <w:sz w:val="20"/>
              </w:rPr>
              <w:t>99</w:t>
            </w:r>
            <w:r>
              <w:rPr>
                <w:rFonts w:ascii="Montserrat" w:hAnsi="Montserrat" w:eastAsia="Montserrat"/>
                <w:b w:val="0"/>
                <w:i w:val="0"/>
                <w:color w:val="000000"/>
                <w:sz w:val="20"/>
              </w:rPr>
              <w:t xml:space="preserve">, 102903 (2011); </w:t>
            </w:r>
            <w:r>
              <w:rPr>
                <w:rFonts w:ascii="Montserrat" w:hAnsi="Montserrat" w:eastAsia="Montserrat"/>
                <w:b w:val="0"/>
                <w:i w:val="0"/>
                <w:color w:val="00AEEF"/>
                <w:sz w:val="20"/>
              </w:rPr>
              <w:hyperlink r:id="rId22" w:history="1">
                <w:r>
                  <w:rPr>
                    <w:rStyle w:val="Hyperlink"/>
                  </w:rPr>
                  <w:t>https://doi.org/10.1063/1.3634052</w:t>
                </w:r>
              </w:hyperlink>
            </w:r>
          </w:p>
          <w:p>
            <w:pPr>
              <w:autoSpaceDN w:val="0"/>
              <w:autoSpaceDE w:val="0"/>
              <w:widowControl/>
              <w:spacing w:line="290" w:lineRule="exact" w:before="210" w:after="0"/>
              <w:ind w:left="10" w:right="1440" w:firstLine="0"/>
              <w:jc w:val="left"/>
            </w:pPr>
            <w:r>
              <w:rPr>
                <w:rFonts w:ascii="Montserrat" w:hAnsi="Montserrat" w:eastAsia="Montserrat"/>
                <w:b w:val="0"/>
                <w:i w:val="0"/>
                <w:color w:val="00AEEF"/>
                <w:sz w:val="20"/>
              </w:rPr>
              <w:hyperlink r:id="rId23" w:history="1">
                <w:r>
                  <w:rPr>
                    <w:rStyle w:val="Hyperlink"/>
                  </w:rPr>
                  <w:t xml:space="preserve">Stabilizing the ferroelectric phase in doped hafnium oxide </w:t>
                </w:r>
              </w:hyperlink>
            </w:r>
            <w:r>
              <w:br/>
            </w:r>
            <w:r>
              <w:rPr>
                <w:rFonts w:ascii="Montserrat" w:hAnsi="Montserrat" w:eastAsia="Montserrat"/>
                <w:b w:val="0"/>
                <w:i w:val="0"/>
                <w:color w:val="000000"/>
                <w:sz w:val="20"/>
              </w:rPr>
              <w:t xml:space="preserve">Journal of Applied Physics </w:t>
            </w:r>
            <w:r>
              <w:rPr>
                <w:rFonts w:ascii="Montserrat" w:hAnsi="Montserrat" w:eastAsia="Montserrat"/>
                <w:b/>
                <w:i w:val="0"/>
                <w:color w:val="000000"/>
                <w:sz w:val="20"/>
              </w:rPr>
              <w:t>118</w:t>
            </w:r>
            <w:r>
              <w:rPr>
                <w:rFonts w:ascii="Montserrat" w:hAnsi="Montserrat" w:eastAsia="Montserrat"/>
                <w:b w:val="0"/>
                <w:i w:val="0"/>
                <w:color w:val="000000"/>
                <w:sz w:val="20"/>
              </w:rPr>
              <w:t xml:space="preserve">, 072006 (2015); </w:t>
            </w:r>
            <w:r>
              <w:rPr>
                <w:rFonts w:ascii="Montserrat" w:hAnsi="Montserrat" w:eastAsia="Montserrat"/>
                <w:b w:val="0"/>
                <w:i w:val="0"/>
                <w:color w:val="00AEEF"/>
                <w:sz w:val="20"/>
              </w:rPr>
              <w:hyperlink r:id="rId24" w:history="1">
                <w:r>
                  <w:rPr>
                    <w:rStyle w:val="Hyperlink"/>
                  </w:rPr>
                  <w:t>https://doi.org/10.1063/1.4927805</w:t>
                </w:r>
              </w:hyperlink>
            </w:r>
          </w:p>
          <w:p>
            <w:pPr>
              <w:autoSpaceDN w:val="0"/>
              <w:autoSpaceDE w:val="0"/>
              <w:widowControl/>
              <w:spacing w:line="276" w:lineRule="exact" w:before="278" w:after="0"/>
              <w:ind w:left="10" w:right="720" w:firstLine="0"/>
              <w:jc w:val="left"/>
            </w:pPr>
            <w:r>
              <w:rPr>
                <w:rFonts w:ascii="Montserrat" w:hAnsi="Montserrat" w:eastAsia="Montserrat"/>
                <w:b w:val="0"/>
                <w:i w:val="0"/>
                <w:color w:val="00AEEF"/>
                <w:sz w:val="20"/>
              </w:rPr>
              <w:hyperlink r:id="rId25" w:history="1">
                <w:r>
                  <w:rPr>
                    <w:rStyle w:val="Hyperlink"/>
                  </w:rPr>
                  <w:t xml:space="preserve">The origin of ferroelectricity in Hf1−xZrxO2: A computational investigation and a surface </w:t>
                </w:r>
              </w:hyperlink>
            </w:r>
            <w:r>
              <w:rPr>
                <w:rFonts w:ascii="Montserrat" w:hAnsi="Montserrat" w:eastAsia="Montserrat"/>
                <w:b w:val="0"/>
                <w:i w:val="0"/>
                <w:color w:val="00AEEF"/>
                <w:sz w:val="20"/>
              </w:rPr>
              <w:hyperlink r:id="rId25" w:history="1">
                <w:r>
                  <w:rPr>
                    <w:rStyle w:val="Hyperlink"/>
                  </w:rPr>
                  <w:t xml:space="preserve">energy model </w:t>
                </w:r>
              </w:hyperlink>
            </w:r>
            <w:r>
              <w:br/>
            </w:r>
            <w:r>
              <w:rPr>
                <w:rFonts w:ascii="Montserrat" w:hAnsi="Montserrat" w:eastAsia="Montserrat"/>
                <w:b w:val="0"/>
                <w:i w:val="0"/>
                <w:color w:val="000000"/>
                <w:sz w:val="20"/>
              </w:rPr>
              <w:t xml:space="preserve">Journal of Applied Physics </w:t>
            </w:r>
            <w:r>
              <w:rPr>
                <w:rFonts w:ascii="Montserrat" w:hAnsi="Montserrat" w:eastAsia="Montserrat"/>
                <w:b/>
                <w:i w:val="0"/>
                <w:color w:val="000000"/>
                <w:sz w:val="20"/>
              </w:rPr>
              <w:t>117</w:t>
            </w:r>
            <w:r>
              <w:rPr>
                <w:rFonts w:ascii="Montserrat" w:hAnsi="Montserrat" w:eastAsia="Montserrat"/>
                <w:b w:val="0"/>
                <w:i w:val="0"/>
                <w:color w:val="000000"/>
                <w:sz w:val="20"/>
              </w:rPr>
              <w:t xml:space="preserve">, 134109 (2015); </w:t>
            </w:r>
            <w:r>
              <w:rPr>
                <w:rFonts w:ascii="Montserrat" w:hAnsi="Montserrat" w:eastAsia="Montserrat"/>
                <w:b w:val="0"/>
                <w:i w:val="0"/>
                <w:color w:val="00AEEF"/>
                <w:sz w:val="20"/>
              </w:rPr>
              <w:hyperlink r:id="rId26" w:history="1">
                <w:r>
                  <w:rPr>
                    <w:rStyle w:val="Hyperlink"/>
                  </w:rPr>
                  <w:t>https://doi.org/10.1063/1.4916707</w:t>
                </w:r>
              </w:hyperlink>
            </w:r>
          </w:p>
          <w:p>
            <w:pPr>
              <w:autoSpaceDN w:val="0"/>
              <w:autoSpaceDE w:val="0"/>
              <w:widowControl/>
              <w:spacing w:line="240" w:lineRule="auto" w:before="2986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5844540" cy="154432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4540" cy="154432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540"/>
        </w:trPr>
        <w:tc>
          <w:tcPr>
            <w:tcW w:type="dxa" w:w="2995"/>
            <w:vMerge/>
            <w:tcBorders>
              <w:top w:sz="8.0" w:val="single" w:color="#000000"/>
            </w:tcBorders>
          </w:tcPr>
          <w:p/>
        </w:tc>
        <w:tc>
          <w:tcPr>
            <w:tcW w:type="dxa" w:w="751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282" w:after="0"/>
              <w:ind w:left="90" w:right="0" w:firstLine="0"/>
              <w:jc w:val="left"/>
            </w:pPr>
            <w:r>
              <w:rPr>
                <w:rFonts w:ascii="Montserrat" w:hAnsi="Montserrat" w:eastAsia="Montserrat"/>
                <w:b w:val="0"/>
                <w:i w:val="0"/>
                <w:color w:val="000000"/>
                <w:sz w:val="15"/>
              </w:rPr>
              <w:t xml:space="preserve">Appl. Phys. Lett. </w:t>
            </w:r>
            <w:r>
              <w:rPr>
                <w:rFonts w:ascii="Montserrat" w:hAnsi="Montserrat" w:eastAsia="Montserrat"/>
                <w:b/>
                <w:i w:val="0"/>
                <w:color w:val="000000"/>
                <w:sz w:val="15"/>
              </w:rPr>
              <w:t>104</w:t>
            </w:r>
            <w:r>
              <w:rPr>
                <w:rFonts w:ascii="Montserrat" w:hAnsi="Montserrat" w:eastAsia="Montserrat"/>
                <w:b w:val="0"/>
                <w:i w:val="0"/>
                <w:color w:val="000000"/>
                <w:sz w:val="15"/>
              </w:rPr>
              <w:t xml:space="preserve">, 092906 (2014); </w:t>
            </w:r>
            <w:r>
              <w:rPr>
                <w:rFonts w:ascii="Montserrat" w:hAnsi="Montserrat" w:eastAsia="Montserrat"/>
                <w:b w:val="0"/>
                <w:i w:val="0"/>
                <w:color w:val="00AEEF"/>
                <w:sz w:val="15"/>
              </w:rPr>
              <w:hyperlink r:id="rId10" w:history="1">
                <w:r>
                  <w:rPr>
                    <w:rStyle w:val="Hyperlink"/>
                  </w:rPr>
                  <w:t>https://doi.org/10.1063/1.4867975</w:t>
                </w:r>
              </w:hyperlink>
            </w:r>
          </w:p>
        </w:tc>
        <w:tc>
          <w:tcPr>
            <w:tcW w:type="dxa" w:w="2062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282" w:after="0"/>
              <w:ind w:left="0" w:right="10" w:firstLine="0"/>
              <w:jc w:val="right"/>
            </w:pPr>
            <w:r>
              <w:rPr>
                <w:rFonts w:ascii="Montserrat" w:hAnsi="Montserrat" w:eastAsia="Montserrat"/>
                <w:b/>
                <w:i w:val="0"/>
                <w:color w:val="000000"/>
                <w:sz w:val="15"/>
              </w:rPr>
              <w:t>104</w:t>
            </w:r>
            <w:r>
              <w:rPr>
                <w:rFonts w:ascii="Montserrat" w:hAnsi="Montserrat" w:eastAsia="Montserrat"/>
                <w:b w:val="0"/>
                <w:i w:val="0"/>
                <w:color w:val="000000"/>
                <w:sz w:val="15"/>
              </w:rPr>
              <w:t>, 092906</w:t>
            </w:r>
          </w:p>
        </w:tc>
      </w:tr>
      <w:tr>
        <w:trPr>
          <w:trHeight w:hRule="exact" w:val="1102"/>
        </w:trPr>
        <w:tc>
          <w:tcPr>
            <w:tcW w:type="dxa" w:w="2995"/>
            <w:vMerge/>
            <w:tcBorders>
              <w:top w:sz="8.0" w:val="single" w:color="#000000"/>
            </w:tcBorders>
          </w:tcPr>
          <w:p/>
        </w:tc>
        <w:tc>
          <w:tcPr>
            <w:tcW w:type="dxa" w:w="9572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82" w:after="0"/>
              <w:ind w:left="90" w:right="0" w:firstLine="0"/>
              <w:jc w:val="left"/>
            </w:pPr>
            <w:r>
              <w:rPr>
                <w:rFonts w:ascii="Montserrat" w:hAnsi="Montserrat" w:eastAsia="Montserrat"/>
                <w:b w:val="0"/>
                <w:i w:val="0"/>
                <w:color w:val="000000"/>
                <w:sz w:val="15"/>
              </w:rPr>
              <w:t>© 2014 AIP Publishing LLC.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6199"/>
          <w:pgMar w:top="0" w:right="258" w:bottom="0" w:left="0" w:header="720" w:footer="720" w:gutter="0"/>
          <w:cols w:space="720" w:num="1" w:equalWidth="0">
            <w:col w:w="11982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0" w:after="0"/>
        <w:ind w:left="0" w:right="0"/>
      </w:pPr>
    </w:p>
    <w:p>
      <w:pPr>
        <w:autoSpaceDN w:val="0"/>
        <w:tabs>
          <w:tab w:pos="8680" w:val="left"/>
        </w:tabs>
        <w:autoSpaceDE w:val="0"/>
        <w:widowControl/>
        <w:spacing w:line="240" w:lineRule="auto" w:before="0" w:after="0"/>
        <w:ind w:left="3198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8"/>
        </w:rPr>
        <w:t>APPLIED PHYSICS LETTERS</w:t>
      </w:r>
      <w:r>
        <w:rPr>
          <w:rFonts w:ascii="AdvP6960" w:hAnsi="AdvP6960" w:eastAsia="AdvP6960"/>
          <w:b w:val="0"/>
          <w:i w:val="0"/>
          <w:color w:val="221F1F"/>
          <w:sz w:val="18"/>
        </w:rPr>
        <w:t xml:space="preserve"> 104</w:t>
      </w:r>
      <w:r>
        <w:rPr>
          <w:rFonts w:ascii="AdvP6975" w:hAnsi="AdvP6975" w:eastAsia="AdvP6975"/>
          <w:b w:val="0"/>
          <w:i w:val="0"/>
          <w:color w:val="221F1F"/>
          <w:sz w:val="18"/>
        </w:rPr>
        <w:t>, 092906 (2014)</w:t>
      </w:r>
      <w:r>
        <w:tab/>
      </w:r>
      <w:r>
        <w:drawing>
          <wp:inline xmlns:a="http://schemas.openxmlformats.org/drawingml/2006/main" xmlns:pic="http://schemas.openxmlformats.org/drawingml/2006/picture">
            <wp:extent cx="635000" cy="2667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266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80" w:lineRule="exact" w:before="242" w:after="0"/>
        <w:ind w:left="0" w:right="0" w:firstLine="0"/>
        <w:jc w:val="left"/>
      </w:pPr>
      <w:r>
        <w:rPr>
          <w:rFonts w:ascii="AdvHelv_B" w:hAnsi="AdvHelv_B" w:eastAsia="AdvHelv_B"/>
          <w:b w:val="0"/>
          <w:i w:val="0"/>
          <w:color w:val="0000FF"/>
          <w:sz w:val="28"/>
        </w:rPr>
        <w:hyperlink r:id="rId29" w:history="1">
          <w:r>
            <w:rPr>
              <w:rStyle w:val="Hyperlink"/>
            </w:rPr>
            <w:t>Identification of the ferroelectric switching process and dopant-dependent</w:t>
          </w:r>
        </w:hyperlink>
      </w:r>
    </w:p>
    <w:p>
      <w:pPr>
        <w:autoSpaceDN w:val="0"/>
        <w:autoSpaceDE w:val="0"/>
        <w:widowControl/>
        <w:spacing w:line="308" w:lineRule="exact" w:before="40" w:after="0"/>
        <w:ind w:left="0" w:right="0" w:firstLine="0"/>
        <w:jc w:val="left"/>
      </w:pPr>
      <w:r>
        <w:rPr>
          <w:rFonts w:ascii="AdvHelv_B" w:hAnsi="AdvHelv_B" w:eastAsia="AdvHelv_B"/>
          <w:b w:val="0"/>
          <w:i w:val="0"/>
          <w:color w:val="0000FF"/>
          <w:sz w:val="28"/>
        </w:rPr>
        <w:hyperlink r:id="rId29" w:history="1">
          <w:r>
            <w:rPr>
              <w:rStyle w:val="Hyperlink"/>
            </w:rPr>
            <w:t>switching properties in orthorhombic HfO</w:t>
          </w:r>
        </w:hyperlink>
      </w:r>
      <w:r>
        <w:rPr>
          <w:w w:val="98.98798942565918"/>
          <w:rFonts w:ascii="AdvHelv_B" w:hAnsi="AdvHelv_B" w:eastAsia="AdvHelv_B"/>
          <w:b w:val="0"/>
          <w:i w:val="0"/>
          <w:color w:val="0000FF"/>
          <w:sz w:val="20"/>
        </w:rPr>
        <w:hyperlink r:id="rId29" w:history="1">
          <w:r>
            <w:rPr>
              <w:rStyle w:val="Hyperlink"/>
            </w:rPr>
            <w:t>2</w:t>
          </w:r>
        </w:hyperlink>
      </w:r>
      <w:r>
        <w:rPr>
          <w:rFonts w:ascii="AdvHelv_B" w:hAnsi="AdvHelv_B" w:eastAsia="AdvHelv_B"/>
          <w:b w:val="0"/>
          <w:i w:val="0"/>
          <w:color w:val="0000FF"/>
          <w:sz w:val="28"/>
        </w:rPr>
        <w:hyperlink r:id="rId29" w:history="1">
          <w:r>
            <w:rPr>
              <w:rStyle w:val="Hyperlink"/>
            </w:rPr>
            <w:t>: A first principles insight</w:t>
          </w:r>
        </w:hyperlink>
      </w:r>
    </w:p>
    <w:p>
      <w:pPr>
        <w:autoSpaceDN w:val="0"/>
        <w:autoSpaceDE w:val="0"/>
        <w:widowControl/>
        <w:spacing w:line="204" w:lineRule="exact" w:before="132" w:after="0"/>
        <w:ind w:left="720" w:right="2160" w:firstLine="0"/>
        <w:jc w:val="left"/>
      </w:pPr>
      <w:r>
        <w:rPr>
          <w:rFonts w:ascii="AdvHelv_R" w:hAnsi="AdvHelv_R" w:eastAsia="AdvHelv_R"/>
          <w:b w:val="0"/>
          <w:i w:val="0"/>
          <w:color w:val="221F1F"/>
          <w:sz w:val="20"/>
        </w:rPr>
        <w:t>S. Clima,</w:t>
      </w:r>
      <w:r>
        <w:rPr>
          <w:w w:val="101.00952557155065"/>
          <w:rFonts w:ascii="AdvHelv_R" w:hAnsi="AdvHelv_R" w:eastAsia="AdvHelv_R"/>
          <w:b w:val="0"/>
          <w:i w:val="0"/>
          <w:color w:val="221F1F"/>
          <w:sz w:val="14"/>
        </w:rPr>
        <w:t>1</w:t>
      </w:r>
      <w:r>
        <w:rPr>
          <w:rFonts w:ascii="AdvHelv_R" w:hAnsi="AdvHelv_R" w:eastAsia="AdvHelv_R"/>
          <w:b w:val="0"/>
          <w:i w:val="0"/>
          <w:color w:val="221F1F"/>
          <w:sz w:val="20"/>
        </w:rPr>
        <w:t>D. J. Wouters,</w:t>
      </w:r>
      <w:r>
        <w:rPr>
          <w:w w:val="101.00952557155065"/>
          <w:rFonts w:ascii="AdvHelv_R" w:hAnsi="AdvHelv_R" w:eastAsia="AdvHelv_R"/>
          <w:b w:val="0"/>
          <w:i w:val="0"/>
          <w:color w:val="221F1F"/>
          <w:sz w:val="14"/>
        </w:rPr>
        <w:t>1,2</w:t>
      </w:r>
      <w:r>
        <w:rPr>
          <w:rFonts w:ascii="AdvHelv_R" w:hAnsi="AdvHelv_R" w:eastAsia="AdvHelv_R"/>
          <w:b w:val="0"/>
          <w:i w:val="0"/>
          <w:color w:val="221F1F"/>
          <w:sz w:val="20"/>
        </w:rPr>
        <w:t>C. Adelmann,</w:t>
      </w:r>
      <w:r>
        <w:rPr>
          <w:w w:val="101.00952557155065"/>
          <w:rFonts w:ascii="AdvHelv_R" w:hAnsi="AdvHelv_R" w:eastAsia="AdvHelv_R"/>
          <w:b w:val="0"/>
          <w:i w:val="0"/>
          <w:color w:val="221F1F"/>
          <w:sz w:val="14"/>
        </w:rPr>
        <w:t>1</w:t>
      </w:r>
      <w:r>
        <w:rPr>
          <w:rFonts w:ascii="AdvHelv_R" w:hAnsi="AdvHelv_R" w:eastAsia="AdvHelv_R"/>
          <w:b w:val="0"/>
          <w:i w:val="0"/>
          <w:color w:val="221F1F"/>
          <w:sz w:val="20"/>
        </w:rPr>
        <w:t>T. Schenk,</w:t>
      </w:r>
      <w:r>
        <w:rPr>
          <w:w w:val="101.00952557155065"/>
          <w:rFonts w:ascii="AdvHelv_R" w:hAnsi="AdvHelv_R" w:eastAsia="AdvHelv_R"/>
          <w:b w:val="0"/>
          <w:i w:val="0"/>
          <w:color w:val="221F1F"/>
          <w:sz w:val="14"/>
        </w:rPr>
        <w:t>3</w:t>
      </w:r>
      <w:r>
        <w:rPr>
          <w:rFonts w:ascii="AdvHelv_R" w:hAnsi="AdvHelv_R" w:eastAsia="AdvHelv_R"/>
          <w:b w:val="0"/>
          <w:i w:val="0"/>
          <w:color w:val="221F1F"/>
          <w:sz w:val="20"/>
        </w:rPr>
        <w:t>U. Schroeder,</w:t>
      </w:r>
      <w:r>
        <w:rPr>
          <w:w w:val="101.00952557155065"/>
          <w:rFonts w:ascii="AdvHelv_R" w:hAnsi="AdvHelv_R" w:eastAsia="AdvHelv_R"/>
          <w:b w:val="0"/>
          <w:i w:val="0"/>
          <w:color w:val="221F1F"/>
          <w:sz w:val="14"/>
        </w:rPr>
        <w:t>3</w:t>
      </w:r>
      <w:r>
        <w:rPr>
          <w:rFonts w:ascii="AdvHelv_R" w:hAnsi="AdvHelv_R" w:eastAsia="AdvHelv_R"/>
          <w:b w:val="0"/>
          <w:i w:val="0"/>
          <w:color w:val="221F1F"/>
          <w:sz w:val="20"/>
        </w:rPr>
        <w:t>M. Jurczak,</w:t>
      </w:r>
      <w:r>
        <w:rPr>
          <w:w w:val="101.00952557155065"/>
          <w:rFonts w:ascii="AdvHelv_R" w:hAnsi="AdvHelv_R" w:eastAsia="AdvHelv_R"/>
          <w:b w:val="0"/>
          <w:i w:val="0"/>
          <w:color w:val="221F1F"/>
          <w:sz w:val="14"/>
        </w:rPr>
        <w:t xml:space="preserve">1 </w:t>
      </w:r>
      <w:r>
        <w:rPr>
          <w:rFonts w:ascii="AdvHelv_R" w:hAnsi="AdvHelv_R" w:eastAsia="AdvHelv_R"/>
          <w:b w:val="0"/>
          <w:i w:val="0"/>
          <w:color w:val="221F1F"/>
          <w:sz w:val="20"/>
        </w:rPr>
        <w:t>and G. Pourtois</w:t>
      </w:r>
      <w:r>
        <w:rPr>
          <w:w w:val="101.00952557155065"/>
          <w:rFonts w:ascii="AdvHelv_R" w:hAnsi="AdvHelv_R" w:eastAsia="AdvHelv_R"/>
          <w:b w:val="0"/>
          <w:i w:val="0"/>
          <w:color w:val="221F1F"/>
          <w:sz w:val="14"/>
        </w:rPr>
        <w:t xml:space="preserve">1,4 </w:t>
      </w:r>
      <w:r>
        <w:br/>
      </w:r>
      <w:r>
        <w:rPr>
          <w:w w:val="97.89984042827899"/>
          <w:rFonts w:ascii="AdvP6975" w:hAnsi="AdvP6975" w:eastAsia="AdvP6975"/>
          <w:b w:val="0"/>
          <w:i w:val="0"/>
          <w:color w:val="221F1F"/>
          <w:sz w:val="13"/>
        </w:rPr>
        <w:t>1</w:t>
      </w:r>
      <w:r>
        <w:rPr>
          <w:rFonts w:ascii="AdvP696A" w:hAnsi="AdvP696A" w:eastAsia="AdvP696A"/>
          <w:b w:val="0"/>
          <w:i w:val="0"/>
          <w:color w:val="221F1F"/>
          <w:sz w:val="18"/>
        </w:rPr>
        <w:t xml:space="preserve">imec, Kapeldreef 75, B-3001 Leuven, Belgium </w:t>
      </w:r>
      <w:r>
        <w:br/>
      </w:r>
      <w:r>
        <w:rPr>
          <w:w w:val="97.89984042827899"/>
          <w:rFonts w:ascii="AdvP6975" w:hAnsi="AdvP6975" w:eastAsia="AdvP6975"/>
          <w:b w:val="0"/>
          <w:i w:val="0"/>
          <w:color w:val="221F1F"/>
          <w:sz w:val="13"/>
        </w:rPr>
        <w:t>2</w:t>
      </w:r>
      <w:r>
        <w:rPr>
          <w:rFonts w:ascii="AdvP696A" w:hAnsi="AdvP696A" w:eastAsia="AdvP696A"/>
          <w:b w:val="0"/>
          <w:i w:val="0"/>
          <w:color w:val="221F1F"/>
          <w:sz w:val="18"/>
        </w:rPr>
        <w:t xml:space="preserve">Katholieke Universiteit Leuven, B-3001 Leuven, Belgium </w:t>
      </w:r>
      <w:r>
        <w:br/>
      </w:r>
      <w:r>
        <w:rPr>
          <w:w w:val="97.89984042827899"/>
          <w:rFonts w:ascii="AdvP6975" w:hAnsi="AdvP6975" w:eastAsia="AdvP6975"/>
          <w:b w:val="0"/>
          <w:i w:val="0"/>
          <w:color w:val="221F1F"/>
          <w:sz w:val="13"/>
        </w:rPr>
        <w:t>3</w:t>
      </w:r>
      <w:r>
        <w:rPr>
          <w:rFonts w:ascii="AdvP696A" w:hAnsi="AdvP696A" w:eastAsia="AdvP696A"/>
          <w:b w:val="0"/>
          <w:i w:val="0"/>
          <w:color w:val="221F1F"/>
          <w:sz w:val="18"/>
        </w:rPr>
        <w:t xml:space="preserve">NaMLab/TU Dresden, Noethnitzer Str. 64, D-01187 Dresden, Germany </w:t>
      </w:r>
      <w:r>
        <w:br/>
      </w:r>
      <w:r>
        <w:rPr>
          <w:w w:val="97.89984042827899"/>
          <w:rFonts w:ascii="AdvP6975" w:hAnsi="AdvP6975" w:eastAsia="AdvP6975"/>
          <w:b w:val="0"/>
          <w:i w:val="0"/>
          <w:color w:val="221F1F"/>
          <w:sz w:val="13"/>
        </w:rPr>
        <w:t>4</w:t>
      </w:r>
      <w:r>
        <w:rPr>
          <w:rFonts w:ascii="AdvP696A" w:hAnsi="AdvP696A" w:eastAsia="AdvP696A"/>
          <w:b w:val="0"/>
          <w:i w:val="0"/>
          <w:color w:val="221F1F"/>
          <w:sz w:val="18"/>
        </w:rPr>
        <w:t>PLASMANT, University of Antwerp, Antwerpen B-2610, Belgium</w:t>
      </w:r>
    </w:p>
    <w:p>
      <w:pPr>
        <w:autoSpaceDN w:val="0"/>
        <w:autoSpaceDE w:val="0"/>
        <w:widowControl/>
        <w:spacing w:line="200" w:lineRule="exact" w:before="160" w:after="0"/>
        <w:ind w:left="72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(Received 20 December 2013; accepted 21 February 2014; published online 5 March 2014)</w:t>
      </w:r>
    </w:p>
    <w:p>
      <w:pPr>
        <w:autoSpaceDN w:val="0"/>
        <w:autoSpaceDE w:val="0"/>
        <w:widowControl/>
        <w:spacing w:line="236" w:lineRule="exact" w:before="158" w:after="0"/>
        <w:ind w:left="72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The origin of the ferroelectric polarization switching in orthorhombic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has been investigated</w:t>
      </w:r>
    </w:p>
    <w:p>
      <w:pPr>
        <w:autoSpaceDN w:val="0"/>
        <w:autoSpaceDE w:val="0"/>
        <w:widowControl/>
        <w:spacing w:line="200" w:lineRule="exact" w:before="6" w:after="0"/>
        <w:ind w:left="72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by first principles calculations. The phenomenon can be regarded as being the coordinated</w:t>
      </w:r>
    </w:p>
    <w:p>
      <w:pPr>
        <w:autoSpaceDN w:val="0"/>
        <w:autoSpaceDE w:val="0"/>
        <w:widowControl/>
        <w:spacing w:line="248" w:lineRule="exact" w:before="0" w:after="0"/>
        <w:ind w:left="720" w:right="144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displacement of four O ions in the orthorhombic unit cell, which can lead to a saturated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polarization as high as 53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l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C/cm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 We show the correlation between the computed polarization</w:t>
      </w:r>
    </w:p>
    <w:p>
      <w:pPr>
        <w:autoSpaceDN w:val="0"/>
        <w:autoSpaceDE w:val="0"/>
        <w:widowControl/>
        <w:spacing w:line="202" w:lineRule="exact" w:before="0" w:after="0"/>
        <w:ind w:left="72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reversal barrier and the experimental coercive fields.</w:t>
      </w:r>
      <w:r>
        <w:rPr>
          <w:w w:val="102.53059162813074"/>
          <w:rFonts w:ascii="AdvP80516" w:hAnsi="AdvP80516" w:eastAsia="AdvP80516"/>
          <w:b w:val="0"/>
          <w:i w:val="0"/>
          <w:color w:val="221F1F"/>
          <w:sz w:val="17"/>
        </w:rPr>
        <w:t xml:space="preserve"> V </w:t>
      </w:r>
      <w:r>
        <w:rPr>
          <w:rFonts w:ascii="AdvP6975" w:hAnsi="AdvP6975" w:eastAsia="AdvP6975"/>
          <w:b w:val="0"/>
          <w:i w:val="0"/>
          <w:color w:val="221F1F"/>
          <w:sz w:val="12"/>
        </w:rPr>
        <w:t>C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2014 AIP Publishing LLC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</w:t>
      </w:r>
    </w:p>
    <w:p>
      <w:pPr>
        <w:autoSpaceDN w:val="0"/>
        <w:autoSpaceDE w:val="0"/>
        <w:widowControl/>
        <w:spacing w:line="200" w:lineRule="exact" w:before="36" w:after="410"/>
        <w:ind w:left="72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[</w:t>
      </w:r>
      <w:r>
        <w:rPr>
          <w:rFonts w:ascii="AdvP6975" w:hAnsi="AdvP6975" w:eastAsia="AdvP6975"/>
          <w:b w:val="0"/>
          <w:i w:val="0"/>
          <w:color w:val="0000FF"/>
          <w:sz w:val="20"/>
        </w:rPr>
        <w:hyperlink r:id="rId29" w:history="1">
          <w:r>
            <w:rPr>
              <w:rStyle w:val="Hyperlink"/>
            </w:rPr>
            <w:t>http://dx.doi.org/10.1063/1.4867975</w:t>
          </w:r>
        </w:hyperlink>
      </w:r>
      <w:r>
        <w:rPr>
          <w:rFonts w:ascii="AdvP6975" w:hAnsi="AdvP6975" w:eastAsia="AdvP6975"/>
          <w:b w:val="0"/>
          <w:i w:val="0"/>
          <w:color w:val="221F1F"/>
          <w:sz w:val="20"/>
        </w:rPr>
        <w:t>]</w:t>
      </w:r>
    </w:p>
    <w:p>
      <w:pPr>
        <w:sectPr>
          <w:pgSz w:w="12240" w:h="16199"/>
          <w:pgMar w:top="210" w:right="998" w:bottom="382" w:left="1020" w:header="720" w:footer="720" w:gutter="0"/>
          <w:cols w:space="720" w:num="1" w:equalWidth="0">
            <w:col w:w="10222" w:space="0"/>
            <w:col w:w="11982" w:space="0"/>
          </w:cols>
          <w:docGrid w:linePitch="360"/>
        </w:sectPr>
      </w:pPr>
    </w:p>
    <w:p>
      <w:pPr>
        <w:autoSpaceDN w:val="0"/>
        <w:tabs>
          <w:tab w:pos="360" w:val="left"/>
        </w:tabs>
        <w:autoSpaceDE w:val="0"/>
        <w:widowControl/>
        <w:spacing w:line="238" w:lineRule="exact" w:before="0" w:after="0"/>
        <w:ind w:left="0" w:right="144" w:firstLine="0"/>
        <w:jc w:val="left"/>
      </w:pP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>The recent discovery of ferroelectricity (FE) in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2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(and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)-based high-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>j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materials has spurred renewed in-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terest in ferroelectric memory devices. Compared to typi-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cal (layered) perovskite ferroelectrics used in commercial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ferroelectric random access memory (FE-RAM) such as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PbZr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x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Ti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(1</w:t>
      </w:r>
      <w:r>
        <w:rPr>
          <w:w w:val="101.00952557155065"/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x)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3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SrBi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Ta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9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FE high-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>j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material films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can be much thinner (</w:t>
      </w:r>
      <w:r>
        <w:rPr>
          <w:rFonts w:ascii="AdvP4C4E51" w:hAnsi="AdvP4C4E51" w:eastAsia="AdvP4C4E51"/>
          <w:b w:val="0"/>
          <w:i w:val="0"/>
          <w:color w:val="221F1F"/>
          <w:sz w:val="20"/>
        </w:rPr>
        <w:t>&lt;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10 nm). They are also compatible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with CMOS standard processing conditions and do not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require to be crystallized in an oxygen ambient at high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temperature. Moreover, standard TiN was used instead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more special electrode materials as Pt, Ir(O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x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), or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Ru(O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x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). This does not only open the door for further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(DRAM-like) scaling of FE capacitor based FE-RAM but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also enables the fabrication of FE field effect transistor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(FE-FET) based memory, combining the performance 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established reliability of FE-RAM with a small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NAND-Flash cell.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1 </w:t>
      </w:r>
      <w:r>
        <w:br/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However, in contrast to the classical ferroelectrics,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detailed understanding of the ferroelectric polarization rever-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sal phenomenon in Hf-based films is still lacking. Also,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maximum values of the attainable polarization and of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switching fields are still unknown. We aim at filling this gap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by providing more insight by using first principles calcula-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tions as this information is crucial to guide further material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optimization.</w:t>
      </w:r>
    </w:p>
    <w:p>
      <w:pPr>
        <w:autoSpaceDN w:val="0"/>
        <w:tabs>
          <w:tab w:pos="360" w:val="left"/>
          <w:tab w:pos="626" w:val="left"/>
          <w:tab w:pos="1064" w:val="left"/>
          <w:tab w:pos="1714" w:val="left"/>
          <w:tab w:pos="2362" w:val="left"/>
          <w:tab w:pos="3566" w:val="left"/>
          <w:tab w:pos="4564" w:val="left"/>
        </w:tabs>
        <w:autoSpaceDE w:val="0"/>
        <w:widowControl/>
        <w:spacing w:line="258" w:lineRule="exact" w:before="0" w:after="0"/>
        <w:ind w:left="0" w:right="144" w:firstLine="0"/>
        <w:jc w:val="left"/>
      </w:pP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>To understand the relationship between the atomic struc-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ture and the polarization reversal mechanism occurring 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FE o-HfO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we performed density functional theory (DFT)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calculations within the local density approximation (LDA)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formalism with the Quantum ESPRESSO package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ultrasoft pseudopotentials. A kinetic energy cut-off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540 eV has been used to truncate the planewave expansion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 the Brillouin zone has been sampled with an 8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8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8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grid. The polarization of bulk systems has been calculated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using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Berry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phase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>approach,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–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5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integrated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over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16 k-point strings, each one containing eight k-points.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computations were performed without an explicit spin–orbit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coupling. Finally, the barrier height associated with the fer-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roelectric distortion has been evaluated by a nudged elastic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band (NEB) approach using a climbing image algorithm,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6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</w:t>
      </w:r>
    </w:p>
    <w:p>
      <w:pPr>
        <w:sectPr>
          <w:type w:val="continuous"/>
          <w:pgSz w:w="12240" w:h="16199"/>
          <w:pgMar w:top="210" w:right="998" w:bottom="382" w:left="1020" w:header="720" w:footer="720" w:gutter="0"/>
          <w:cols w:space="720" w:num="2" w:equalWidth="0">
            <w:col w:w="5102" w:space="0"/>
            <w:col w:w="5120" w:space="0"/>
            <w:col w:w="10222" w:space="0"/>
            <w:col w:w="119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178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which a chain of ten images coupled with a spring constant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of 5 eV have been minimized.</w:t>
      </w:r>
    </w:p>
    <w:p>
      <w:pPr>
        <w:autoSpaceDN w:val="0"/>
        <w:autoSpaceDE w:val="0"/>
        <w:widowControl/>
        <w:spacing w:line="238" w:lineRule="exact" w:before="36" w:after="0"/>
        <w:ind w:left="178" w:right="2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is polymorphic and can adopt a series of crystalline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phases: monoclinic (</w:t>
      </w:r>
      <w:r>
        <w:rPr>
          <w:rFonts w:ascii="AdvP696A" w:hAnsi="AdvP696A" w:eastAsia="AdvP696A"/>
          <w:b w:val="0"/>
          <w:i w:val="0"/>
          <w:color w:val="221F1F"/>
          <w:sz w:val="20"/>
        </w:rPr>
        <w:t>P2</w:t>
      </w:r>
      <w:r>
        <w:rPr>
          <w:w w:val="101.00952557155065"/>
          <w:rFonts w:ascii="AdvP696A" w:hAnsi="AdvP696A" w:eastAsia="AdvP696A"/>
          <w:b w:val="0"/>
          <w:i w:val="0"/>
          <w:color w:val="221F1F"/>
          <w:sz w:val="14"/>
        </w:rPr>
        <w:t>1</w:t>
      </w:r>
      <w:r>
        <w:rPr>
          <w:rFonts w:ascii="AdvP696A" w:hAnsi="AdvP696A" w:eastAsia="AdvP696A"/>
          <w:b w:val="0"/>
          <w:i w:val="0"/>
          <w:color w:val="221F1F"/>
          <w:sz w:val="20"/>
        </w:rPr>
        <w:t>/c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), cubic (</w:t>
      </w:r>
      <w:r>
        <w:rPr>
          <w:rFonts w:ascii="AdvP696A" w:hAnsi="AdvP696A" w:eastAsia="AdvP696A"/>
          <w:b w:val="0"/>
          <w:i w:val="0"/>
          <w:color w:val="221F1F"/>
          <w:sz w:val="20"/>
        </w:rPr>
        <w:t>Pa3, Fm3m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), tetragonal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(</w:t>
      </w:r>
      <w:r>
        <w:rPr>
          <w:rFonts w:ascii="AdvP696A" w:hAnsi="AdvP696A" w:eastAsia="AdvP696A"/>
          <w:b w:val="0"/>
          <w:i w:val="0"/>
          <w:color w:val="221F1F"/>
          <w:sz w:val="20"/>
        </w:rPr>
        <w:t>P4</w:t>
      </w:r>
      <w:r>
        <w:rPr>
          <w:w w:val="101.00952557155065"/>
          <w:rFonts w:ascii="AdvP696A" w:hAnsi="AdvP696A" w:eastAsia="AdvP696A"/>
          <w:b w:val="0"/>
          <w:i w:val="0"/>
          <w:color w:val="221F1F"/>
          <w:sz w:val="14"/>
        </w:rPr>
        <w:t>2</w:t>
      </w:r>
      <w:r>
        <w:rPr>
          <w:rFonts w:ascii="AdvP696A" w:hAnsi="AdvP696A" w:eastAsia="AdvP696A"/>
          <w:b w:val="0"/>
          <w:i w:val="0"/>
          <w:color w:val="221F1F"/>
          <w:sz w:val="20"/>
        </w:rPr>
        <w:t>/nmc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), or an orthorhombic one (</w:t>
      </w:r>
      <w:r>
        <w:rPr>
          <w:rFonts w:ascii="AdvP696A" w:hAnsi="AdvP696A" w:eastAsia="AdvP696A"/>
          <w:b w:val="0"/>
          <w:i w:val="0"/>
          <w:color w:val="221F1F"/>
          <w:sz w:val="20"/>
        </w:rPr>
        <w:t>Pnma, Pbca,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closely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related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Pbc2</w:t>
      </w:r>
      <w:r>
        <w:rPr>
          <w:w w:val="101.00952557155065"/>
          <w:rFonts w:ascii="AdvP696A" w:hAnsi="AdvP696A" w:eastAsia="AdvP696A"/>
          <w:b w:val="0"/>
          <w:i w:val="0"/>
          <w:color w:val="221F1F"/>
          <w:sz w:val="14"/>
        </w:rPr>
        <w:t>1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7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most stable one is the monoclinic phase,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followed by the orthorhombic, tetragonal, and cubic ones.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However, only the orthorhombic phase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(Pbc2</w:t>
      </w:r>
      <w:r>
        <w:rPr>
          <w:w w:val="101.00952557155065"/>
          <w:rFonts w:ascii="AdvP696A" w:hAnsi="AdvP696A" w:eastAsia="AdvP696A"/>
          <w:b w:val="0"/>
          <w:i w:val="0"/>
          <w:color w:val="221F1F"/>
          <w:sz w:val="14"/>
        </w:rPr>
        <w:t>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henceforth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denoted o-HfO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 is non-centrosymmetric, from which the FE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originates. Experimentally, the non-centrosymmetric o-HfO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2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phase is stabilized by applying extrinsic doping and thermal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cycling treatments.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8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9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To gain insight into the atomistic roots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of the FE, we took advantage of the fact that the spontaneous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macroscopic polarization at finite temperature can be eval-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uated by assuming that the nuclei are frozen in their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time-averaged positions using a so-called frozen nuclei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approach.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10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Given that the nature of the exchange-correlation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functional used has a non-negligible impact on the computed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distribution of the interatomic distances and on the material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density, we fixed the dimension of the o-HfO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unit cell to its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experimental values, i.e., 5.05, 5.24, and 5.01 A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˚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along the a,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b, and c crystal axes, respectively.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9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nature of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exchange-correlation functional used has, however, a weak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influence on the computed polarization; we observe a devia-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tion of</w:t>
      </w:r>
      <w:r>
        <w:rPr>
          <w:rFonts w:ascii="AdvP80675" w:hAnsi="AdvP80675" w:eastAsia="AdvP80675"/>
          <w:b w:val="0"/>
          <w:i w:val="0"/>
          <w:color w:val="221F1F"/>
          <w:sz w:val="20"/>
        </w:rPr>
        <w:t xml:space="preserve"> 6</w:t>
      </w:r>
      <w:r>
        <w:rPr>
          <w:rFonts w:ascii="AdvP6975" w:hAnsi="AdvP6975" w:eastAsia="AdvP6975"/>
          <w:b w:val="0"/>
          <w:i w:val="0"/>
          <w:color w:val="221F1F"/>
          <w:sz w:val="20"/>
        </w:rPr>
        <w:t>0.01 C/m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on the computed polarization, going from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local density approximation to a generalized gradient one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Perdew-Burke-Ernzerhof (PBE). On the other hands, potential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energy barriers are very sensitive to the convergence of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electronic density. Small deviations in the structure are there-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fore expected to have large computation errors. The antici-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pated changes do not change the resulting qualitative picture.</w:t>
      </w:r>
    </w:p>
    <w:p>
      <w:pPr>
        <w:autoSpaceDN w:val="0"/>
        <w:autoSpaceDE w:val="0"/>
        <w:widowControl/>
        <w:spacing w:line="240" w:lineRule="exact" w:before="0" w:after="290"/>
        <w:ind w:left="178" w:right="2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 contrast to perovskite FE materials, where there is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clear symmetry relation driving the atomic FE distortion,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there is no obvious way to predict the local atomic arrange-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ments responsible for the spontaneous polarization in the FE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o-HfO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phase.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Ab initio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simulations are indispensable to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identify the two structural minima at the origin of the FE dis-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tortion. We hence proceeded as follows: starting with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accepted picture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that the four O atoms present in the unit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cell have to move out of their equilibrium position, going</w:t>
      </w:r>
    </w:p>
    <w:p>
      <w:pPr>
        <w:sectPr>
          <w:type w:val="nextColumn"/>
          <w:pgSz w:w="12240" w:h="16199"/>
          <w:pgMar w:top="210" w:right="998" w:bottom="382" w:left="1020" w:header="720" w:footer="720" w:gutter="0"/>
          <w:cols w:space="720" w:num="2" w:equalWidth="0">
            <w:col w:w="5102" w:space="0"/>
            <w:col w:w="5120" w:space="0"/>
            <w:col w:w="10222" w:space="0"/>
            <w:col w:w="1198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7"/>
        <w:gridCol w:w="3407"/>
        <w:gridCol w:w="3407"/>
      </w:tblGrid>
      <w:tr>
        <w:trPr>
          <w:trHeight w:hRule="exact" w:val="162"/>
        </w:trPr>
        <w:tc>
          <w:tcPr>
            <w:tcW w:type="dxa" w:w="3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0003-6951/2014/104(9)/092906/4/$30.00</w:t>
            </w:r>
          </w:p>
        </w:tc>
        <w:tc>
          <w:tcPr>
            <w:tcW w:type="dxa" w:w="3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0" w:right="1328" w:firstLine="0"/>
              <w:jc w:val="right"/>
            </w:pP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>104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092906-1</w:t>
            </w:r>
          </w:p>
        </w:tc>
        <w:tc>
          <w:tcPr>
            <w:tcW w:type="dxa" w:w="3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0" w:after="0"/>
              <w:ind w:left="0" w:right="0" w:firstLine="0"/>
              <w:jc w:val="right"/>
            </w:pPr>
            <w:r>
              <w:rPr>
                <w:rFonts w:ascii="AdvP80516" w:hAnsi="AdvP80516" w:eastAsia="AdvP80516"/>
                <w:b w:val="0"/>
                <w:i w:val="0"/>
                <w:color w:val="221F1F"/>
                <w:sz w:val="14"/>
              </w:rPr>
              <w:t xml:space="preserve">V </w:t>
            </w:r>
            <w:r>
              <w:rPr>
                <w:w w:val="95.61599731445312"/>
                <w:rFonts w:ascii="AdvHelv_R" w:hAnsi="AdvHelv_R" w:eastAsia="AdvHelv_R"/>
                <w:b w:val="0"/>
                <w:i w:val="0"/>
                <w:color w:val="221F1F"/>
                <w:sz w:val="10"/>
              </w:rPr>
              <w:t>C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 xml:space="preserve"> 2014 AIP Publishing LLC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2240" w:h="16199"/>
          <w:pgMar w:top="210" w:right="998" w:bottom="382" w:left="1020" w:header="720" w:footer="720" w:gutter="0"/>
          <w:cols w:space="720" w:num="1" w:equalWidth="0">
            <w:col w:w="10222" w:space="0"/>
            <w:col w:w="5102" w:space="0"/>
            <w:col w:w="5120" w:space="0"/>
            <w:col w:w="10222" w:space="0"/>
            <w:col w:w="119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8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3975100</wp:posOffset>
            </wp:positionH>
            <wp:positionV relativeFrom="page">
              <wp:posOffset>5562600</wp:posOffset>
            </wp:positionV>
            <wp:extent cx="3175000" cy="431800"/>
            <wp:wrapNone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431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681990</wp:posOffset>
            </wp:positionH>
            <wp:positionV relativeFrom="page">
              <wp:posOffset>698500</wp:posOffset>
            </wp:positionV>
            <wp:extent cx="3056890" cy="3316207"/>
            <wp:wrapNone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56890" cy="331620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774700</wp:posOffset>
            </wp:positionH>
            <wp:positionV relativeFrom="page">
              <wp:posOffset>685800</wp:posOffset>
            </wp:positionV>
            <wp:extent cx="2603500" cy="1943100"/>
            <wp:wrapNone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1943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1638300</wp:posOffset>
            </wp:positionH>
            <wp:positionV relativeFrom="page">
              <wp:posOffset>2692400</wp:posOffset>
            </wp:positionV>
            <wp:extent cx="1130300" cy="127000"/>
            <wp:wrapNone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30300" cy="127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838200</wp:posOffset>
            </wp:positionH>
            <wp:positionV relativeFrom="page">
              <wp:posOffset>2921000</wp:posOffset>
            </wp:positionV>
            <wp:extent cx="190500" cy="165100"/>
            <wp:wrapNone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65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673100</wp:posOffset>
            </wp:positionH>
            <wp:positionV relativeFrom="page">
              <wp:posOffset>3124200</wp:posOffset>
            </wp:positionV>
            <wp:extent cx="3073400" cy="939800"/>
            <wp:wrapNone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9398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7"/>
        <w:gridCol w:w="3407"/>
        <w:gridCol w:w="3407"/>
      </w:tblGrid>
      <w:tr>
        <w:trPr>
          <w:trHeight w:hRule="exact" w:val="220"/>
        </w:trPr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092906-2</w:t>
            </w:r>
          </w:p>
        </w:tc>
        <w:tc>
          <w:tcPr>
            <w:tcW w:type="dxa" w:w="3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7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Clima</w:t>
            </w:r>
            <w:r>
              <w:rPr>
                <w:rFonts w:ascii="AdvHelv_O" w:hAnsi="AdvHelv_O" w:eastAsia="AdvHelv_O"/>
                <w:b w:val="0"/>
                <w:i w:val="0"/>
                <w:color w:val="221F1F"/>
                <w:sz w:val="16"/>
              </w:rPr>
              <w:t xml:space="preserve"> et al.</w:t>
            </w:r>
          </w:p>
        </w:tc>
        <w:tc>
          <w:tcPr>
            <w:tcW w:type="dxa" w:w="5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Appl. Phys. Lett.</w:t>
            </w: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 xml:space="preserve"> 104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092906 (2014)</w:t>
            </w:r>
          </w:p>
        </w:tc>
      </w:tr>
    </w:tbl>
    <w:p>
      <w:pPr>
        <w:autoSpaceDN w:val="0"/>
        <w:autoSpaceDE w:val="0"/>
        <w:widowControl/>
        <w:spacing w:line="240" w:lineRule="exact" w:before="210" w:after="0"/>
        <w:ind w:left="528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soft mode at the origin of the ferroelectric distortion in </w:t>
      </w:r>
      <w:r>
        <w:br/>
      </w:r>
      <w:r>
        <w:rPr>
          <w:rFonts w:ascii="AdvP6975" w:hAnsi="AdvP6975" w:eastAsia="AdvP6975"/>
          <w:b w:val="0"/>
          <w:i w:val="0"/>
          <w:color w:val="221F1F"/>
          <w:sz w:val="20"/>
        </w:rPr>
        <w:t>perovskites.</w:t>
      </w:r>
    </w:p>
    <w:p>
      <w:pPr>
        <w:autoSpaceDN w:val="0"/>
        <w:autoSpaceDE w:val="0"/>
        <w:widowControl/>
        <w:spacing w:line="252" w:lineRule="exact" w:before="0" w:after="48"/>
        <w:ind w:left="5280" w:right="2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switch in ionic positions is accompanied with a </w:t>
      </w:r>
      <w:r>
        <w:br/>
      </w:r>
      <w:r>
        <w:rPr>
          <w:rFonts w:ascii="AdvP6975" w:hAnsi="AdvP6975" w:eastAsia="AdvP6975"/>
          <w:b w:val="0"/>
          <w:i w:val="0"/>
          <w:color w:val="221F1F"/>
          <w:sz w:val="20"/>
        </w:rPr>
        <w:t>change in total polarization of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102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l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C/cm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which corre-</w:t>
      </w:r>
      <w:r>
        <w:br/>
      </w:r>
      <w:r>
        <w:rPr>
          <w:rFonts w:ascii="AdvP6975" w:hAnsi="AdvP6975" w:eastAsia="AdvP6975"/>
          <w:b w:val="0"/>
          <w:i w:val="0"/>
          <w:color w:val="221F1F"/>
          <w:sz w:val="20"/>
        </w:rPr>
        <w:t>sponds to a saturation (spontaneous) polarization (P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s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 of the </w:t>
      </w:r>
      <w:r>
        <w:br/>
      </w:r>
      <w:r>
        <w:rPr>
          <w:rFonts w:ascii="AdvP6975" w:hAnsi="AdvP6975" w:eastAsia="AdvP6975"/>
          <w:b w:val="0"/>
          <w:i w:val="0"/>
          <w:color w:val="221F1F"/>
          <w:sz w:val="20"/>
        </w:rPr>
        <w:t>o-HfO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phase of 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s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51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l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C/cm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The double well potential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that defines the polarization reversal energy barrier (E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a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 can </w:t>
      </w:r>
      <w:r>
        <w:br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be fitted well to a fourth order polynomial (consistent </w:t>
      </w:r>
      <w:r>
        <w:br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with the Landau–Ginzburg second order phase transition </w:t>
      </w:r>
      <w:r>
        <w:br/>
      </w:r>
      <w:r>
        <w:rPr>
          <w:rFonts w:ascii="AdvP6975" w:hAnsi="AdvP6975" w:eastAsia="AdvP6975"/>
          <w:b w:val="0"/>
          <w:i w:val="0"/>
          <w:color w:val="221F1F"/>
          <w:sz w:val="20"/>
        </w:rPr>
        <w:t>formalism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), as shown in Figure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It is interesting to note </w:t>
      </w:r>
      <w:r>
        <w:br/>
      </w:r>
      <w:r>
        <w:rPr>
          <w:rFonts w:ascii="AdvP6975" w:hAnsi="AdvP6975" w:eastAsia="AdvP6975"/>
          <w:b w:val="0"/>
          <w:i w:val="0"/>
          <w:color w:val="221F1F"/>
          <w:sz w:val="20"/>
        </w:rPr>
        <w:t>that the computed value is about twice the highest experi-</w:t>
      </w:r>
      <w:r>
        <w:br/>
      </w:r>
      <w:r>
        <w:rPr>
          <w:rFonts w:ascii="AdvP6975" w:hAnsi="AdvP6975" w:eastAsia="AdvP6975"/>
          <w:b w:val="0"/>
          <w:i w:val="0"/>
          <w:color w:val="221F1F"/>
          <w:sz w:val="20"/>
        </w:rPr>
        <w:t>mental one of the remanent polarization (P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r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), observed for </w:t>
      </w:r>
      <w:r>
        <w:br/>
      </w:r>
      <w:r>
        <w:rPr>
          <w:rFonts w:ascii="AdvP6975" w:hAnsi="AdvP6975" w:eastAsia="AdvP6975"/>
          <w:b w:val="0"/>
          <w:i w:val="0"/>
          <w:color w:val="221F1F"/>
          <w:sz w:val="20"/>
        </w:rPr>
        <w:t>Y-doped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(24–25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l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C/cm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13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Take note that the experi-</w:t>
      </w:r>
      <w:r>
        <w:br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mental remanent polarization is by definition smaller than </w:t>
      </w:r>
      <w:r>
        <w:br/>
      </w:r>
      <w:r>
        <w:rPr>
          <w:rFonts w:ascii="AdvP6975" w:hAnsi="AdvP6975" w:eastAsia="AdvP6975"/>
          <w:b w:val="0"/>
          <w:i w:val="0"/>
          <w:color w:val="221F1F"/>
          <w:sz w:val="20"/>
        </w:rPr>
        <w:t>the theoretical (saturation/spontaneous) one due to polycrys-</w:t>
      </w:r>
      <w:r>
        <w:br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tallinity and FE domains misalignment. Indeed, the X-ray </w:t>
      </w:r>
      <w:r>
        <w:br/>
      </w:r>
      <w:r>
        <w:rPr>
          <w:rFonts w:ascii="AdvP6975" w:hAnsi="AdvP6975" w:eastAsia="AdvP6975"/>
          <w:b w:val="0"/>
          <w:i w:val="0"/>
          <w:color w:val="221F1F"/>
          <w:sz w:val="20"/>
        </w:rPr>
        <w:t>diffraction measurements shows that the FE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films are </w:t>
      </w:r>
      <w:r>
        <w:br/>
      </w:r>
      <w:r>
        <w:rPr>
          <w:rFonts w:ascii="AdvP6975" w:hAnsi="AdvP6975" w:eastAsia="AdvP6975"/>
          <w:b w:val="0"/>
          <w:i w:val="0"/>
          <w:color w:val="221F1F"/>
          <w:sz w:val="20"/>
        </w:rPr>
        <w:t>randomly oriented polycrystals without any signs of tex-</w:t>
      </w:r>
      <w:r>
        <w:br/>
      </w:r>
      <w:r>
        <w:rPr>
          <w:rFonts w:ascii="AdvP6975" w:hAnsi="AdvP6975" w:eastAsia="AdvP6975"/>
          <w:b w:val="0"/>
          <w:i w:val="0"/>
          <w:color w:val="221F1F"/>
          <w:sz w:val="20"/>
        </w:rPr>
        <w:t>ture.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13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 this case, the 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r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is the integrated projection of the </w:t>
      </w:r>
      <w:r>
        <w:br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polarization on the field direction over a half of the sphere </w:t>
      </w:r>
      <w:r>
        <w:br/>
      </w:r>
      <w:r>
        <w:rPr>
          <w:rFonts w:ascii="AdvP6975" w:hAnsi="AdvP6975" w:eastAsia="AdvP6975"/>
          <w:b w:val="0"/>
          <w:i w:val="0"/>
          <w:color w:val="221F1F"/>
          <w:sz w:val="20"/>
        </w:rPr>
        <w:t>and amounts to</w:t>
      </w:r>
      <w:r>
        <w:rPr>
          <w:rFonts w:ascii="AdvP6975" w:hAnsi="AdvP6975" w:eastAsia="AdvP6975"/>
          <w:b w:val="0"/>
          <w:i w:val="0"/>
          <w:color w:val="221F1F"/>
          <w:sz w:val="14"/>
        </w:rPr>
        <w:t>1</w:t>
      </w:r>
      <w:r>
        <w:rPr>
          <w:rFonts w:ascii="AdvP4C4E51" w:hAnsi="AdvP4C4E51" w:eastAsia="AdvP4C4E51"/>
          <w:b w:val="0"/>
          <w:i w:val="0"/>
          <w:color w:val="221F1F"/>
          <w:sz w:val="20"/>
        </w:rPr>
        <w:t>=</w:t>
      </w:r>
      <w:r>
        <w:rPr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s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This remarkable correspondence of the </w:t>
      </w:r>
      <w:r>
        <w:br/>
      </w:r>
      <w:r>
        <w:rPr>
          <w:rFonts w:ascii="AdvP6975" w:hAnsi="AdvP6975" w:eastAsia="AdvP6975"/>
          <w:b w:val="0"/>
          <w:i w:val="0"/>
          <w:color w:val="221F1F"/>
          <w:sz w:val="20"/>
        </w:rPr>
        <w:t>experimental and computed value for the polarization con-</w:t>
      </w:r>
      <w:r>
        <w:br/>
      </w:r>
      <w:r>
        <w:rPr>
          <w:rFonts w:ascii="AdvP6975" w:hAnsi="AdvP6975" w:eastAsia="AdvP6975"/>
          <w:b w:val="0"/>
          <w:i w:val="0"/>
          <w:color w:val="221F1F"/>
          <w:sz w:val="20"/>
        </w:rPr>
        <w:t>firms the validity of the proposed polarization reversal mech-</w:t>
      </w:r>
    </w:p>
    <w:p>
      <w:pPr>
        <w:sectPr>
          <w:pgSz w:w="12240" w:h="16199"/>
          <w:pgMar w:top="306" w:right="998" w:bottom="378" w:left="1020" w:header="720" w:footer="720" w:gutter="0"/>
          <w:cols w:space="720" w:num="1" w:equalWidth="0">
            <w:col w:w="10222" w:space="0"/>
            <w:col w:w="10222" w:space="0"/>
            <w:col w:w="5102" w:space="0"/>
            <w:col w:w="5120" w:space="0"/>
            <w:col w:w="10222" w:space="0"/>
            <w:col w:w="11982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0" w:right="18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16"/>
        </w:rPr>
        <w:t>FIG. 1. (a) Evolution of the double well potential as a function of the polar-</w:t>
      </w:r>
      <w:r>
        <w:rPr>
          <w:rFonts w:ascii="AdvP6975" w:hAnsi="AdvP6975" w:eastAsia="AdvP6975"/>
          <w:b w:val="0"/>
          <w:i w:val="0"/>
          <w:color w:val="221F1F"/>
          <w:sz w:val="16"/>
        </w:rPr>
        <w:t>ization in o-HfO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computed with (a)–(c)</w:t>
      </w:r>
      <w:r>
        <w:rPr>
          <w:rFonts w:ascii="AdvP4C4E74" w:hAnsi="AdvP4C4E74" w:eastAsia="AdvP4C4E74"/>
          <w:b w:val="0"/>
          <w:i w:val="0"/>
          <w:color w:val="221F1F"/>
          <w:sz w:val="16"/>
        </w:rPr>
        <w:t xml:space="preserve"> ¼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(5.05, 5.24, and 5.01 A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˚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) on the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NEB trajectories (circles) (insets: the four O ions switch the polarization in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the o-HfO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unit cell by jumping in the same c direction over the potential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barrier). The data points have been fitted with a y</w:t>
      </w:r>
      <w:r>
        <w:rPr>
          <w:rFonts w:ascii="AdvP4C4E74" w:hAnsi="AdvP4C4E74" w:eastAsia="AdvP4C4E74"/>
          <w:b w:val="0"/>
          <w:i w:val="0"/>
          <w:color w:val="221F1F"/>
          <w:sz w:val="16"/>
        </w:rPr>
        <w:t xml:space="preserve"> ¼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ax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4C4E74" w:hAnsi="AdvP4C4E74" w:eastAsia="AdvP4C4E74"/>
          <w:b w:val="0"/>
          <w:i w:val="0"/>
          <w:color w:val="221F1F"/>
          <w:sz w:val="16"/>
        </w:rPr>
        <w:t>þ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bx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4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(line) expres-</w:t>
      </w:r>
      <w:r>
        <w:rPr>
          <w:rFonts w:ascii="AdvP6975" w:hAnsi="AdvP6975" w:eastAsia="AdvP6975"/>
          <w:b w:val="0"/>
          <w:i w:val="0"/>
          <w:color w:val="221F1F"/>
          <w:sz w:val="16"/>
        </w:rPr>
        <w:t>sion. The trapezoid atomic pattern active in o-HfO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during the polarization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swing is sketched on the left and right insets. (b) Monoclinic to orthorhombic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atomic transition pattern to build the “centrosymmetric” structure characteris-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tic to the saddle point. (c) Imaginary vibrational eigenvectors of the</w:t>
      </w:r>
      <w:r>
        <w:rPr>
          <w:rFonts w:ascii="AdvP6975" w:hAnsi="AdvP6975" w:eastAsia="AdvP6975"/>
          <w:b w:val="0"/>
          <w:i w:val="0"/>
          <w:color w:val="221F1F"/>
          <w:sz w:val="16"/>
        </w:rPr>
        <w:t>“centrosymmetric” unstable saddle point structure (i546 cm</w:t>
      </w:r>
      <w:r>
        <w:rPr>
          <w:w w:val="102.84214886752041"/>
          <w:rFonts w:ascii="AdvP4C4E74" w:hAnsi="AdvP4C4E74" w:eastAsia="AdvP4C4E74"/>
          <w:b w:val="0"/>
          <w:i w:val="0"/>
          <w:color w:val="221F1F"/>
          <w:sz w:val="11"/>
        </w:rPr>
        <w:t>�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) and (d) of the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soft phonon mode associated to the FE-distorted configuration (386 cm</w:t>
      </w:r>
      <w:r>
        <w:rPr>
          <w:w w:val="102.84214886752041"/>
          <w:rFonts w:ascii="AdvP4C4E74" w:hAnsi="AdvP4C4E74" w:eastAsia="AdvP4C4E74"/>
          <w:b w:val="0"/>
          <w:i w:val="0"/>
          <w:color w:val="221F1F"/>
          <w:sz w:val="11"/>
        </w:rPr>
        <w:t>�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</w:t>
      </w:r>
      <w:r>
        <w:rPr>
          <w:rFonts w:ascii="AdvP6975" w:hAnsi="AdvP6975" w:eastAsia="AdvP6975"/>
          <w:b w:val="0"/>
          <w:i w:val="0"/>
          <w:color w:val="221F1F"/>
          <w:sz w:val="16"/>
        </w:rPr>
        <w:t>).</w:t>
      </w:r>
    </w:p>
    <w:p>
      <w:pPr>
        <w:autoSpaceDN w:val="0"/>
        <w:autoSpaceDE w:val="0"/>
        <w:widowControl/>
        <w:spacing w:line="240" w:lineRule="exact" w:before="272" w:after="0"/>
        <w:ind w:left="0" w:right="18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either upwards or downwards along the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c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axis (5.05 A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˚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 of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unit cell to induce FE, we quantified the minimum energy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path needed for the process to occur using a Nudged Elastic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Band approach.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ten images of the NEB simulations are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superimposed in the center inset of Figure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1(a)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illustrate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downwards and upwards movement of O ions with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respect to the Hf atoms planes during the polarization rever-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sal. The “centrosymmetric” crystal structure corresponding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to the saddle point has its moving O atoms lying in the same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plane with the Hf ones. It has a striking similarity in its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atomic arrangement to a monoclinic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phase that under-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went an orthogonalization of the unit cell. The monoclinic to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orthorhombic atomic transformation vectors are shown 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Figure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1(b)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The parabolic shape of the trajectory results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from the response of two strong bonds that exist with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nearest Hf atoms, forming a trapezoid atomic pattern.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change in topology on-going during the polarization reversal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swing leads to a mirroring of this trapezoid pattern (see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left/right insets of Figure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1(a)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). In terms of vibrational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eigenmodes, the imaginary signature characteristic of the</w:t>
      </w:r>
      <w:r>
        <w:rPr>
          <w:rFonts w:ascii="AdvP6975" w:hAnsi="AdvP6975" w:eastAsia="AdvP6975"/>
          <w:b w:val="0"/>
          <w:i w:val="0"/>
          <w:color w:val="221F1F"/>
          <w:sz w:val="20"/>
        </w:rPr>
        <w:t>“centrosymmetric” saddle point (i546 cm</w:t>
      </w:r>
      <w:r>
        <w:rPr>
          <w:w w:val="101.00952557155065"/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 (Figure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1(c)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 is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assisted by another imaginary frequency mode (i453 cm</w:t>
      </w:r>
      <w:r>
        <w:rPr>
          <w:w w:val="101.00952557155065"/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not shown) in the polarization reversal process. This there-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fore results in a parabolic trajectory for the O atoms. In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stable FE-distorted structure, the “soft mode” at 386 cm</w:t>
      </w:r>
      <w:r>
        <w:rPr>
          <w:w w:val="101.00952557155065"/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1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(Figure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1(d)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 resembles the “centrosymmetric” saddle imagi-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nary one and is rather hard whenever compared to the typical</w:t>
      </w:r>
    </w:p>
    <w:p>
      <w:pPr>
        <w:sectPr>
          <w:type w:val="continuous"/>
          <w:pgSz w:w="12240" w:h="16199"/>
          <w:pgMar w:top="306" w:right="998" w:bottom="378" w:left="1020" w:header="720" w:footer="720" w:gutter="0"/>
          <w:cols w:space="720" w:num="2" w:equalWidth="0"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1982" w:space="0"/>
          </w:cols>
          <w:docGrid w:linePitch="360"/>
        </w:sectPr>
      </w:pPr>
    </w:p>
    <w:p>
      <w:pPr>
        <w:autoSpaceDN w:val="0"/>
        <w:autoSpaceDE w:val="0"/>
        <w:widowControl/>
        <w:spacing w:line="226" w:lineRule="exact" w:before="0" w:after="0"/>
        <w:ind w:left="178" w:right="2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anism and of the used frozen-nuclei approach. It also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suggests that 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r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can still be improved by engineering the tex-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ture of the deposited film.</w:t>
      </w:r>
    </w:p>
    <w:p>
      <w:pPr>
        <w:autoSpaceDN w:val="0"/>
        <w:autoSpaceDE w:val="0"/>
        <w:widowControl/>
        <w:spacing w:line="258" w:lineRule="exact" w:before="0" w:after="20"/>
        <w:ind w:left="178" w:right="2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double well potential barrier height represents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energetic barrier to be crossed (Figure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1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 for a coherent do-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main reversal process, i.e., for the case when all the o-HfO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2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unit cells change concomitantly their direction of polariza-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tion. The (coercive) field (E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c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 needed to reverse such an ideal-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ized single domain can be order(s) of magnitude higher that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experimental one.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14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Based on the half depolarization field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(E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d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 E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c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¼</w:t>
      </w:r>
      <w:r>
        <w:rPr>
          <w:rFonts w:ascii="AdvP6975" w:hAnsi="AdvP6975" w:eastAsia="AdvP6975"/>
          <w:b w:val="0"/>
          <w:i w:val="0"/>
          <w:color w:val="221F1F"/>
          <w:sz w:val="14"/>
        </w:rPr>
        <w:t>1</w:t>
      </w:r>
      <w:r>
        <w:rPr>
          <w:rFonts w:ascii="AdvP4C4E51" w:hAnsi="AdvP4C4E51" w:eastAsia="AdvP4C4E51"/>
          <w:b w:val="0"/>
          <w:i w:val="0"/>
          <w:color w:val="221F1F"/>
          <w:sz w:val="20"/>
        </w:rPr>
        <w:t>=</w:t>
      </w:r>
      <w:r>
        <w:rPr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d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¼</w:t>
      </w:r>
      <w:r>
        <w:rPr>
          <w:rFonts w:ascii="AdvP6975" w:hAnsi="AdvP6975" w:eastAsia="AdvP6975"/>
          <w:b w:val="0"/>
          <w:i w:val="0"/>
          <w:color w:val="221F1F"/>
          <w:sz w:val="14"/>
        </w:rPr>
        <w:t>1</w:t>
      </w:r>
      <w:r>
        <w:rPr>
          <w:rFonts w:ascii="AdvP4C4E51" w:hAnsi="AdvP4C4E51" w:eastAsia="AdvP4C4E51"/>
          <w:b w:val="0"/>
          <w:i w:val="0"/>
          <w:color w:val="221F1F"/>
          <w:sz w:val="20"/>
        </w:rPr>
        <w:t>=</w:t>
      </w:r>
      <w:r>
        <w:rPr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s</w:t>
      </w:r>
      <w:r>
        <w:rPr>
          <w:rFonts w:ascii="AdvP6975" w:hAnsi="AdvP6975" w:eastAsia="AdvP6975"/>
          <w:b w:val="0"/>
          <w:i w:val="0"/>
          <w:color w:val="221F1F"/>
          <w:sz w:val="20"/>
        </w:rPr>
        <w:t>/(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>je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0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), the intrinsic coercive field is esti-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mated to be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13.4 MV/cm, i.e., a value that lies far beyond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dielectric breakdown limit. In practice, the domain walls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dynamics will reduce the coercive field to much lower values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due to the grain sizes.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15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 additional possible source of devi-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ation is the presence of a strain gradient to which the depos-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ited film is subject due the processing conditions. Since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first principles investigations of the domain wall dynamics is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not a viable option, we studied only the influence of the strain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on the polarization reversal barrier. We illustrate the impact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of 1% biaxial strain on the in-plane (polarization direction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¼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[001]) and out-of-plane cell parameters (perpendicular to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polarization axis (110)) for both tensile and compressive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strain in Figure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A compressive strain tends to decrease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barrier height, while a tensile one increases it with the volume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of the unit cell. The distortions induced by the strain (and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hence the Hf-O bonds responsible for the FE) are not paralle-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l/orthogonal to the plane of the applied deformation, as it is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case in the perovskites. Therefore, the dependence is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more complex, as illustrated by the permutation of the two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smallest cell parameters in Figures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2(a)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2(b)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the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7.99999999999955" w:type="dxa"/>
      </w:tblPr>
      <w:tblGrid>
        <w:gridCol w:w="1704"/>
        <w:gridCol w:w="1704"/>
        <w:gridCol w:w="1704"/>
        <w:gridCol w:w="1704"/>
        <w:gridCol w:w="1704"/>
        <w:gridCol w:w="1704"/>
      </w:tblGrid>
      <w:tr>
        <w:trPr>
          <w:trHeight w:hRule="exact" w:val="240"/>
        </w:trPr>
        <w:tc>
          <w:tcPr>
            <w:tcW w:type="dxa" w:w="1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in-plane/out-of-plane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strain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effects</w:t>
            </w:r>
          </w:p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in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Figure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0" w:right="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0000FF"/>
                <w:sz w:val="20"/>
              </w:rPr>
              <w:t>2(c)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.</w:t>
            </w:r>
          </w:p>
        </w:tc>
      </w:tr>
    </w:tbl>
    <w:p>
      <w:pPr>
        <w:autoSpaceDN w:val="0"/>
        <w:autoSpaceDE w:val="0"/>
        <w:widowControl/>
        <w:spacing w:line="234" w:lineRule="exact" w:before="0" w:after="0"/>
        <w:ind w:left="178" w:right="2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Interestingly, this points towards the fact that it should be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possible to tune the width of the hysteresis loop of the FE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response using an engineered external source of stress.</w:t>
      </w:r>
    </w:p>
    <w:p>
      <w:pPr>
        <w:autoSpaceDN w:val="0"/>
        <w:autoSpaceDE w:val="0"/>
        <w:widowControl/>
        <w:spacing w:line="206" w:lineRule="exact" w:before="68" w:after="0"/>
        <w:ind w:left="178" w:right="0" w:firstLine="36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Synthesizing the metastable o-HfO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film proves not to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be straight forward, requiring doping and/or stress/capping</w:t>
      </w:r>
    </w:p>
    <w:p>
      <w:pPr>
        <w:sectPr>
          <w:type w:val="nextColumn"/>
          <w:pgSz w:w="12240" w:h="16199"/>
          <w:pgMar w:top="306" w:right="998" w:bottom="378" w:left="1020" w:header="720" w:footer="720" w:gutter="0"/>
          <w:cols w:space="720" w:num="2" w:equalWidth="0"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19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8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555"/>
        <w:gridCol w:w="2555"/>
        <w:gridCol w:w="2555"/>
        <w:gridCol w:w="2555"/>
      </w:tblGrid>
      <w:tr>
        <w:trPr>
          <w:trHeight w:hRule="exact" w:val="308"/>
        </w:trPr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092906-3</w:t>
            </w:r>
          </w:p>
        </w:tc>
        <w:tc>
          <w:tcPr>
            <w:tcW w:type="dxa" w:w="2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7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Clima</w:t>
            </w:r>
            <w:r>
              <w:rPr>
                <w:rFonts w:ascii="AdvHelv_O" w:hAnsi="AdvHelv_O" w:eastAsia="AdvHelv_O"/>
                <w:b w:val="0"/>
                <w:i w:val="0"/>
                <w:color w:val="221F1F"/>
                <w:sz w:val="16"/>
              </w:rPr>
              <w:t xml:space="preserve"> et al.</w:t>
            </w:r>
          </w:p>
        </w:tc>
        <w:tc>
          <w:tcPr>
            <w:tcW w:type="dxa" w:w="38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88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120900" cy="1714500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0900" cy="1714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258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Appl. Phys. Lett.</w:t>
            </w: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 xml:space="preserve"> 104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092906 (2014)</w:t>
            </w:r>
          </w:p>
        </w:tc>
      </w:tr>
      <w:tr>
        <w:trPr>
          <w:trHeight w:hRule="exact" w:val="2800"/>
        </w:trPr>
        <w:tc>
          <w:tcPr>
            <w:tcW w:type="dxa" w:w="35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60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082800" cy="1727200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2800" cy="1727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555"/>
            <w:vMerge/>
            <w:tcBorders/>
          </w:tcPr>
          <w:p/>
        </w:tc>
        <w:tc>
          <w:tcPr>
            <w:tcW w:type="dxa" w:w="2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640" w:after="0"/>
              <w:ind w:left="30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FIG. 2. Evolution of the NEB barrier</w:t>
            </w:r>
          </w:p>
        </w:tc>
      </w:tr>
      <w:tr>
        <w:trPr>
          <w:trHeight w:hRule="exact" w:val="80"/>
        </w:trPr>
        <w:tc>
          <w:tcPr>
            <w:tcW w:type="dxa" w:w="5110"/>
            <w:gridSpan w:val="2"/>
            <w:vMerge/>
            <w:tcBorders/>
          </w:tcPr>
          <w:p/>
        </w:tc>
        <w:tc>
          <w:tcPr>
            <w:tcW w:type="dxa" w:w="2555"/>
            <w:vMerge/>
            <w:tcBorders/>
          </w:tcPr>
          <w:p/>
        </w:tc>
        <w:tc>
          <w:tcPr>
            <w:tcW w:type="dxa" w:w="28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exact" w:before="50" w:after="0"/>
              <w:ind w:left="30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(E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a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) with cell volume for (a) (a, b, c)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(5.01, 5.24, 5.05 A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˚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), (b) (a, b, c)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(5.05, 5.24, 5.01 A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˚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) upon in-plane or</w:t>
            </w:r>
          </w:p>
        </w:tc>
      </w:tr>
      <w:tr>
        <w:trPr>
          <w:trHeight w:hRule="exact" w:val="240"/>
        </w:trPr>
        <w:tc>
          <w:tcPr>
            <w:tcW w:type="dxa" w:w="35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60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01600" cy="762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00" cy="76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94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8100" cy="76200"/>
                  <wp:docPr id="20" name="Picture 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" cy="76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555"/>
            <w:vMerge/>
            <w:tcBorders/>
          </w:tcPr>
          <w:p/>
        </w:tc>
      </w:tr>
      <w:tr>
        <w:trPr>
          <w:trHeight w:hRule="exact" w:val="260"/>
        </w:trPr>
        <w:tc>
          <w:tcPr>
            <w:tcW w:type="dxa" w:w="35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96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774700" cy="152400"/>
                  <wp:docPr id="21" name="Picture 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4700" cy="152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8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96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774700" cy="152400"/>
                  <wp:docPr id="22" name="Picture 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4700" cy="152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555"/>
            <w:vMerge/>
            <w:tcBorders/>
          </w:tcPr>
          <w:p/>
        </w:tc>
      </w:tr>
      <w:tr>
        <w:trPr>
          <w:trHeight w:hRule="exact" w:val="198"/>
        </w:trPr>
        <w:tc>
          <w:tcPr>
            <w:tcW w:type="dxa" w:w="5110"/>
            <w:gridSpan w:val="2"/>
            <w:vMerge/>
            <w:tcBorders/>
          </w:tcPr>
          <w:p/>
        </w:tc>
        <w:tc>
          <w:tcPr>
            <w:tcW w:type="dxa" w:w="2555"/>
            <w:vMerge/>
            <w:tcBorders/>
          </w:tcPr>
          <w:p/>
        </w:tc>
        <w:tc>
          <w:tcPr>
            <w:tcW w:type="dxa" w:w="2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4" w:after="0"/>
              <w:ind w:left="30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out-of-plane [001] 1% compressive (c)</w:t>
            </w:r>
          </w:p>
        </w:tc>
      </w:tr>
    </w:tbl>
    <w:p>
      <w:pPr>
        <w:autoSpaceDN w:val="0"/>
        <w:autoSpaceDE w:val="0"/>
        <w:widowControl/>
        <w:spacing w:line="160" w:lineRule="exact" w:before="16" w:after="26"/>
        <w:ind w:left="0" w:right="22" w:firstLine="0"/>
        <w:jc w:val="right"/>
      </w:pPr>
      <w:r>
        <w:rPr>
          <w:rFonts w:ascii="AdvP6975" w:hAnsi="AdvP6975" w:eastAsia="AdvP6975"/>
          <w:b w:val="0"/>
          <w:i w:val="0"/>
          <w:color w:val="221F1F"/>
          <w:sz w:val="16"/>
        </w:rPr>
        <w:t>or tensile (t) applied strain, as com-</w:t>
      </w:r>
    </w:p>
    <w:p>
      <w:pPr>
        <w:sectPr>
          <w:pgSz w:w="12240" w:h="16199"/>
          <w:pgMar w:top="306" w:right="998" w:bottom="398" w:left="1020" w:header="720" w:footer="720" w:gutter="0"/>
          <w:cols w:space="720" w:num="1" w:equalWidth="0">
            <w:col w:w="10222" w:space="0"/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1982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12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933700" cy="16637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663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2240" w:h="16199"/>
          <w:pgMar w:top="306" w:right="998" w:bottom="398" w:left="1020" w:header="720" w:footer="720" w:gutter="0"/>
          <w:cols w:space="720" w:num="2" w:equalWidth="0">
            <w:col w:w="6780" w:space="0"/>
            <w:col w:w="3442" w:space="0"/>
            <w:col w:w="10222" w:space="0"/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1982" w:space="0"/>
          </w:cols>
          <w:docGrid w:linePitch="360"/>
        </w:sectPr>
      </w:pPr>
    </w:p>
    <w:p>
      <w:pPr>
        <w:autoSpaceDN w:val="0"/>
        <w:autoSpaceDE w:val="0"/>
        <w:widowControl/>
        <w:spacing w:line="242" w:lineRule="exact" w:before="0" w:after="1948"/>
        <w:ind w:left="900" w:right="2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pared to the unstrained initial (ini) unit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cell. (c) E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a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vs in-plane and out-of-</w:t>
      </w:r>
      <w:r>
        <w:rPr>
          <w:rFonts w:ascii="AdvP6975" w:hAnsi="AdvP6975" w:eastAsia="AdvP6975"/>
          <w:b w:val="0"/>
          <w:i w:val="0"/>
          <w:color w:val="221F1F"/>
          <w:sz w:val="16"/>
        </w:rPr>
        <w:t>plane</w:t>
      </w:r>
      <w:r>
        <w:rPr>
          <w:rFonts w:ascii="AdvP80675" w:hAnsi="AdvP80675" w:eastAsia="AdvP80675"/>
          <w:b w:val="0"/>
          <w:i w:val="0"/>
          <w:color w:val="221F1F"/>
          <w:sz w:val="16"/>
        </w:rPr>
        <w:t xml:space="preserve"> 6</w:t>
      </w:r>
      <w:r>
        <w:rPr>
          <w:rFonts w:ascii="AdvP6975" w:hAnsi="AdvP6975" w:eastAsia="AdvP6975"/>
          <w:b w:val="0"/>
          <w:i w:val="0"/>
          <w:color w:val="221F1F"/>
          <w:sz w:val="16"/>
        </w:rPr>
        <w:t>3% strain for (a, b, c)</w:t>
      </w:r>
      <w:r>
        <w:rPr>
          <w:rFonts w:ascii="AdvP4C4E74" w:hAnsi="AdvP4C4E74" w:eastAsia="AdvP4C4E74"/>
          <w:b w:val="0"/>
          <w:i w:val="0"/>
          <w:color w:val="221F1F"/>
          <w:sz w:val="16"/>
        </w:rPr>
        <w:t>¼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(5.05,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5.24, 5.01 A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˚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).</w:t>
      </w:r>
    </w:p>
    <w:p>
      <w:pPr>
        <w:sectPr>
          <w:type w:val="nextColumn"/>
          <w:pgSz w:w="12240" w:h="16199"/>
          <w:pgMar w:top="306" w:right="998" w:bottom="398" w:left="1020" w:header="720" w:footer="720" w:gutter="0"/>
          <w:cols w:space="720" w:num="2" w:equalWidth="0">
            <w:col w:w="6780" w:space="0"/>
            <w:col w:w="3442" w:space="0"/>
            <w:col w:w="10222" w:space="0"/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1982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178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679700" cy="762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76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60" w:after="0"/>
        <w:ind w:left="0" w:right="606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355600" cy="12700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84"/>
        <w:sectPr>
          <w:type w:val="continuous"/>
          <w:pgSz w:w="12240" w:h="16199"/>
          <w:pgMar w:top="306" w:right="998" w:bottom="398" w:left="1020" w:header="720" w:footer="720" w:gutter="0"/>
          <w:cols w:space="720" w:num="1" w:equalWidth="0">
            <w:col w:w="10222" w:space="0"/>
            <w:col w:w="6780" w:space="0"/>
            <w:col w:w="3442" w:space="0"/>
            <w:col w:w="10222" w:space="0"/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1982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exact" w:before="4" w:after="0"/>
        <w:ind w:left="0" w:right="18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layers and special thermal cycles.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Literature reports that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different extrinsic dopants can be used to stabilize the FE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phase, as summarized in Table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I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together with their associ-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ated FE dopant concentration, the resulting unit cell parame-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ters, the remanent polarization, and the coercive fields.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16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17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Assuming that a low doping concentration of extrinsic atoms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has an uniform influence on the material (translated by varia-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tions of the cell volume or its shape), we investigated these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effects on the E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a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s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for the undoped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system. For this,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we used the experimental cell parameters extracted for dif-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ferent dopants in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(Table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I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). Figure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3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shows the correla-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tion obtained between the computed polarization reversal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barrier height and the experimental coercive field as a func-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tion of the unit cell volume and of the dopant atomic radius.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deformation induced by presence of the extrinsic dop-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ants leads to a volume dependence similar to the case where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polarization direction is along the shortest unit cell pa-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rameter (Figure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2(b)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vs Figure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3(a)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). If one compares the</w:t>
      </w:r>
    </w:p>
    <w:p>
      <w:pPr>
        <w:sectPr>
          <w:type w:val="continuous"/>
          <w:pgSz w:w="12240" w:h="16199"/>
          <w:pgMar w:top="306" w:right="998" w:bottom="398" w:left="1020" w:header="720" w:footer="720" w:gutter="0"/>
          <w:cols w:space="720" w:num="2" w:equalWidth="0">
            <w:col w:w="5100" w:space="0"/>
            <w:col w:w="5122" w:space="0"/>
            <w:col w:w="10222" w:space="0"/>
            <w:col w:w="6780" w:space="0"/>
            <w:col w:w="3442" w:space="0"/>
            <w:col w:w="10222" w:space="0"/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1982" w:space="0"/>
          </w:cols>
          <w:docGrid w:linePitch="360"/>
        </w:sectPr>
      </w:pPr>
    </w:p>
    <w:p>
      <w:pPr>
        <w:autoSpaceDN w:val="0"/>
        <w:autoSpaceDE w:val="0"/>
        <w:widowControl/>
        <w:spacing w:line="238" w:lineRule="exact" w:before="0" w:after="0"/>
        <w:ind w:left="180" w:right="2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evolution of the barrier height with the volume in a strained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system (Figures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2(a)</w:t>
      </w:r>
      <w:r>
        <w:rPr>
          <w:rFonts w:ascii="AdvP6975" w:hAnsi="AdvP6975" w:eastAsia="AdvP6975"/>
          <w:b w:val="0"/>
          <w:i w:val="0"/>
          <w:color w:val="221F1F"/>
          <w:sz w:val="20"/>
        </w:rPr>
        <w:t>–</w:t>
      </w:r>
      <w:r>
        <w:rPr>
          <w:rFonts w:ascii="AdvP6975" w:hAnsi="AdvP6975" w:eastAsia="AdvP6975"/>
          <w:b w:val="0"/>
          <w:i w:val="0"/>
          <w:color w:val="0000FF"/>
          <w:sz w:val="20"/>
        </w:rPr>
        <w:t>2(c)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 and the strain from the doped sys-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tems (Figure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3(a)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), one can conclude that the polarization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direction is most probably in the direction of the shortest unit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cell parameter. We also observe a consistent correlation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coercive field and of the barrier height with the unit cell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size and the dopant atom radius. The volume dependence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can be split into three groups of elements: (Al, Si), (Y, Sr),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 (Zr, Gd). Both E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a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E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c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show qualitatively the same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evolution within its group, i.e., an increase of the dopant ra-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dius corresponds to an augmentation of both E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c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E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a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(as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schematically illustrated by the guiding lines in Figure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3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However, doping o-HfO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with Zr and Gd leads to an inverted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trend for E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c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E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a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We speculate that this difference is due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to either some experimental uncertainties of the unit cell pa-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rameters or to a different impact of the domain dynamics.</w:t>
      </w:r>
    </w:p>
    <w:p>
      <w:pPr>
        <w:autoSpaceDN w:val="0"/>
        <w:autoSpaceDE w:val="0"/>
        <w:widowControl/>
        <w:spacing w:line="238" w:lineRule="exact" w:before="2" w:after="312"/>
        <w:ind w:left="180" w:right="0" w:firstLine="36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DFT simulations have allowed us identifying the mecha-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nisms at the origin of the polarization reversal process in FE</w:t>
      </w:r>
    </w:p>
    <w:p>
      <w:pPr>
        <w:sectPr>
          <w:type w:val="nextColumn"/>
          <w:pgSz w:w="12240" w:h="16199"/>
          <w:pgMar w:top="306" w:right="998" w:bottom="398" w:left="1020" w:header="720" w:footer="720" w:gutter="0"/>
          <w:cols w:space="720" w:num="2" w:equalWidth="0">
            <w:col w:w="5100" w:space="0"/>
            <w:col w:w="5122" w:space="0"/>
            <w:col w:w="10222" w:space="0"/>
            <w:col w:w="6780" w:space="0"/>
            <w:col w:w="3442" w:space="0"/>
            <w:col w:w="10222" w:space="0"/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1982" w:space="0"/>
          </w:cols>
          <w:docGrid w:linePitch="360"/>
        </w:sectPr>
      </w:pPr>
    </w:p>
    <w:p>
      <w:pPr>
        <w:autoSpaceDN w:val="0"/>
        <w:autoSpaceDE w:val="0"/>
        <w:widowControl/>
        <w:spacing w:line="186" w:lineRule="exact" w:before="46" w:after="84"/>
        <w:ind w:left="0" w:right="2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16"/>
        </w:rPr>
        <w:t>TABLE I. Experimental ferroelectric dopants of HfO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with unit cell parameters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a, b,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and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c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(A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˚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), FE dopant concentrations, measured remanent polarization and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coercive fields, as reported in Refs.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13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and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16</w:t>
      </w:r>
      <w:r>
        <w:rPr>
          <w:rFonts w:ascii="AdvP6975" w:hAnsi="AdvP6975" w:eastAsia="AdvP6975"/>
          <w:b w:val="0"/>
          <w:i w:val="0"/>
          <w:color w:val="221F1F"/>
          <w:sz w:val="16"/>
        </w:rPr>
        <w:t>–</w:t>
      </w:r>
      <w:r>
        <w:rPr>
          <w:rFonts w:ascii="AdvP6975" w:hAnsi="AdvP6975" w:eastAsia="AdvP6975"/>
          <w:b w:val="0"/>
          <w:i w:val="0"/>
          <w:color w:val="0000FF"/>
          <w:sz w:val="16"/>
        </w:rPr>
        <w:t>18</w:t>
      </w:r>
      <w:r>
        <w:rPr>
          <w:rFonts w:ascii="AdvP6975" w:hAnsi="AdvP6975" w:eastAsia="AdvP6975"/>
          <w:b w:val="0"/>
          <w:i w:val="0"/>
          <w:color w:val="221F1F"/>
          <w:sz w:val="16"/>
        </w:rPr>
        <w:t>. The saturation polarization (P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s</w:t>
      </w:r>
      <w:r>
        <w:rPr>
          <w:rFonts w:ascii="AdvP6975" w:hAnsi="AdvP6975" w:eastAsia="AdvP6975"/>
          <w:b w:val="0"/>
          <w:i w:val="0"/>
          <w:color w:val="221F1F"/>
          <w:sz w:val="16"/>
        </w:rPr>
        <w:t>) and polarization reversal energy barrier (E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a</w:t>
      </w:r>
      <w:r>
        <w:rPr>
          <w:rFonts w:ascii="AdvP6975" w:hAnsi="AdvP6975" w:eastAsia="AdvP6975"/>
          <w:b w:val="0"/>
          <w:i w:val="0"/>
          <w:color w:val="221F1F"/>
          <w:sz w:val="16"/>
        </w:rPr>
        <w:t>) are computed on HfO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with the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dopant corresponding unit cell parameters.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022"/>
        <w:gridCol w:w="1022"/>
        <w:gridCol w:w="1022"/>
        <w:gridCol w:w="1022"/>
        <w:gridCol w:w="1022"/>
        <w:gridCol w:w="1022"/>
        <w:gridCol w:w="1022"/>
        <w:gridCol w:w="1022"/>
        <w:gridCol w:w="1022"/>
        <w:gridCol w:w="1022"/>
      </w:tblGrid>
      <w:tr>
        <w:trPr>
          <w:trHeight w:hRule="exact" w:val="416"/>
        </w:trPr>
        <w:tc>
          <w:tcPr>
            <w:tcW w:type="dxa" w:w="660"/>
            <w:tcBorders>
              <w:top w:sz="4.800000000000182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64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Dopant</w:t>
            </w:r>
          </w:p>
        </w:tc>
        <w:tc>
          <w:tcPr>
            <w:tcW w:type="dxa" w:w="740"/>
            <w:tcBorders>
              <w:top w:sz="4.800000000000182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12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a (A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˚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)</w:t>
            </w:r>
          </w:p>
        </w:tc>
        <w:tc>
          <w:tcPr>
            <w:tcW w:type="dxa" w:w="740"/>
            <w:tcBorders>
              <w:top w:sz="4.800000000000182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12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b (A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˚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)</w:t>
            </w:r>
          </w:p>
        </w:tc>
        <w:tc>
          <w:tcPr>
            <w:tcW w:type="dxa" w:w="740"/>
            <w:tcBorders>
              <w:top w:sz="4.800000000000182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12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c (A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˚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)</w:t>
            </w:r>
          </w:p>
        </w:tc>
        <w:tc>
          <w:tcPr>
            <w:tcW w:type="dxa" w:w="1800"/>
            <w:tcBorders>
              <w:top w:sz="4.800000000000182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12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Unit cell volume (A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˚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 xml:space="preserve"> 3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)</w:t>
            </w:r>
          </w:p>
        </w:tc>
        <w:tc>
          <w:tcPr>
            <w:tcW w:type="dxa" w:w="1600"/>
            <w:tcBorders>
              <w:top w:sz="4.800000000000182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6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[Dopant] (mol. %)</w:t>
            </w:r>
          </w:p>
        </w:tc>
        <w:tc>
          <w:tcPr>
            <w:tcW w:type="dxa" w:w="1000"/>
            <w:tcBorders>
              <w:top w:sz="4.800000000000182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3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P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r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(C/m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2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)</w:t>
            </w:r>
          </w:p>
        </w:tc>
        <w:tc>
          <w:tcPr>
            <w:tcW w:type="dxa" w:w="1200"/>
            <w:tcBorders>
              <w:top w:sz="4.800000000000182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6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E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c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(MV/cm)</w:t>
            </w:r>
          </w:p>
        </w:tc>
        <w:tc>
          <w:tcPr>
            <w:tcW w:type="dxa" w:w="900"/>
            <w:tcBorders>
              <w:top w:sz="4.800000000000182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6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E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a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(eV)</w:t>
            </w:r>
          </w:p>
        </w:tc>
        <w:tc>
          <w:tcPr>
            <w:tcW w:type="dxa" w:w="820"/>
            <w:tcBorders>
              <w:top w:sz="4.800000000000182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30" w:after="0"/>
              <w:ind w:left="204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P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s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(C/m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2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)</w:t>
            </w:r>
          </w:p>
        </w:tc>
      </w:tr>
      <w:tr>
        <w:trPr>
          <w:trHeight w:hRule="exact" w:val="292"/>
        </w:trPr>
        <w:tc>
          <w:tcPr>
            <w:tcW w:type="dxa" w:w="66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6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Si</w:t>
            </w:r>
          </w:p>
        </w:tc>
        <w:tc>
          <w:tcPr>
            <w:tcW w:type="dxa" w:w="74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5.02</w:t>
            </w:r>
          </w:p>
        </w:tc>
        <w:tc>
          <w:tcPr>
            <w:tcW w:type="dxa" w:w="74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5.24</w:t>
            </w:r>
          </w:p>
        </w:tc>
        <w:tc>
          <w:tcPr>
            <w:tcW w:type="dxa" w:w="74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4.93</w:t>
            </w:r>
          </w:p>
        </w:tc>
        <w:tc>
          <w:tcPr>
            <w:tcW w:type="dxa" w:w="180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129.57</w:t>
            </w:r>
          </w:p>
        </w:tc>
        <w:tc>
          <w:tcPr>
            <w:tcW w:type="dxa" w:w="160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4.5–5.5</w:t>
            </w:r>
          </w:p>
        </w:tc>
        <w:tc>
          <w:tcPr>
            <w:tcW w:type="dxa" w:w="100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0.23</w:t>
            </w:r>
          </w:p>
        </w:tc>
        <w:tc>
          <w:tcPr>
            <w:tcW w:type="dxa" w:w="120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6" w:after="0"/>
              <w:ind w:left="0" w:right="61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</w:t>
            </w:r>
          </w:p>
        </w:tc>
        <w:tc>
          <w:tcPr>
            <w:tcW w:type="dxa" w:w="90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0.26</w:t>
            </w:r>
          </w:p>
        </w:tc>
        <w:tc>
          <w:tcPr>
            <w:tcW w:type="dxa" w:w="82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6" w:after="0"/>
              <w:ind w:left="0" w:right="16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0.41</w:t>
            </w:r>
          </w:p>
        </w:tc>
      </w:tr>
      <w:tr>
        <w:trPr>
          <w:trHeight w:hRule="exact" w:val="220"/>
        </w:trPr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8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Al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4.99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5.10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5.02</w:t>
            </w:r>
          </w:p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127.88</w:t>
            </w:r>
          </w:p>
        </w:tc>
        <w:tc>
          <w:tcPr>
            <w:tcW w:type="dxa" w:w="1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5.0–7.0</w:t>
            </w:r>
          </w:p>
        </w:tc>
        <w:tc>
          <w:tcPr>
            <w:tcW w:type="dxa" w:w="1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0.15</w:t>
            </w:r>
          </w:p>
        </w:tc>
        <w:tc>
          <w:tcPr>
            <w:tcW w:type="dxa" w:w="1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1.3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0.39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8" w:after="0"/>
              <w:ind w:left="0" w:right="16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0.48</w:t>
            </w:r>
          </w:p>
        </w:tc>
      </w:tr>
      <w:tr>
        <w:trPr>
          <w:trHeight w:hRule="exact" w:val="220"/>
        </w:trPr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8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Zr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5.05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5.24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5.01</w:t>
            </w:r>
          </w:p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132.57</w:t>
            </w:r>
          </w:p>
        </w:tc>
        <w:tc>
          <w:tcPr>
            <w:tcW w:type="dxa" w:w="1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30–50</w:t>
            </w:r>
          </w:p>
        </w:tc>
        <w:tc>
          <w:tcPr>
            <w:tcW w:type="dxa" w:w="1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0.18</w:t>
            </w:r>
          </w:p>
        </w:tc>
        <w:tc>
          <w:tcPr>
            <w:tcW w:type="dxa" w:w="1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8" w:after="0"/>
              <w:ind w:left="0" w:right="62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1-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0.50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8" w:after="0"/>
              <w:ind w:left="0" w:right="16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0.50</w:t>
            </w:r>
          </w:p>
        </w:tc>
      </w:tr>
      <w:tr>
        <w:trPr>
          <w:trHeight w:hRule="exact" w:val="220"/>
        </w:trPr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8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Y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5.06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5.23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4.91</w:t>
            </w:r>
          </w:p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129.82</w:t>
            </w:r>
          </w:p>
        </w:tc>
        <w:tc>
          <w:tcPr>
            <w:tcW w:type="dxa" w:w="1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2.5–12</w:t>
            </w:r>
          </w:p>
        </w:tc>
        <w:tc>
          <w:tcPr>
            <w:tcW w:type="dxa" w:w="1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0.25</w:t>
            </w:r>
          </w:p>
        </w:tc>
        <w:tc>
          <w:tcPr>
            <w:tcW w:type="dxa" w:w="1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1.5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0.23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8" w:after="0"/>
              <w:ind w:left="0" w:right="16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0.40</w:t>
            </w:r>
          </w:p>
        </w:tc>
      </w:tr>
      <w:tr>
        <w:trPr>
          <w:trHeight w:hRule="exact" w:val="220"/>
        </w:trPr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8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Gd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5.01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5.23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5.07</w:t>
            </w:r>
          </w:p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132.85</w:t>
            </w:r>
          </w:p>
        </w:tc>
        <w:tc>
          <w:tcPr>
            <w:tcW w:type="dxa" w:w="1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2.0–6.0</w:t>
            </w:r>
          </w:p>
        </w:tc>
        <w:tc>
          <w:tcPr>
            <w:tcW w:type="dxa" w:w="1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0.13</w:t>
            </w:r>
          </w:p>
        </w:tc>
        <w:tc>
          <w:tcPr>
            <w:tcW w:type="dxa" w:w="1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8" w:after="0"/>
              <w:ind w:left="0" w:right="41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1.75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0.63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8" w:after="0"/>
              <w:ind w:left="0" w:right="16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0.53</w:t>
            </w:r>
          </w:p>
        </w:tc>
      </w:tr>
      <w:tr>
        <w:trPr>
          <w:trHeight w:hRule="exact" w:val="268"/>
        </w:trPr>
        <w:tc>
          <w:tcPr>
            <w:tcW w:type="dxa" w:w="66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8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Sr</w:t>
            </w:r>
          </w:p>
        </w:tc>
        <w:tc>
          <w:tcPr>
            <w:tcW w:type="dxa" w:w="74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5.01</w:t>
            </w:r>
          </w:p>
        </w:tc>
        <w:tc>
          <w:tcPr>
            <w:tcW w:type="dxa" w:w="74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5.23</w:t>
            </w:r>
          </w:p>
        </w:tc>
        <w:tc>
          <w:tcPr>
            <w:tcW w:type="dxa" w:w="74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4.99</w:t>
            </w:r>
          </w:p>
        </w:tc>
        <w:tc>
          <w:tcPr>
            <w:tcW w:type="dxa" w:w="180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130.86</w:t>
            </w:r>
          </w:p>
        </w:tc>
        <w:tc>
          <w:tcPr>
            <w:tcW w:type="dxa" w:w="160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4.5–16</w:t>
            </w:r>
          </w:p>
        </w:tc>
        <w:tc>
          <w:tcPr>
            <w:tcW w:type="dxa" w:w="100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0.21</w:t>
            </w:r>
          </w:p>
        </w:tc>
        <w:tc>
          <w:tcPr>
            <w:tcW w:type="dxa" w:w="120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8" w:after="0"/>
              <w:ind w:left="0" w:right="61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</w:t>
            </w:r>
          </w:p>
        </w:tc>
        <w:tc>
          <w:tcPr>
            <w:tcW w:type="dxa" w:w="90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0.41</w:t>
            </w:r>
          </w:p>
        </w:tc>
        <w:tc>
          <w:tcPr>
            <w:tcW w:type="dxa" w:w="82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8" w:after="0"/>
              <w:ind w:left="0" w:right="16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0.48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2240" w:h="16199"/>
          <w:pgMar w:top="306" w:right="998" w:bottom="398" w:left="1020" w:header="720" w:footer="720" w:gutter="0"/>
          <w:cols w:space="720" w:num="1" w:equalWidth="0">
            <w:col w:w="10222" w:space="0"/>
            <w:col w:w="5100" w:space="0"/>
            <w:col w:w="5122" w:space="0"/>
            <w:col w:w="10222" w:space="0"/>
            <w:col w:w="6780" w:space="0"/>
            <w:col w:w="3442" w:space="0"/>
            <w:col w:w="10222" w:space="0"/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19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8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7"/>
        <w:gridCol w:w="3407"/>
        <w:gridCol w:w="3407"/>
      </w:tblGrid>
      <w:tr>
        <w:trPr>
          <w:trHeight w:hRule="exact" w:val="140"/>
        </w:trPr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092906-4</w:t>
            </w:r>
          </w:p>
        </w:tc>
        <w:tc>
          <w:tcPr>
            <w:tcW w:type="dxa" w:w="3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7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Clima</w:t>
            </w:r>
            <w:r>
              <w:rPr>
                <w:rFonts w:ascii="AdvHelv_O" w:hAnsi="AdvHelv_O" w:eastAsia="AdvHelv_O"/>
                <w:b w:val="0"/>
                <w:i w:val="0"/>
                <w:color w:val="221F1F"/>
                <w:sz w:val="16"/>
              </w:rPr>
              <w:t xml:space="preserve"> et al.</w:t>
            </w:r>
          </w:p>
        </w:tc>
        <w:tc>
          <w:tcPr>
            <w:tcW w:type="dxa" w:w="5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Appl. Phys. Lett.</w:t>
            </w: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 xml:space="preserve"> 104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092906 (2014)</w:t>
            </w:r>
          </w:p>
        </w:tc>
      </w:tr>
    </w:tbl>
    <w:p>
      <w:pPr>
        <w:autoSpaceDN w:val="0"/>
        <w:autoSpaceDE w:val="0"/>
        <w:widowControl/>
        <w:spacing w:line="14" w:lineRule="exact" w:before="0" w:after="328"/>
        <w:ind w:left="0" w:right="0"/>
      </w:pPr>
    </w:p>
    <w:p>
      <w:pPr>
        <w:sectPr>
          <w:pgSz w:w="12240" w:h="16199"/>
          <w:pgMar w:top="306" w:right="998" w:bottom="1440" w:left="1020" w:header="720" w:footer="720" w:gutter="0"/>
          <w:cols w:space="720" w:num="1" w:equalWidth="0">
            <w:col w:w="10222" w:space="0"/>
            <w:col w:w="10222" w:space="0"/>
            <w:col w:w="5100" w:space="0"/>
            <w:col w:w="5122" w:space="0"/>
            <w:col w:w="10222" w:space="0"/>
            <w:col w:w="6780" w:space="0"/>
            <w:col w:w="3442" w:space="0"/>
            <w:col w:w="10222" w:space="0"/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198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40.0" w:type="dxa"/>
      </w:tblPr>
      <w:tblGrid>
        <w:gridCol w:w="5111"/>
        <w:gridCol w:w="5111"/>
      </w:tblGrid>
      <w:tr>
        <w:trPr>
          <w:trHeight w:hRule="exact" w:val="520"/>
        </w:trPr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14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54000" cy="215900"/>
                  <wp:docPr id="26" name="Picture 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00" cy="215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40" w:after="0"/>
              <w:ind w:left="40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14300" cy="101600"/>
                  <wp:docPr id="27" name="Picture 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" cy="10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40" w:lineRule="auto" w:before="20" w:after="0"/>
        <w:ind w:left="8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009900" cy="228600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286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2240" w:h="16199"/>
          <w:pgMar w:top="306" w:right="998" w:bottom="1440" w:left="1020" w:header="720" w:footer="720" w:gutter="0"/>
          <w:cols w:space="720" w:num="2" w:equalWidth="0">
            <w:col w:w="5050" w:space="0"/>
            <w:col w:w="5172" w:space="0"/>
            <w:col w:w="10222" w:space="0"/>
            <w:col w:w="10222" w:space="0"/>
            <w:col w:w="5100" w:space="0"/>
            <w:col w:w="5122" w:space="0"/>
            <w:col w:w="10222" w:space="0"/>
            <w:col w:w="6780" w:space="0"/>
            <w:col w:w="3442" w:space="0"/>
            <w:col w:w="10222" w:space="0"/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1982" w:space="0"/>
          </w:cols>
          <w:docGrid w:linePitch="360"/>
        </w:sectPr>
      </w:pPr>
    </w:p>
    <w:p>
      <w:pPr>
        <w:autoSpaceDN w:val="0"/>
        <w:autoSpaceDE w:val="0"/>
        <w:widowControl/>
        <w:spacing w:line="236" w:lineRule="exact" w:before="0" w:after="0"/>
        <w:ind w:left="230" w:right="2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correlation between the coercive field and the polarization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reversal energy barrier height with respect to the volume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unit cell and to the radius of the doping element used to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stabilize the o-HfO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phase. The shape and the dimension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unit cell of the crystal define the switching barrier poten-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tial and the amplitude of the displacement of the oxygen sub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network (i.e., the polarization). The application of a tensile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strain results in an increase of the polarization reversal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energy barrier.</w:t>
      </w:r>
    </w:p>
    <w:p>
      <w:pPr>
        <w:autoSpaceDN w:val="0"/>
        <w:autoSpaceDE w:val="0"/>
        <w:widowControl/>
        <w:spacing w:line="240" w:lineRule="exact" w:before="240" w:after="0"/>
        <w:ind w:left="230" w:right="2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This work was performed under the imec industrial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affiliation program. The work conducted at NaMLab was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financially supported by the European Fund for Regional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Development and the Free State of Saxony (Heiko/Cool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Memory project).</w:t>
      </w:r>
    </w:p>
    <w:p>
      <w:pPr>
        <w:autoSpaceDN w:val="0"/>
        <w:autoSpaceDE w:val="0"/>
        <w:widowControl/>
        <w:spacing w:line="188" w:lineRule="exact" w:before="314" w:after="8"/>
        <w:ind w:left="288" w:right="0" w:firstLine="0"/>
        <w:jc w:val="center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D. Martin, E. Yurchuk, S. Muller, J. Muller, J. Paul, J. Sundquist, S.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Slesazeck, T. Schlosser, R. van Bentum, M. Trentzsch, U. Schroder, and</w:t>
      </w:r>
    </w:p>
    <w:p>
      <w:pPr>
        <w:sectPr>
          <w:type w:val="nextColumn"/>
          <w:pgSz w:w="12240" w:h="16199"/>
          <w:pgMar w:top="306" w:right="998" w:bottom="1440" w:left="1020" w:header="720" w:footer="720" w:gutter="0"/>
          <w:cols w:space="720" w:num="2" w:equalWidth="0">
            <w:col w:w="5050" w:space="0"/>
            <w:col w:w="5172" w:space="0"/>
            <w:col w:w="10222" w:space="0"/>
            <w:col w:w="10222" w:space="0"/>
            <w:col w:w="5100" w:space="0"/>
            <w:col w:w="5122" w:space="0"/>
            <w:col w:w="10222" w:space="0"/>
            <w:col w:w="6780" w:space="0"/>
            <w:col w:w="3442" w:space="0"/>
            <w:col w:w="10222" w:space="0"/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198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0.0" w:type="dxa"/>
      </w:tblPr>
      <w:tblGrid>
        <w:gridCol w:w="786"/>
        <w:gridCol w:w="786"/>
        <w:gridCol w:w="786"/>
        <w:gridCol w:w="786"/>
        <w:gridCol w:w="786"/>
        <w:gridCol w:w="786"/>
        <w:gridCol w:w="786"/>
        <w:gridCol w:w="786"/>
        <w:gridCol w:w="786"/>
        <w:gridCol w:w="786"/>
        <w:gridCol w:w="786"/>
        <w:gridCol w:w="786"/>
        <w:gridCol w:w="786"/>
      </w:tblGrid>
      <w:tr>
        <w:trPr>
          <w:trHeight w:hRule="exact" w:val="180"/>
        </w:trPr>
        <w:tc>
          <w:tcPr>
            <w:tcW w:type="dxa" w:w="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60" w:after="0"/>
              <w:ind w:left="14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66700" cy="228600"/>
                  <wp:docPr id="29" name="Picture 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28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90500" cy="101600"/>
                  <wp:docPr id="30" name="Picture 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0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0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40" w:after="0"/>
              <w:ind w:left="44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914400" cy="203200"/>
                  <wp:docPr id="31" name="Picture 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203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6060"/>
            <w:gridSpan w:val="10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16" w:after="0"/>
              <w:ind w:left="126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T. Mikolajick,</w:t>
            </w:r>
            <w:r>
              <w:rPr>
                <w:rFonts w:ascii="AdvP6975" w:hAnsi="AdvP6975" w:eastAsia="AdvP6975"/>
                <w:b w:val="0"/>
                <w:i w:val="0"/>
                <w:color w:val="0000FF"/>
                <w:sz w:val="16"/>
              </w:rPr>
              <w:t xml:space="preserve"> </w:t>
            </w:r>
            <w:r>
              <w:rPr>
                <w:rFonts w:ascii="AdvP6975" w:hAnsi="AdvP6975" w:eastAsia="AdvP6975"/>
                <w:b w:val="0"/>
                <w:i w:val="0"/>
                <w:color w:val="0000FF"/>
                <w:sz w:val="16"/>
              </w:rPr>
              <w:hyperlink r:id="rId51" w:history="1">
                <w:r>
                  <w:rPr>
                    <w:rStyle w:val="Hyperlink"/>
                  </w:rPr>
                  <w:t>Solid-State Electron.</w:t>
                </w:r>
              </w:hyperlink>
            </w: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 xml:space="preserve"> 88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, 65 (2013).</w:t>
            </w:r>
          </w:p>
        </w:tc>
      </w:tr>
      <w:tr>
        <w:trPr>
          <w:trHeight w:hRule="exact" w:val="200"/>
        </w:trPr>
        <w:tc>
          <w:tcPr>
            <w:tcW w:type="dxa" w:w="786"/>
            <w:vMerge/>
            <w:tcBorders/>
          </w:tcPr>
          <w:p/>
        </w:tc>
        <w:tc>
          <w:tcPr>
            <w:tcW w:type="dxa" w:w="786"/>
            <w:vMerge/>
            <w:tcBorders/>
          </w:tcPr>
          <w:p/>
        </w:tc>
        <w:tc>
          <w:tcPr>
            <w:tcW w:type="dxa" w:w="786"/>
            <w:vMerge/>
            <w:tcBorders/>
          </w:tcPr>
          <w:p/>
        </w:tc>
        <w:tc>
          <w:tcPr>
            <w:tcW w:type="dxa" w:w="6060"/>
            <w:gridSpan w:val="10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0" w:after="0"/>
              <w:ind w:left="1200" w:right="0" w:firstLine="0"/>
              <w:jc w:val="left"/>
            </w:pP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2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P. Giannozzi, S. Baroni, N. Bonini, M. Calandra, R. Car, C. Cavazzoni, D.</w:t>
            </w:r>
          </w:p>
        </w:tc>
      </w:tr>
      <w:tr>
        <w:trPr>
          <w:trHeight w:hRule="exact" w:val="180"/>
        </w:trPr>
        <w:tc>
          <w:tcPr>
            <w:tcW w:type="dxa" w:w="786"/>
            <w:vMerge/>
            <w:tcBorders/>
          </w:tcPr>
          <w:p/>
        </w:tc>
        <w:tc>
          <w:tcPr>
            <w:tcW w:type="dxa" w:w="786"/>
            <w:vMerge/>
            <w:tcBorders/>
          </w:tcPr>
          <w:p/>
        </w:tc>
        <w:tc>
          <w:tcPr>
            <w:tcW w:type="dxa" w:w="786"/>
            <w:vMerge/>
            <w:tcBorders/>
          </w:tcPr>
          <w:p/>
        </w:tc>
        <w:tc>
          <w:tcPr>
            <w:tcW w:type="dxa" w:w="6060"/>
            <w:gridSpan w:val="10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126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Ceresoli, G. L. Chiarotti, M. Cococcioni, I. Dabo, A. Dal Corso, S. de</w:t>
            </w:r>
          </w:p>
        </w:tc>
      </w:tr>
      <w:tr>
        <w:trPr>
          <w:trHeight w:hRule="exact" w:val="208"/>
        </w:trPr>
        <w:tc>
          <w:tcPr>
            <w:tcW w:type="dxa" w:w="786"/>
            <w:vMerge/>
            <w:tcBorders/>
          </w:tcPr>
          <w:p/>
        </w:tc>
        <w:tc>
          <w:tcPr>
            <w:tcW w:type="dxa" w:w="786"/>
            <w:vMerge/>
            <w:tcBorders/>
          </w:tcPr>
          <w:p/>
        </w:tc>
        <w:tc>
          <w:tcPr>
            <w:tcW w:type="dxa" w:w="30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60" w:after="0"/>
              <w:ind w:left="8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04800" cy="114300"/>
                  <wp:docPr id="32" name="Picture 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114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0" w:right="46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Gironcoli,</w:t>
            </w:r>
          </w:p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S.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Fabris,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G.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Fratesi,</w:t>
            </w:r>
          </w:p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R.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Gebauer,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U.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Gerstmann,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C.</w:t>
            </w:r>
          </w:p>
        </w:tc>
      </w:tr>
      <w:tr>
        <w:trPr>
          <w:trHeight w:hRule="exact" w:val="190"/>
        </w:trPr>
        <w:tc>
          <w:tcPr>
            <w:tcW w:type="dxa" w:w="786"/>
            <w:vMerge/>
            <w:tcBorders/>
          </w:tcPr>
          <w:p/>
        </w:tc>
        <w:tc>
          <w:tcPr>
            <w:tcW w:type="dxa" w:w="786"/>
            <w:vMerge/>
            <w:tcBorders/>
          </w:tcPr>
          <w:p/>
        </w:tc>
        <w:tc>
          <w:tcPr>
            <w:tcW w:type="dxa" w:w="786"/>
            <w:vMerge/>
            <w:tcBorders/>
          </w:tcPr>
          <w:p/>
        </w:tc>
        <w:tc>
          <w:tcPr>
            <w:tcW w:type="dxa" w:w="6060"/>
            <w:gridSpan w:val="10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6" w:after="0"/>
              <w:ind w:left="126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Gougoussis, A. Kokalj, M. Lazzeri, L. Martin-Samos, N. Marzari, F.</w:t>
            </w:r>
          </w:p>
        </w:tc>
      </w:tr>
      <w:tr>
        <w:trPr>
          <w:trHeight w:hRule="exact" w:val="182"/>
        </w:trPr>
        <w:tc>
          <w:tcPr>
            <w:tcW w:type="dxa" w:w="786"/>
            <w:vMerge/>
            <w:tcBorders/>
          </w:tcPr>
          <w:p/>
        </w:tc>
        <w:tc>
          <w:tcPr>
            <w:tcW w:type="dxa" w:w="786"/>
            <w:vMerge/>
            <w:tcBorders/>
          </w:tcPr>
          <w:p/>
        </w:tc>
        <w:tc>
          <w:tcPr>
            <w:tcW w:type="dxa" w:w="786"/>
            <w:vMerge/>
            <w:tcBorders/>
          </w:tcPr>
          <w:p/>
        </w:tc>
        <w:tc>
          <w:tcPr>
            <w:tcW w:type="dxa" w:w="6060"/>
            <w:gridSpan w:val="10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6" w:after="0"/>
              <w:ind w:left="126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Mauri, R. Mazzarello, S. Paolini, A. Pasquarello, L. Paulatto, C. Sbraccia,</w:t>
            </w:r>
          </w:p>
        </w:tc>
      </w:tr>
      <w:tr>
        <w:trPr>
          <w:trHeight w:hRule="exact" w:val="162"/>
        </w:trPr>
        <w:tc>
          <w:tcPr>
            <w:tcW w:type="dxa" w:w="786"/>
            <w:vMerge/>
            <w:tcBorders/>
          </w:tcPr>
          <w:p/>
        </w:tc>
        <w:tc>
          <w:tcPr>
            <w:tcW w:type="dxa" w:w="786"/>
            <w:vMerge/>
            <w:tcBorders/>
          </w:tcPr>
          <w:p/>
        </w:tc>
        <w:tc>
          <w:tcPr>
            <w:tcW w:type="dxa" w:w="786"/>
            <w:vMerge/>
            <w:tcBorders/>
          </w:tcPr>
          <w:p/>
        </w:tc>
        <w:tc>
          <w:tcPr>
            <w:tcW w:type="dxa" w:w="6060"/>
            <w:gridSpan w:val="10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126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S. Scandolo, G. Sclauzero, A. P. Seitsonen, A. Smogunov, P. Umari, and</w:t>
            </w:r>
          </w:p>
        </w:tc>
      </w:tr>
    </w:tbl>
    <w:p>
      <w:pPr>
        <w:autoSpaceDN w:val="0"/>
        <w:autoSpaceDE w:val="0"/>
        <w:widowControl/>
        <w:spacing w:line="14" w:lineRule="exact" w:before="0" w:after="18"/>
        <w:ind w:left="0" w:right="0"/>
      </w:pPr>
    </w:p>
    <w:p>
      <w:pPr>
        <w:sectPr>
          <w:type w:val="continuous"/>
          <w:pgSz w:w="12240" w:h="16199"/>
          <w:pgMar w:top="306" w:right="998" w:bottom="1440" w:left="1020" w:header="720" w:footer="720" w:gutter="0"/>
          <w:cols w:space="720" w:num="1" w:equalWidth="0">
            <w:col w:w="10222" w:space="0"/>
            <w:col w:w="5050" w:space="0"/>
            <w:col w:w="5172" w:space="0"/>
            <w:col w:w="10222" w:space="0"/>
            <w:col w:w="10222" w:space="0"/>
            <w:col w:w="5100" w:space="0"/>
            <w:col w:w="5122" w:space="0"/>
            <w:col w:w="10222" w:space="0"/>
            <w:col w:w="6780" w:space="0"/>
            <w:col w:w="3442" w:space="0"/>
            <w:col w:w="10222" w:space="0"/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1982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048000" cy="2336800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336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00" w:after="0"/>
        <w:ind w:left="7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90500" cy="101600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0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2240" w:h="16199"/>
          <w:pgMar w:top="306" w:right="998" w:bottom="1440" w:left="1020" w:header="720" w:footer="720" w:gutter="0"/>
          <w:cols w:space="720" w:num="2" w:equalWidth="0">
            <w:col w:w="5070" w:space="0"/>
            <w:col w:w="5152" w:space="0"/>
            <w:col w:w="10222" w:space="0"/>
            <w:col w:w="5050" w:space="0"/>
            <w:col w:w="5172" w:space="0"/>
            <w:col w:w="10222" w:space="0"/>
            <w:col w:w="10222" w:space="0"/>
            <w:col w:w="5100" w:space="0"/>
            <w:col w:w="5122" w:space="0"/>
            <w:col w:w="10222" w:space="0"/>
            <w:col w:w="6780" w:space="0"/>
            <w:col w:w="3442" w:space="0"/>
            <w:col w:w="10222" w:space="0"/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1982" w:space="0"/>
          </w:cols>
          <w:docGrid w:linePitch="360"/>
        </w:sectPr>
      </w:pPr>
    </w:p>
    <w:p>
      <w:pPr>
        <w:autoSpaceDN w:val="0"/>
        <w:autoSpaceDE w:val="0"/>
        <w:widowControl/>
        <w:spacing w:line="164" w:lineRule="exact" w:before="0" w:after="0"/>
        <w:ind w:left="33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R. M. Wentzcovitch,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55" w:history="1">
          <w:r>
            <w:rPr>
              <w:rStyle w:val="Hyperlink"/>
            </w:rPr>
            <w:t>J. Phys.: Condens. Matter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21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395502 (2009).</w:t>
      </w:r>
    </w:p>
    <w:p>
      <w:pPr>
        <w:autoSpaceDN w:val="0"/>
        <w:autoSpaceDE w:val="0"/>
        <w:widowControl/>
        <w:spacing w:line="200" w:lineRule="exact" w:before="0" w:after="0"/>
        <w:ind w:left="27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R. D. Kingsmith and D. Vanderbilt,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56" w:history="1">
          <w:r>
            <w:rPr>
              <w:rStyle w:val="Hyperlink"/>
            </w:rPr>
            <w:t>Phys. Rev. B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47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1651 (1993).</w:t>
      </w:r>
    </w:p>
    <w:p>
      <w:pPr>
        <w:autoSpaceDN w:val="0"/>
        <w:autoSpaceDE w:val="0"/>
        <w:widowControl/>
        <w:spacing w:line="200" w:lineRule="exact" w:before="0" w:after="0"/>
        <w:ind w:left="27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4</w:t>
      </w:r>
      <w:r>
        <w:rPr>
          <w:rFonts w:ascii="AdvP6975" w:hAnsi="AdvP6975" w:eastAsia="AdvP6975"/>
          <w:b w:val="0"/>
          <w:i w:val="0"/>
          <w:color w:val="221F1F"/>
          <w:sz w:val="16"/>
        </w:rPr>
        <w:t>R. Resta,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57" w:history="1">
          <w:r>
            <w:rPr>
              <w:rStyle w:val="Hyperlink"/>
            </w:rPr>
            <w:t>Rev. Mod. Phys.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66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899 (1994).</w:t>
      </w:r>
    </w:p>
    <w:p>
      <w:pPr>
        <w:autoSpaceDN w:val="0"/>
        <w:autoSpaceDE w:val="0"/>
        <w:widowControl/>
        <w:spacing w:line="200" w:lineRule="exact" w:before="0" w:after="0"/>
        <w:ind w:left="27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N. A. Spaldin,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58" w:history="1">
          <w:r>
            <w:rPr>
              <w:rStyle w:val="Hyperlink"/>
            </w:rPr>
            <w:t>J. Solid State Chem.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195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2 (2012).</w:t>
      </w:r>
    </w:p>
    <w:p>
      <w:pPr>
        <w:autoSpaceDN w:val="0"/>
        <w:autoSpaceDE w:val="0"/>
        <w:widowControl/>
        <w:spacing w:line="200" w:lineRule="exact" w:before="0" w:after="0"/>
        <w:ind w:left="27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6</w:t>
      </w:r>
      <w:r>
        <w:rPr>
          <w:rFonts w:ascii="AdvP6975" w:hAnsi="AdvP6975" w:eastAsia="AdvP6975"/>
          <w:b w:val="0"/>
          <w:i w:val="0"/>
          <w:color w:val="221F1F"/>
          <w:sz w:val="16"/>
        </w:rPr>
        <w:t>G. Henkelman, B. P. Uberuaga, and H. Jonsson,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59" w:history="1">
          <w:r>
            <w:rPr>
              <w:rStyle w:val="Hyperlink"/>
            </w:rPr>
            <w:t>J. Chem. Phys.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113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9901</w:t>
      </w:r>
    </w:p>
    <w:p>
      <w:pPr>
        <w:autoSpaceDN w:val="0"/>
        <w:autoSpaceDE w:val="0"/>
        <w:widowControl/>
        <w:spacing w:line="160" w:lineRule="exact" w:before="26" w:after="0"/>
        <w:ind w:left="33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(2000).</w:t>
      </w:r>
    </w:p>
    <w:p>
      <w:pPr>
        <w:autoSpaceDN w:val="0"/>
        <w:autoSpaceDE w:val="0"/>
        <w:widowControl/>
        <w:spacing w:line="198" w:lineRule="exact" w:before="0" w:after="0"/>
        <w:ind w:left="27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7</w:t>
      </w:r>
      <w:r>
        <w:rPr>
          <w:rFonts w:ascii="AdvP6975" w:hAnsi="AdvP6975" w:eastAsia="AdvP6975"/>
          <w:b w:val="0"/>
          <w:i w:val="0"/>
          <w:color w:val="221F1F"/>
          <w:sz w:val="16"/>
        </w:rPr>
        <w:t>J. E. Lowther, J. K. Dewhurst, J. M. Leger, and J. Haines,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60" w:history="1">
          <w:r>
            <w:rPr>
              <w:rStyle w:val="Hyperlink"/>
            </w:rPr>
            <w:t>Phys. Rev. B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60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</w:t>
      </w:r>
    </w:p>
    <w:p>
      <w:pPr>
        <w:autoSpaceDN w:val="0"/>
        <w:autoSpaceDE w:val="0"/>
        <w:widowControl/>
        <w:spacing w:line="160" w:lineRule="exact" w:before="26" w:after="0"/>
        <w:ind w:left="33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14485 (1999).</w:t>
      </w:r>
    </w:p>
    <w:p>
      <w:pPr>
        <w:autoSpaceDN w:val="0"/>
        <w:autoSpaceDE w:val="0"/>
        <w:widowControl/>
        <w:spacing w:line="194" w:lineRule="exact" w:before="0" w:after="0"/>
        <w:ind w:left="27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8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T. Olsen, U. Schroeder, S. Mueller, A. Krause, D. Martin, A. Singh, J.</w:t>
      </w:r>
    </w:p>
    <w:p>
      <w:pPr>
        <w:autoSpaceDN w:val="0"/>
        <w:autoSpaceDE w:val="0"/>
        <w:widowControl/>
        <w:spacing w:line="164" w:lineRule="exact" w:before="32" w:after="0"/>
        <w:ind w:left="33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Mueller, M. Geidel, and T. Mikolajick,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61" w:history="1">
          <w:r>
            <w:rPr>
              <w:rStyle w:val="Hyperlink"/>
            </w:rPr>
            <w:t>Appl. 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101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082905</w:t>
      </w:r>
    </w:p>
    <w:p>
      <w:pPr>
        <w:autoSpaceDN w:val="0"/>
        <w:autoSpaceDE w:val="0"/>
        <w:widowControl/>
        <w:spacing w:line="160" w:lineRule="exact" w:before="26" w:after="0"/>
        <w:ind w:left="33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(2012).</w:t>
      </w:r>
    </w:p>
    <w:p>
      <w:pPr>
        <w:autoSpaceDN w:val="0"/>
        <w:autoSpaceDE w:val="0"/>
        <w:widowControl/>
        <w:spacing w:line="196" w:lineRule="exact" w:before="0" w:after="0"/>
        <w:ind w:left="27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9</w:t>
      </w:r>
      <w:r>
        <w:rPr>
          <w:rFonts w:ascii="AdvP6975" w:hAnsi="AdvP6975" w:eastAsia="AdvP6975"/>
          <w:b w:val="0"/>
          <w:i w:val="0"/>
          <w:color w:val="221F1F"/>
          <w:sz w:val="16"/>
        </w:rPr>
        <w:t>J. Muller, T. S. Boscke, U. Schroder, S. Mueller, D. Brauhaus, U. Bottger,</w:t>
      </w:r>
    </w:p>
    <w:p>
      <w:pPr>
        <w:autoSpaceDN w:val="0"/>
        <w:autoSpaceDE w:val="0"/>
        <w:widowControl/>
        <w:spacing w:line="164" w:lineRule="exact" w:before="30" w:after="0"/>
        <w:ind w:left="33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L. Frey, and T. Mikolajick,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62" w:history="1">
          <w:r>
            <w:rPr>
              <w:rStyle w:val="Hyperlink"/>
            </w:rPr>
            <w:t>Nano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4318 (2012).</w:t>
      </w:r>
    </w:p>
    <w:p>
      <w:pPr>
        <w:autoSpaceDN w:val="0"/>
        <w:autoSpaceDE w:val="0"/>
        <w:widowControl/>
        <w:spacing w:line="198" w:lineRule="exact" w:before="0" w:after="0"/>
        <w:ind w:left="21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10</w:t>
      </w:r>
      <w:r>
        <w:rPr>
          <w:rFonts w:ascii="AdvP6975" w:hAnsi="AdvP6975" w:eastAsia="AdvP6975"/>
          <w:b w:val="0"/>
          <w:i w:val="0"/>
          <w:color w:val="221F1F"/>
          <w:sz w:val="16"/>
        </w:rPr>
        <w:t>R. Resta, M. Posternak, and A. Baldereschi,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63" w:history="1">
          <w:r>
            <w:rPr>
              <w:rStyle w:val="Hyperlink"/>
            </w:rPr>
            <w:t>Phys. Rev.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70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1010</w:t>
      </w:r>
    </w:p>
    <w:p>
      <w:pPr>
        <w:autoSpaceDN w:val="0"/>
        <w:autoSpaceDE w:val="0"/>
        <w:widowControl/>
        <w:spacing w:line="160" w:lineRule="exact" w:before="26" w:after="0"/>
        <w:ind w:left="33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(1993).</w:t>
      </w:r>
    </w:p>
    <w:p>
      <w:pPr>
        <w:autoSpaceDN w:val="0"/>
        <w:autoSpaceDE w:val="0"/>
        <w:widowControl/>
        <w:spacing w:line="194" w:lineRule="exact" w:before="0" w:after="0"/>
        <w:ind w:left="21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11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T. S. Boescke, J. Mueller, D. Braeuhaus, U. Schroeder, and U. Boettger,</w:t>
      </w:r>
    </w:p>
    <w:p>
      <w:pPr>
        <w:autoSpaceDN w:val="0"/>
        <w:autoSpaceDE w:val="0"/>
        <w:widowControl/>
        <w:spacing w:line="164" w:lineRule="exact" w:before="32" w:after="0"/>
        <w:ind w:left="330" w:right="0" w:firstLine="0"/>
        <w:jc w:val="left"/>
      </w:pPr>
      <w:r>
        <w:rPr>
          <w:rFonts w:ascii="AdvP6975" w:hAnsi="AdvP6975" w:eastAsia="AdvP6975"/>
          <w:b w:val="0"/>
          <w:i w:val="0"/>
          <w:color w:val="0000FF"/>
          <w:sz w:val="16"/>
        </w:rPr>
        <w:hyperlink r:id="rId64" w:history="1">
          <w:r>
            <w:rPr>
              <w:rStyle w:val="Hyperlink"/>
            </w:rPr>
            <w:t>Appl. 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99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102903 (2011).</w:t>
      </w:r>
    </w:p>
    <w:p>
      <w:pPr>
        <w:autoSpaceDN w:val="0"/>
        <w:autoSpaceDE w:val="0"/>
        <w:widowControl/>
        <w:spacing w:line="200" w:lineRule="exact" w:before="0" w:after="0"/>
        <w:ind w:left="21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V. M. Fridkin and S. Ducharme,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65" w:history="1">
          <w:r>
            <w:rPr>
              <w:rStyle w:val="Hyperlink"/>
            </w:rPr>
            <w:t>Phys. Solid State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43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1320 (2001).</w:t>
      </w:r>
    </w:p>
    <w:p>
      <w:pPr>
        <w:autoSpaceDN w:val="0"/>
        <w:autoSpaceDE w:val="0"/>
        <w:widowControl/>
        <w:spacing w:line="196" w:lineRule="exact" w:before="0" w:after="0"/>
        <w:ind w:left="21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J. Mueller, U. Schroeder, T. S. Boescke, I. Mueller, U. Boettger, L. Wilde,</w:t>
      </w:r>
    </w:p>
    <w:p>
      <w:pPr>
        <w:autoSpaceDN w:val="0"/>
        <w:autoSpaceDE w:val="0"/>
        <w:widowControl/>
        <w:spacing w:line="160" w:lineRule="exact" w:before="30" w:after="0"/>
        <w:ind w:left="33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J. Sundqvist, M. Lemberger, P. Kuecher, T. Mikolajick, and L. Frey,</w:t>
      </w:r>
    </w:p>
    <w:p>
      <w:pPr>
        <w:autoSpaceDN w:val="0"/>
        <w:autoSpaceDE w:val="0"/>
        <w:widowControl/>
        <w:spacing w:line="166" w:lineRule="exact" w:before="28" w:after="0"/>
        <w:ind w:left="330" w:right="0" w:firstLine="0"/>
        <w:jc w:val="left"/>
      </w:pPr>
      <w:r>
        <w:rPr>
          <w:rFonts w:ascii="AdvP6975" w:hAnsi="AdvP6975" w:eastAsia="AdvP6975"/>
          <w:b w:val="0"/>
          <w:i w:val="0"/>
          <w:color w:val="0000FF"/>
          <w:sz w:val="16"/>
        </w:rPr>
        <w:hyperlink r:id="rId66" w:history="1">
          <w:r>
            <w:rPr>
              <w:rStyle w:val="Hyperlink"/>
            </w:rPr>
            <w:t>J. Appl. Phys.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110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114113 (2011).</w:t>
      </w:r>
    </w:p>
    <w:p>
      <w:pPr>
        <w:autoSpaceDN w:val="0"/>
        <w:autoSpaceDE w:val="0"/>
        <w:widowControl/>
        <w:spacing w:line="196" w:lineRule="exact" w:before="0" w:after="24"/>
        <w:ind w:left="21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14</w:t>
      </w:r>
      <w:r>
        <w:rPr>
          <w:rFonts w:ascii="AdvP6975" w:hAnsi="AdvP6975" w:eastAsia="AdvP6975"/>
          <w:b w:val="0"/>
          <w:i w:val="0"/>
          <w:color w:val="221F1F"/>
          <w:sz w:val="16"/>
        </w:rPr>
        <w:t>S. P. Beckman, X. Wang, K. M. Rabe, and D. Vanderbilt,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67" w:history="1">
          <w:r>
            <w:rPr>
              <w:rStyle w:val="Hyperlink"/>
            </w:rPr>
            <w:t>Phys. Rev. B</w:t>
          </w:r>
        </w:hyperlink>
      </w:r>
    </w:p>
    <w:p>
      <w:pPr>
        <w:sectPr>
          <w:type w:val="nextColumn"/>
          <w:pgSz w:w="12240" w:h="16199"/>
          <w:pgMar w:top="306" w:right="998" w:bottom="1440" w:left="1020" w:header="720" w:footer="720" w:gutter="0"/>
          <w:cols w:space="720" w:num="2" w:equalWidth="0">
            <w:col w:w="5070" w:space="0"/>
            <w:col w:w="5152" w:space="0"/>
            <w:col w:w="10222" w:space="0"/>
            <w:col w:w="5050" w:space="0"/>
            <w:col w:w="5172" w:space="0"/>
            <w:col w:w="10222" w:space="0"/>
            <w:col w:w="10222" w:space="0"/>
            <w:col w:w="5100" w:space="0"/>
            <w:col w:w="5122" w:space="0"/>
            <w:col w:w="10222" w:space="0"/>
            <w:col w:w="6780" w:space="0"/>
            <w:col w:w="3442" w:space="0"/>
            <w:col w:w="10222" w:space="0"/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1982" w:space="0"/>
          </w:cols>
          <w:docGrid w:linePitch="360"/>
        </w:sectPr>
      </w:pPr>
    </w:p>
    <w:p>
      <w:pPr>
        <w:autoSpaceDN w:val="0"/>
        <w:tabs>
          <w:tab w:pos="5280" w:val="left"/>
          <w:tab w:pos="5400" w:val="left"/>
        </w:tabs>
        <w:autoSpaceDE w:val="0"/>
        <w:widowControl/>
        <w:spacing w:line="240" w:lineRule="auto" w:before="0" w:after="140"/>
        <w:ind w:left="224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57200" cy="177800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1778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15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R. Dittrich, T. Schrefl, D. Suess, W. Scholz, H. Forster, and J. Fidler, </w:t>
      </w:r>
      <w:r>
        <w:tab/>
      </w:r>
      <w:r>
        <w:rPr>
          <w:rFonts w:ascii="AdvP6960" w:hAnsi="AdvP6960" w:eastAsia="AdvP6960"/>
          <w:b w:val="0"/>
          <w:i w:val="0"/>
          <w:color w:val="221F1F"/>
          <w:sz w:val="16"/>
        </w:rPr>
        <w:t>79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144124 (2009).</w:t>
      </w:r>
    </w:p>
    <w:p>
      <w:pPr>
        <w:sectPr>
          <w:type w:val="continuous"/>
          <w:pgSz w:w="12240" w:h="16199"/>
          <w:pgMar w:top="306" w:right="998" w:bottom="1440" w:left="1020" w:header="720" w:footer="720" w:gutter="0"/>
          <w:cols w:space="720" w:num="1" w:equalWidth="0">
            <w:col w:w="10222" w:space="0"/>
            <w:col w:w="5070" w:space="0"/>
            <w:col w:w="5152" w:space="0"/>
            <w:col w:w="10222" w:space="0"/>
            <w:col w:w="5050" w:space="0"/>
            <w:col w:w="5172" w:space="0"/>
            <w:col w:w="10222" w:space="0"/>
            <w:col w:w="10222" w:space="0"/>
            <w:col w:w="5100" w:space="0"/>
            <w:col w:w="5122" w:space="0"/>
            <w:col w:w="10222" w:space="0"/>
            <w:col w:w="6780" w:space="0"/>
            <w:col w:w="3442" w:space="0"/>
            <w:col w:w="10222" w:space="0"/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1982" w:space="0"/>
          </w:cols>
          <w:docGrid w:linePitch="360"/>
        </w:sectPr>
      </w:pPr>
    </w:p>
    <w:p>
      <w:pPr>
        <w:autoSpaceDN w:val="0"/>
        <w:autoSpaceDE w:val="0"/>
        <w:widowControl/>
        <w:spacing w:line="184" w:lineRule="exact" w:before="0" w:after="0"/>
        <w:ind w:left="0" w:right="144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FIG. 3. Polarization reversal barrier height (unit cell E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a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) and coercive field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(E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c</w:t>
      </w:r>
      <w:r>
        <w:rPr>
          <w:rFonts w:ascii="AdvP6975" w:hAnsi="AdvP6975" w:eastAsia="AdvP6975"/>
          <w:b w:val="0"/>
          <w:i w:val="0"/>
          <w:color w:val="221F1F"/>
          <w:sz w:val="16"/>
        </w:rPr>
        <w:t>) evolution with the unit cell volume (a) and dopant atom radius (b).</w:t>
      </w:r>
    </w:p>
    <w:p>
      <w:pPr>
        <w:autoSpaceDN w:val="0"/>
        <w:autoSpaceDE w:val="0"/>
        <w:widowControl/>
        <w:spacing w:line="218" w:lineRule="exact" w:before="294" w:after="0"/>
        <w:ind w:left="0" w:right="144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o-HfO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 The phenomenon occurs through a coordinated dis-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placement of four O ions in the orthorhombic unit cell. The</w:t>
      </w:r>
    </w:p>
    <w:p>
      <w:pPr>
        <w:autoSpaceDN w:val="0"/>
        <w:autoSpaceDE w:val="0"/>
        <w:widowControl/>
        <w:spacing w:line="248" w:lineRule="exact" w:before="0" w:after="0"/>
        <w:ind w:left="0" w:right="144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maximum saturation polarization computed using experi-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mental cell parameters is 53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l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C/cm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 There is a qualitative</w:t>
      </w:r>
    </w:p>
    <w:p>
      <w:pPr>
        <w:sectPr>
          <w:type w:val="continuous"/>
          <w:pgSz w:w="12240" w:h="16199"/>
          <w:pgMar w:top="306" w:right="998" w:bottom="1440" w:left="1020" w:header="720" w:footer="720" w:gutter="0"/>
          <w:cols w:space="720" w:num="2" w:equalWidth="0">
            <w:col w:w="5100" w:space="0"/>
            <w:col w:w="5122" w:space="0"/>
            <w:col w:w="10222" w:space="0"/>
            <w:col w:w="5070" w:space="0"/>
            <w:col w:w="5152" w:space="0"/>
            <w:col w:w="10222" w:space="0"/>
            <w:col w:w="5050" w:space="0"/>
            <w:col w:w="5172" w:space="0"/>
            <w:col w:w="10222" w:space="0"/>
            <w:col w:w="10222" w:space="0"/>
            <w:col w:w="5100" w:space="0"/>
            <w:col w:w="5122" w:space="0"/>
            <w:col w:w="10222" w:space="0"/>
            <w:col w:w="6780" w:space="0"/>
            <w:col w:w="3442" w:space="0"/>
            <w:col w:w="10222" w:space="0"/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1982" w:space="0"/>
          </w:cols>
          <w:docGrid w:linePitch="360"/>
        </w:sectPr>
      </w:pPr>
    </w:p>
    <w:p>
      <w:pPr>
        <w:autoSpaceDN w:val="0"/>
        <w:autoSpaceDE w:val="0"/>
        <w:widowControl/>
        <w:spacing w:line="164" w:lineRule="exact" w:before="0" w:after="0"/>
        <w:ind w:left="300" w:right="0" w:firstLine="0"/>
        <w:jc w:val="left"/>
      </w:pPr>
      <w:r>
        <w:rPr>
          <w:rFonts w:ascii="AdvP6975" w:hAnsi="AdvP6975" w:eastAsia="AdvP6975"/>
          <w:b w:val="0"/>
          <w:i w:val="0"/>
          <w:color w:val="0000FF"/>
          <w:sz w:val="16"/>
        </w:rPr>
        <w:hyperlink r:id="rId69" w:history="1">
          <w:r>
            <w:rPr>
              <w:rStyle w:val="Hyperlink"/>
            </w:rPr>
            <w:t>J. Magn. Magn. Mater.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250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12 (2002).</w:t>
      </w:r>
    </w:p>
    <w:p>
      <w:pPr>
        <w:autoSpaceDN w:val="0"/>
        <w:autoSpaceDE w:val="0"/>
        <w:widowControl/>
        <w:spacing w:line="196" w:lineRule="exact" w:before="0" w:after="0"/>
        <w:ind w:left="18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16</w:t>
      </w:r>
      <w:r>
        <w:rPr>
          <w:rFonts w:ascii="AdvP6975" w:hAnsi="AdvP6975" w:eastAsia="AdvP6975"/>
          <w:b w:val="0"/>
          <w:i w:val="0"/>
          <w:color w:val="221F1F"/>
          <w:sz w:val="16"/>
        </w:rPr>
        <w:t>E. Yurchuk, J. Mueller, S. Knebel, J. Sundqvist, A. P. Graham, T. Melde,</w:t>
      </w:r>
    </w:p>
    <w:p>
      <w:pPr>
        <w:autoSpaceDN w:val="0"/>
        <w:autoSpaceDE w:val="0"/>
        <w:widowControl/>
        <w:spacing w:line="164" w:lineRule="exact" w:before="30" w:after="0"/>
        <w:ind w:left="30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U. Schroeder, and T. Mikolajick,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70" w:history="1">
          <w:r>
            <w:rPr>
              <w:rStyle w:val="Hyperlink"/>
            </w:rPr>
            <w:t>Thin Solid Films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533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88 (2013).</w:t>
      </w:r>
    </w:p>
    <w:p>
      <w:pPr>
        <w:autoSpaceDN w:val="0"/>
        <w:autoSpaceDE w:val="0"/>
        <w:widowControl/>
        <w:spacing w:line="192" w:lineRule="exact" w:before="0" w:after="0"/>
        <w:ind w:left="18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17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T. Schenk, S. Mueller, U. Schroeder, R. Materlik, A. Kersch, M. Popovici,</w:t>
      </w:r>
    </w:p>
    <w:p>
      <w:pPr>
        <w:autoSpaceDN w:val="0"/>
        <w:autoSpaceDE w:val="0"/>
        <w:widowControl/>
        <w:spacing w:line="164" w:lineRule="exact" w:before="32" w:after="0"/>
        <w:ind w:left="30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C. Adelmann, S. Van Elshocht, and T. Mikolajick, in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European Solid-</w:t>
      </w:r>
    </w:p>
    <w:p>
      <w:pPr>
        <w:autoSpaceDN w:val="0"/>
        <w:autoSpaceDE w:val="0"/>
        <w:widowControl/>
        <w:spacing w:line="166" w:lineRule="exact" w:before="24" w:after="0"/>
        <w:ind w:left="300" w:right="0" w:firstLine="0"/>
        <w:jc w:val="left"/>
      </w:pPr>
      <w:r>
        <w:rPr>
          <w:rFonts w:ascii="AdvP696A" w:hAnsi="AdvP696A" w:eastAsia="AdvP696A"/>
          <w:b w:val="0"/>
          <w:i w:val="0"/>
          <w:color w:val="221F1F"/>
          <w:sz w:val="16"/>
        </w:rPr>
        <w:t>State Device Research Conference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(Bucharest, 2013), p. 1046.</w:t>
      </w:r>
    </w:p>
    <w:p>
      <w:pPr>
        <w:autoSpaceDN w:val="0"/>
        <w:autoSpaceDE w:val="0"/>
        <w:widowControl/>
        <w:spacing w:line="196" w:lineRule="exact" w:before="0" w:after="0"/>
        <w:ind w:left="18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18</w:t>
      </w:r>
      <w:r>
        <w:rPr>
          <w:rFonts w:ascii="AdvP6975" w:hAnsi="AdvP6975" w:eastAsia="AdvP6975"/>
          <w:b w:val="0"/>
          <w:i w:val="0"/>
          <w:color w:val="221F1F"/>
          <w:sz w:val="16"/>
        </w:rPr>
        <w:t>J. Mueller, T. S. Boescke, D. Braeuhaus, U. Schroeder, U. Boettger, J.</w:t>
      </w:r>
    </w:p>
    <w:p>
      <w:pPr>
        <w:autoSpaceDN w:val="0"/>
        <w:autoSpaceDE w:val="0"/>
        <w:widowControl/>
        <w:spacing w:line="164" w:lineRule="exact" w:before="30" w:after="0"/>
        <w:ind w:left="30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Sundqvist, P. Kuecher, T. Mikolajick, and L. Frey,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71" w:history="1">
          <w:r>
            <w:rPr>
              <w:rStyle w:val="Hyperlink"/>
            </w:rPr>
            <w:t>Appl. 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99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</w:t>
      </w:r>
    </w:p>
    <w:p>
      <w:pPr>
        <w:autoSpaceDN w:val="0"/>
        <w:autoSpaceDE w:val="0"/>
        <w:widowControl/>
        <w:spacing w:line="160" w:lineRule="exact" w:before="26" w:after="0"/>
        <w:ind w:left="30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112901 (2011).</w:t>
      </w:r>
    </w:p>
    <w:sectPr w:rsidR="00FC693F" w:rsidRPr="0006063C" w:rsidSect="00034616">
      <w:type w:val="nextColumn"/>
      <w:pgSz w:w="12240" w:h="16199"/>
      <w:pgMar w:top="306" w:right="998" w:bottom="1440" w:left="1020" w:header="720" w:footer="720" w:gutter="0"/>
      <w:cols w:space="720" w:num="2" w:equalWidth="0">
        <w:col w:w="5100" w:space="0"/>
        <w:col w:w="5122" w:space="0"/>
        <w:col w:w="10222" w:space="0"/>
        <w:col w:w="5070" w:space="0"/>
        <w:col w:w="5152" w:space="0"/>
        <w:col w:w="10222" w:space="0"/>
        <w:col w:w="5050" w:space="0"/>
        <w:col w:w="5172" w:space="0"/>
        <w:col w:w="10222" w:space="0"/>
        <w:col w:w="10222" w:space="0"/>
        <w:col w:w="5100" w:space="0"/>
        <w:col w:w="5122" w:space="0"/>
        <w:col w:w="10222" w:space="0"/>
        <w:col w:w="6780" w:space="0"/>
        <w:col w:w="3442" w:space="0"/>
        <w:col w:w="10222" w:space="0"/>
        <w:col w:w="5102" w:space="0"/>
        <w:col w:w="5120" w:space="0"/>
        <w:col w:w="10222" w:space="0"/>
        <w:col w:w="10222" w:space="0"/>
        <w:col w:w="5102" w:space="0"/>
        <w:col w:w="5120" w:space="0"/>
        <w:col w:w="10222" w:space="0"/>
        <w:col w:w="11982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hyperlink" Target="https://doi.org/10.1063/1.4867975" TargetMode="External"/><Relationship Id="rId11" Type="http://schemas.openxmlformats.org/officeDocument/2006/relationships/hyperlink" Target="https://aip.scitation.org/author/Clima%2C+S" TargetMode="External"/><Relationship Id="rId12" Type="http://schemas.openxmlformats.org/officeDocument/2006/relationships/hyperlink" Target="https://aip.scitation.org/author/Wouters%2C+D+J" TargetMode="External"/><Relationship Id="rId13" Type="http://schemas.openxmlformats.org/officeDocument/2006/relationships/hyperlink" Target="https://aip.scitation.org/author/Adelmann%2C+C" TargetMode="External"/><Relationship Id="rId14" Type="http://schemas.openxmlformats.org/officeDocument/2006/relationships/hyperlink" Target="https://aip.scitation.org/author/Schenk%2C+T" TargetMode="External"/><Relationship Id="rId15" Type="http://schemas.openxmlformats.org/officeDocument/2006/relationships/hyperlink" Target="https://aip.scitation.org/author/Schroeder%2C+U" TargetMode="External"/><Relationship Id="rId16" Type="http://schemas.openxmlformats.org/officeDocument/2006/relationships/hyperlink" Target="https://aip.scitation.org/author/Jurczak%2C+M" TargetMode="External"/><Relationship Id="rId17" Type="http://schemas.openxmlformats.org/officeDocument/2006/relationships/hyperlink" Target="https://aip.scitation.org/author/Pourtois%2C+G" TargetMode="External"/><Relationship Id="rId18" Type="http://schemas.openxmlformats.org/officeDocument/2006/relationships/image" Target="media/image2.png"/><Relationship Id="rId19" Type="http://schemas.openxmlformats.org/officeDocument/2006/relationships/image" Target="media/image3.png"/><Relationship Id="rId20" Type="http://schemas.openxmlformats.org/officeDocument/2006/relationships/image" Target="media/image4.png"/><Relationship Id="rId21" Type="http://schemas.openxmlformats.org/officeDocument/2006/relationships/hyperlink" Target="https://aip.scitation.org/doi/10.1063/1.3634052" TargetMode="External"/><Relationship Id="rId22" Type="http://schemas.openxmlformats.org/officeDocument/2006/relationships/hyperlink" Target="https://doi.org/10.1063/1.3634052" TargetMode="External"/><Relationship Id="rId23" Type="http://schemas.openxmlformats.org/officeDocument/2006/relationships/hyperlink" Target="https://aip.scitation.org/doi/10.1063/1.4927805" TargetMode="External"/><Relationship Id="rId24" Type="http://schemas.openxmlformats.org/officeDocument/2006/relationships/hyperlink" Target="https://doi.org/10.1063/1.4927805" TargetMode="External"/><Relationship Id="rId25" Type="http://schemas.openxmlformats.org/officeDocument/2006/relationships/hyperlink" Target="https://aip.scitation.org/doi/10.1063/1.4916707" TargetMode="External"/><Relationship Id="rId26" Type="http://schemas.openxmlformats.org/officeDocument/2006/relationships/hyperlink" Target="https://doi.org/10.1063/1.4916707" TargetMode="External"/><Relationship Id="rId27" Type="http://schemas.openxmlformats.org/officeDocument/2006/relationships/image" Target="media/image5.png"/><Relationship Id="rId28" Type="http://schemas.openxmlformats.org/officeDocument/2006/relationships/image" Target="media/image6.png"/><Relationship Id="rId29" Type="http://schemas.openxmlformats.org/officeDocument/2006/relationships/hyperlink" Target="http://dx.doi.org/10.1063/1.4867975" TargetMode="External"/><Relationship Id="rId30" Type="http://schemas.openxmlformats.org/officeDocument/2006/relationships/image" Target="media/image7.png"/><Relationship Id="rId31" Type="http://schemas.openxmlformats.org/officeDocument/2006/relationships/image" Target="media/image8.png"/><Relationship Id="rId32" Type="http://schemas.openxmlformats.org/officeDocument/2006/relationships/image" Target="media/image9.png"/><Relationship Id="rId33" Type="http://schemas.openxmlformats.org/officeDocument/2006/relationships/image" Target="media/image10.png"/><Relationship Id="rId34" Type="http://schemas.openxmlformats.org/officeDocument/2006/relationships/image" Target="media/image11.png"/><Relationship Id="rId35" Type="http://schemas.openxmlformats.org/officeDocument/2006/relationships/image" Target="media/image12.png"/><Relationship Id="rId36" Type="http://schemas.openxmlformats.org/officeDocument/2006/relationships/image" Target="media/image13.png"/><Relationship Id="rId37" Type="http://schemas.openxmlformats.org/officeDocument/2006/relationships/image" Target="media/image14.png"/><Relationship Id="rId38" Type="http://schemas.openxmlformats.org/officeDocument/2006/relationships/image" Target="media/image15.png"/><Relationship Id="rId39" Type="http://schemas.openxmlformats.org/officeDocument/2006/relationships/image" Target="media/image16.png"/><Relationship Id="rId40" Type="http://schemas.openxmlformats.org/officeDocument/2006/relationships/image" Target="media/image17.png"/><Relationship Id="rId41" Type="http://schemas.openxmlformats.org/officeDocument/2006/relationships/image" Target="media/image18.png"/><Relationship Id="rId42" Type="http://schemas.openxmlformats.org/officeDocument/2006/relationships/image" Target="media/image19.png"/><Relationship Id="rId43" Type="http://schemas.openxmlformats.org/officeDocument/2006/relationships/image" Target="media/image20.png"/><Relationship Id="rId44" Type="http://schemas.openxmlformats.org/officeDocument/2006/relationships/image" Target="media/image21.png"/><Relationship Id="rId45" Type="http://schemas.openxmlformats.org/officeDocument/2006/relationships/image" Target="media/image22.png"/><Relationship Id="rId46" Type="http://schemas.openxmlformats.org/officeDocument/2006/relationships/image" Target="media/image23.png"/><Relationship Id="rId47" Type="http://schemas.openxmlformats.org/officeDocument/2006/relationships/image" Target="media/image24.png"/><Relationship Id="rId48" Type="http://schemas.openxmlformats.org/officeDocument/2006/relationships/image" Target="media/image25.png"/><Relationship Id="rId49" Type="http://schemas.openxmlformats.org/officeDocument/2006/relationships/image" Target="media/image26.png"/><Relationship Id="rId50" Type="http://schemas.openxmlformats.org/officeDocument/2006/relationships/image" Target="media/image27.png"/><Relationship Id="rId51" Type="http://schemas.openxmlformats.org/officeDocument/2006/relationships/hyperlink" Target="http://dx.doi.org/10.1016/j.sse.2013.04.013" TargetMode="External"/><Relationship Id="rId52" Type="http://schemas.openxmlformats.org/officeDocument/2006/relationships/image" Target="media/image28.png"/><Relationship Id="rId53" Type="http://schemas.openxmlformats.org/officeDocument/2006/relationships/image" Target="media/image29.png"/><Relationship Id="rId54" Type="http://schemas.openxmlformats.org/officeDocument/2006/relationships/image" Target="media/image30.png"/><Relationship Id="rId55" Type="http://schemas.openxmlformats.org/officeDocument/2006/relationships/hyperlink" Target="http://dx.doi.org/10.1088/0953-8984/21/39/395502" TargetMode="External"/><Relationship Id="rId56" Type="http://schemas.openxmlformats.org/officeDocument/2006/relationships/hyperlink" Target="http://dx.doi.org/10.1103/PhysRevB.47.1651" TargetMode="External"/><Relationship Id="rId57" Type="http://schemas.openxmlformats.org/officeDocument/2006/relationships/hyperlink" Target="http://dx.doi.org/10.1103/RevModPhys.66.899" TargetMode="External"/><Relationship Id="rId58" Type="http://schemas.openxmlformats.org/officeDocument/2006/relationships/hyperlink" Target="http://dx.doi.org/10.1016/j.jssc.2012.05.010" TargetMode="External"/><Relationship Id="rId59" Type="http://schemas.openxmlformats.org/officeDocument/2006/relationships/hyperlink" Target="http://dx.doi.org/10.1063/1.1329672" TargetMode="External"/><Relationship Id="rId60" Type="http://schemas.openxmlformats.org/officeDocument/2006/relationships/hyperlink" Target="http://dx.doi.org/10.1103/PhysRevB.60.14485" TargetMode="External"/><Relationship Id="rId61" Type="http://schemas.openxmlformats.org/officeDocument/2006/relationships/hyperlink" Target="http://dx.doi.org/10.1063/1.4747209" TargetMode="External"/><Relationship Id="rId62" Type="http://schemas.openxmlformats.org/officeDocument/2006/relationships/hyperlink" Target="http://dx.doi.org/10.1021/nl302049k" TargetMode="External"/><Relationship Id="rId63" Type="http://schemas.openxmlformats.org/officeDocument/2006/relationships/hyperlink" Target="http://dx.doi.org/10.1103/PhysRevLett.70.1010" TargetMode="External"/><Relationship Id="rId64" Type="http://schemas.openxmlformats.org/officeDocument/2006/relationships/hyperlink" Target="http://dx.doi.org/10.1063/1.3634052" TargetMode="External"/><Relationship Id="rId65" Type="http://schemas.openxmlformats.org/officeDocument/2006/relationships/hyperlink" Target="http://dx.doi.org/10.1134/1.1386472" TargetMode="External"/><Relationship Id="rId66" Type="http://schemas.openxmlformats.org/officeDocument/2006/relationships/hyperlink" Target="http://dx.doi.org/10.1063/1.3667205" TargetMode="External"/><Relationship Id="rId67" Type="http://schemas.openxmlformats.org/officeDocument/2006/relationships/hyperlink" Target="http://dx.doi.org/10.1103/PhysRevB.79.144124" TargetMode="External"/><Relationship Id="rId68" Type="http://schemas.openxmlformats.org/officeDocument/2006/relationships/image" Target="media/image31.png"/><Relationship Id="rId69" Type="http://schemas.openxmlformats.org/officeDocument/2006/relationships/hyperlink" Target="http://dx.doi.org/10.1016/S0304-8853(02)00388-8" TargetMode="External"/><Relationship Id="rId70" Type="http://schemas.openxmlformats.org/officeDocument/2006/relationships/hyperlink" Target="http://dx.doi.org/10.1016/j.tsf.2012.11.125" TargetMode="External"/><Relationship Id="rId71" Type="http://schemas.openxmlformats.org/officeDocument/2006/relationships/hyperlink" Target="http://dx.doi.org/10.1063/1.3636417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