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 10.1109/LED.2017.2653848, IEEE Electron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" w:type="dxa"/>
      </w:tblPr>
      <w:tblGrid>
        <w:gridCol w:w="5894"/>
        <w:gridCol w:w="5894"/>
      </w:tblGrid>
      <w:tr>
        <w:trPr>
          <w:trHeight w:hRule="exact" w:val="504"/>
        </w:trPr>
        <w:tc>
          <w:tcPr>
            <w:tcW w:type="dxa" w:w="10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6" w:val="left"/>
              </w:tabs>
              <w:autoSpaceDE w:val="0"/>
              <w:widowControl/>
              <w:spacing w:line="222" w:lineRule="exact" w:before="0" w:after="0"/>
              <w:ind w:left="356" w:right="14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Device Letters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&gt; REPLACE THIS LINE WITH YOUR PAPER IDENTIFICATION NUMBER (DOUBLE-CLICK HERE TO EDIT) &lt;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640" w:lineRule="exact" w:before="448" w:after="0"/>
        <w:ind w:left="14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-Based Highly Stable Radiation-Immune </w:t>
      </w:r>
    </w:p>
    <w:p>
      <w:pPr>
        <w:autoSpaceDN w:val="0"/>
        <w:autoSpaceDE w:val="0"/>
        <w:widowControl/>
        <w:spacing w:line="640" w:lineRule="exact" w:before="0" w:after="0"/>
        <w:ind w:left="0" w:right="36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Ferroelectric Memory </w:t>
      </w:r>
    </w:p>
    <w:p>
      <w:pPr>
        <w:autoSpaceDN w:val="0"/>
        <w:autoSpaceDE w:val="0"/>
        <w:widowControl/>
        <w:spacing w:line="294" w:lineRule="exact" w:before="38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Fei Huang</w:t>
      </w:r>
      <w:r>
        <w:rPr>
          <w:rFonts w:ascii="SimSun" w:hAnsi="SimSun" w:eastAsia="SimSun"/>
          <w:b w:val="0"/>
          <w:i w:val="0"/>
          <w:color w:val="000000"/>
          <w:sz w:val="11"/>
        </w:rPr>
        <w:t>†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Yan Wang</w:t>
      </w:r>
      <w:r>
        <w:rPr>
          <w:rFonts w:ascii="SimSun" w:hAnsi="SimSun" w:eastAsia="SimSun"/>
          <w:b w:val="0"/>
          <w:i w:val="0"/>
          <w:color w:val="000000"/>
          <w:sz w:val="11"/>
        </w:rPr>
        <w:t>†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Xiao Liang, Jun Qin, Yan Zhang, Xiufang Yuan, Zhuo Wang, Bo Peng, </w:t>
      </w:r>
    </w:p>
    <w:p>
      <w:pPr>
        <w:autoSpaceDN w:val="0"/>
        <w:autoSpaceDE w:val="0"/>
        <w:widowControl/>
        <w:spacing w:line="294" w:lineRule="exact" w:before="0" w:after="49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Longjiang Deng, Qi Liu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Member, IEEE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Lei Bi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and Ming Liu,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Senior Member, IEEE</w:t>
      </w:r>
    </w:p>
    <w:p>
      <w:pPr>
        <w:sectPr>
          <w:pgSz w:w="12240" w:h="15840"/>
          <w:pgMar w:top="18" w:right="216" w:bottom="130" w:left="236" w:header="720" w:footer="720" w:gutter="0"/>
          <w:cols w:space="720" w:num="1" w:equalWidth="0"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7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</w:t>
      </w:r>
    </w:p>
    <w:p>
      <w:pPr>
        <w:autoSpaceDN w:val="0"/>
        <w:autoSpaceDE w:val="0"/>
        <w:widowControl/>
        <w:spacing w:line="245" w:lineRule="auto" w:before="12" w:after="0"/>
        <w:ind w:left="700" w:right="122" w:firstLine="202"/>
        <w:jc w:val="both"/>
      </w:pPr>
      <w:r>
        <w:rPr>
          <w:rFonts w:ascii="Times New Roman" w:hAnsi="Times New Roman" w:eastAsia="Times New Roman"/>
          <w:b/>
          <w:i/>
          <w:color w:val="000000"/>
          <w:sz w:val="18"/>
        </w:rPr>
        <w:t>Abstract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>—In this letter, HfO</w:t>
      </w:r>
      <w:r>
        <w:rPr>
          <w:rFonts w:ascii="Times New Roman" w:hAnsi="Times New Roman" w:eastAsia="Times New Roman"/>
          <w:b/>
          <w:i w:val="0"/>
          <w:color w:val="000000"/>
          <w:sz w:val="12"/>
        </w:rPr>
        <w:t>2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-based ferroelectric random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access memory (FeRAM) with metal-insulator-metal structure is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studied for the first time under radiation conditions. Y-doped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>HfO</w:t>
      </w:r>
      <w:r>
        <w:rPr>
          <w:rFonts w:ascii="Times New Roman" w:hAnsi="Times New Roman" w:eastAsia="Times New Roman"/>
          <w:b/>
          <w:i w:val="0"/>
          <w:color w:val="000000"/>
          <w:sz w:val="12"/>
        </w:rPr>
        <w:t>2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-based FeRAM devices show high immunity to </w:t>
      </w:r>
      <w:r>
        <w:rPr>
          <w:rFonts w:ascii="Times New Roman" w:hAnsi="Times New Roman" w:eastAsia="Times New Roman"/>
          <w:b/>
          <w:i w:val="0"/>
          <w:color w:val="000000"/>
          <w:sz w:val="12"/>
        </w:rPr>
        <w:t>60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Co γ ray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radiation. Basic FeRAM parameters such as leakage current,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permittivity, remanent polarization, endurance and fatigue show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almost no degradation after γ ray radiation with a total dose as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high as 12.96 Mrad (SI). Furthermore, the ferroelectric hysteresis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loops show no distortion after radiation. The high stability of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>Y-doped HfO</w:t>
      </w:r>
      <w:r>
        <w:rPr>
          <w:rFonts w:ascii="Times New Roman" w:hAnsi="Times New Roman" w:eastAsia="Times New Roman"/>
          <w:b/>
          <w:i w:val="0"/>
          <w:color w:val="000000"/>
          <w:sz w:val="12"/>
        </w:rPr>
        <w:t>2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 FeRAM devices under radiation demonstrates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their great potential for nuclear and aerospace applications. </w:t>
      </w:r>
    </w:p>
    <w:p>
      <w:pPr>
        <w:autoSpaceDN w:val="0"/>
        <w:tabs>
          <w:tab w:pos="902" w:val="left"/>
        </w:tabs>
        <w:autoSpaceDE w:val="0"/>
        <w:widowControl/>
        <w:spacing w:line="266" w:lineRule="auto" w:before="188" w:after="0"/>
        <w:ind w:left="70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18"/>
        </w:rPr>
        <w:t>Index Terms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>—HfO</w:t>
      </w:r>
      <w:r>
        <w:rPr>
          <w:rFonts w:ascii="Times New Roman" w:hAnsi="Times New Roman" w:eastAsia="Times New Roman"/>
          <w:b/>
          <w:i w:val="0"/>
          <w:color w:val="000000"/>
          <w:sz w:val="12"/>
        </w:rPr>
        <w:t>2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, radiation, ferroelectric random access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memory (FeRAM), γ ray. </w:t>
      </w:r>
    </w:p>
    <w:p>
      <w:pPr>
        <w:autoSpaceDN w:val="0"/>
        <w:autoSpaceDE w:val="0"/>
        <w:widowControl/>
        <w:spacing w:line="280" w:lineRule="exact" w:before="406" w:after="0"/>
        <w:ind w:left="576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56"/>
        </w:rPr>
        <w:t xml:space="preserve">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ERROELECTRIC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random access memory (FeRAM)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attracted great attention as promising candidates for future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density, low power, and non-volatile memory 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recent years [1], [2]. One application for FeRAM is to serve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space exploration and nuclear industry [3] due to their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radiation hardness. Up till now, many studies have shown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stability of FeRAM fabricated by lead zirconate titanate (PZT)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radiation environment [4], [5]. However, the scaling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 and poor CMOS compatibility of traditional </w:t>
      </w:r>
    </w:p>
    <w:p>
      <w:pPr>
        <w:autoSpaceDN w:val="0"/>
        <w:autoSpaceDE w:val="0"/>
        <w:widowControl/>
        <w:spacing w:line="184" w:lineRule="exact" w:before="464" w:after="0"/>
        <w:ind w:left="700" w:right="126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work was supported in part by the National Natural Science Foundation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China under Grant 61475031, 51302027, 51522204 and 61404164, by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National 973 Program of China under Grant 2015CB654901, by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Fundamental Research Funds for the Central Universities under Grant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ZYGX2014Z001, by the Science Foundation for Youths of Sichuan Province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under Grant 2015JQO014, by the Austrian-Chinese Cooperative R&amp;D Projects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under Grant 172511KYSB20150006, by the Ministry of Education Program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Introducing Talents of Discipline (111 project) under Grant B13042, and by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National Research Foundation for the Doctoral Program of Higher Education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China under Grant ZYGX2013J028. </w:t>
      </w:r>
    </w:p>
    <w:p>
      <w:pPr>
        <w:autoSpaceDN w:val="0"/>
        <w:autoSpaceDE w:val="0"/>
        <w:widowControl/>
        <w:spacing w:line="184" w:lineRule="exact" w:before="30" w:after="0"/>
        <w:ind w:left="700" w:right="12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F. Huang, X. Liang, J. Qin, Y. Zhang, X. Yuan, Z. Wang, B. Peng, L. Deng,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L. Bi are with the National Engineering Research Center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Electromagnetic Radiation Control Materials, University of Electronic Science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Technology of China, Chengdu 610054, China, with the State Key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Laboratory of Electronic Thin Films and Integrated Devices, University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Electronic Science and Technology of China, Chengdu 610054, China, and also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with the Key Laboratory of Multi-spectral Absorbing Materials and Structures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Ministry of Education, University of Electronic Science and Technology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China, Chengdu 610054, China. </w:t>
      </w:r>
    </w:p>
    <w:p>
      <w:pPr>
        <w:autoSpaceDN w:val="0"/>
        <w:autoSpaceDE w:val="0"/>
        <w:widowControl/>
        <w:spacing w:line="184" w:lineRule="exact" w:before="30" w:after="0"/>
        <w:ind w:left="700" w:right="12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Y. Wang, Q. Liu, and M. Liu are with the Key Laboratory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Microelectronics Device &amp; Integrated Technology, Lab of Nanofabrication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Novel Device Integration, IMECAS, Beijing 1000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 xml:space="preserve">29, China. </w:t>
          </w:r>
        </w:hyperlink>
      </w:r>
    </w:p>
    <w:p>
      <w:pPr>
        <w:autoSpaceDN w:val="0"/>
        <w:autoSpaceDE w:val="0"/>
        <w:widowControl/>
        <w:spacing w:line="214" w:lineRule="exact" w:before="0" w:after="0"/>
        <w:ind w:left="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Corresponding 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uthors: Q. Liu(e-mail: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  <w:u w:val="single"/>
        </w:rPr>
        <w:hyperlink r:id="rId9" w:history="1">
          <w:r>
            <w:rPr>
              <w:rStyle w:val="Hyperlink"/>
            </w:rPr>
            <w:t>liuqi@ime.ac.cn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and L. </w:t>
      </w:r>
    </w:p>
    <w:p>
      <w:pPr>
        <w:autoSpaceDN w:val="0"/>
        <w:autoSpaceDE w:val="0"/>
        <w:widowControl/>
        <w:spacing w:line="216" w:lineRule="exact" w:before="0" w:after="0"/>
        <w:ind w:left="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16"/>
          <w:u w:val="single"/>
        </w:rPr>
        <w:hyperlink r:id="rId10" w:history="1">
          <w:r>
            <w:rPr>
              <w:rStyle w:val="Hyperlink"/>
            </w:rPr>
            <w:t>bilei@uestc.edu.cn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SimSun" w:hAnsi="SimSun" w:eastAsia="SimSun"/>
          <w:b w:val="0"/>
          <w:i w:val="0"/>
          <w:color w:val="000000"/>
          <w:sz w:val="8"/>
        </w:rPr>
        <w:t>†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These authors contribute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>d equally to this w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ork. </w:t>
      </w:r>
    </w:p>
    <w:p>
      <w:pPr>
        <w:sectPr>
          <w:type w:val="continuous"/>
          <w:pgSz w:w="12240" w:h="15840"/>
          <w:pgMar w:top="18" w:right="216" w:bottom="130" w:left="236" w:header="720" w:footer="720" w:gutter="0"/>
          <w:cols w:space="720" w:num="2" w:equalWidth="0"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tabs>
          <w:tab w:pos="326" w:val="left"/>
          <w:tab w:pos="1110" w:val="left"/>
          <w:tab w:pos="1922" w:val="left"/>
          <w:tab w:pos="2356" w:val="left"/>
          <w:tab w:pos="3576" w:val="left"/>
          <w:tab w:pos="4508" w:val="left"/>
        </w:tabs>
        <w:autoSpaceDE w:val="0"/>
        <w:widowControl/>
        <w:spacing w:line="242" w:lineRule="exact" w:before="24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materials impedes further development of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density, radiation hard FeRAM.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has been widely adopted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industry standard gate dielectric in logic and memory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 [6]. Recently reported ferroelectric properties in doped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triggered the interest in application of these materials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memories [7], which may overcome the scaling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 of traditional ferroelectric memories such as PZT.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up to now, there has been no report addressing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Understanding the radiation effect on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based FeRAM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promote their application in high radiation environments.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letter, we report the radiation effect of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 γ ray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-based (HYO) FeRAM with a TiN/HYO/TiN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structure. Device parameters such as material structures,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leakage current, permittivity, remanent polarization 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endurance and fatigue characteristics are analyzed before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radiation conditions. We focus on the total ionizing dose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(TID) effect in this letter [3], [4]. The device is found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extremely resistant to γ ray radiations with almost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deterioration for most of the device parameters. </w:t>
      </w:r>
    </w:p>
    <w:p>
      <w:pPr>
        <w:autoSpaceDN w:val="0"/>
        <w:autoSpaceDE w:val="0"/>
        <w:widowControl/>
        <w:spacing w:line="266" w:lineRule="exact" w:before="216" w:after="0"/>
        <w:ind w:left="0" w:right="24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XPERIMENTS </w:t>
      </w:r>
    </w:p>
    <w:p>
      <w:pPr>
        <w:autoSpaceDN w:val="0"/>
        <w:tabs>
          <w:tab w:pos="324" w:val="left"/>
          <w:tab w:pos="920" w:val="left"/>
          <w:tab w:pos="2388" w:val="left"/>
          <w:tab w:pos="2990" w:val="left"/>
          <w:tab w:pos="3640" w:val="left"/>
          <w:tab w:pos="4394" w:val="left"/>
          <w:tab w:pos="4916" w:val="left"/>
        </w:tabs>
        <w:autoSpaceDE w:val="0"/>
        <w:widowControl/>
        <w:spacing w:line="242" w:lineRule="exact" w:before="68" w:after="648"/>
        <w:ind w:left="12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metal-ferroelectric-metal (MFM) device structure is used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this study. A schematic of the device structure is shown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inset of Fig. 1(b), which is consisted of a Au/TiN/HYO/TiN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capacitor structure. The thickness of HYO, bottom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top TiN layers are 20 nm, 120 nm and 30 nm, respectively.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Y concentration in the HYO film is 3.8 mol%.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phase is crystallized by a post metallization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annealing process [8]. The fabrication method of this device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reported in our previous work [8]. The radiation source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 is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 γ ray and the radiation rate is 100 rad/s.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radiation, devices are in open circuit state and the γ ray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perpendicular to the sample surface. For radiation experiments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electric field bias, a 1.6 V DC bias was applied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devices. For hysteresis loop measurements, triangle pulses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frequency of 2 kHz were applied by using a pulse generator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unit (B1530A, Agilent). The field amplitude is in the range of 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MV/cm to 2.5 MV/cm. The switching current was monitored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using a remote-sense and switch unit (RSU, Agilent).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density-electric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capacitance-voltage 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C-V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curves were measured by using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Agilent B1500A semiconductor device analyzer. In the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C-V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measurements, the AC bias frequency was 50 kHz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amplitude was 30 mV. The crystal structure of the HYO films </w:t>
      </w:r>
    </w:p>
    <w:p>
      <w:pPr>
        <w:sectPr>
          <w:type w:val="nextColumn"/>
          <w:pgSz w:w="12240" w:h="15840"/>
          <w:pgMar w:top="18" w:right="216" w:bottom="130" w:left="236" w:header="720" w:footer="720" w:gutter="0"/>
          <w:cols w:space="720" w:num="2" w:equalWidth="0"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0741-3106 (c) 2016 IEEE. Personal use is permitted, but republication/redistribution requires IEEE permission. 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18" w:right="216" w:bottom="130" w:left="236" w:header="720" w:footer="720" w:gutter="0"/>
          <w:cols w:space="720" w:num="1" w:equalWidth="0"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 10.1109/LED.2017.2653848, IEEE Electron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" w:type="dxa"/>
      </w:tblPr>
      <w:tblGrid>
        <w:gridCol w:w="5894"/>
        <w:gridCol w:w="5894"/>
      </w:tblGrid>
      <w:tr>
        <w:trPr>
          <w:trHeight w:hRule="exact" w:val="424"/>
        </w:trPr>
        <w:tc>
          <w:tcPr>
            <w:tcW w:type="dxa" w:w="10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6" w:val="left"/>
              </w:tabs>
              <w:autoSpaceDE w:val="0"/>
              <w:widowControl/>
              <w:spacing w:line="222" w:lineRule="exact" w:before="0" w:after="0"/>
              <w:ind w:left="356" w:right="14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Device Letters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&gt; REPLACE THIS LINE WITH YOUR PAPER IDENTIFICATION NUMBER (DOUBLE-CLICK HERE TO EDIT) &lt;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8"/>
        <w:ind w:left="0" w:right="0"/>
      </w:pPr>
    </w:p>
    <w:p>
      <w:pPr>
        <w:sectPr>
          <w:pgSz w:w="12240" w:h="15840"/>
          <w:pgMar w:top="18" w:right="216" w:bottom="130" w:left="236" w:header="720" w:footer="720" w:gutter="0"/>
          <w:cols w:space="720" w:num="1" w:equalWidth="0">
            <w:col w:w="11788" w:space="0"/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3410" cy="2221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22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28" w:after="0"/>
        <w:ind w:left="7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 X-ray diffraction spectrum (a), 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curves (b), 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C-V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curves (c), and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hysteresis loops (d) of a device with various radiation total doses. </w:t>
      </w:r>
    </w:p>
    <w:p>
      <w:pPr>
        <w:autoSpaceDN w:val="0"/>
        <w:autoSpaceDE w:val="0"/>
        <w:widowControl/>
        <w:spacing w:line="240" w:lineRule="exact" w:before="188" w:after="0"/>
        <w:ind w:left="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was analyzed by using an X-ray diffractometer (XRD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XRD-7000, SHIMADZU). </w:t>
      </w:r>
    </w:p>
    <w:p>
      <w:pPr>
        <w:autoSpaceDN w:val="0"/>
        <w:autoSpaceDE w:val="0"/>
        <w:widowControl/>
        <w:spacing w:line="266" w:lineRule="exact" w:before="220" w:after="0"/>
        <w:ind w:left="0" w:right="14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ESULTS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2" w:lineRule="exact" w:before="64" w:after="0"/>
        <w:ind w:left="700" w:right="0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We first characterized the crystal structure,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C-V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curves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ferroelectric hysteresis of the devices before and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radiation. Fig. 1(a) shows the XRD patterns of devices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various radiation total doses. At the pristine state, diffraction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peaks from an orthorhombic phase of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which contributes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ferroelectricity are observed. After 5.4 Mrad and 10.8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Mrad radiation, the peak positions and half peak widths are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significantly altered. No diffraction peaks from other phases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emerge. The little intensity difference may be caused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variation of sample position between tests. Therefore,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radiation causes no distinct effect on the crystal structures.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current density-electric field 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curves of one device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after radiation are shown in Fig. 1(b). The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curve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measured by ramping the voltage from 0 V to 3.6 V and then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0 V to -3.6 V. Polarization switching current is observed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around ±1.1 MV/cm. After radiation, the leakage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density increases slightly from 1.29×10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-7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to 1.56×10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-7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1.8 MV/cm. It has been investigated that the 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O</w:t>
      </w:r>
      <w:r>
        <w:rPr>
          <w:rFonts w:ascii="Cambria Math" w:hAnsi="Cambria Math" w:eastAsia="Cambria Math"/>
          <w:b w:val="0"/>
          <w:i w:val="0"/>
          <w:color w:val="000000"/>
          <w:sz w:val="14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14"/>
        </w:rPr>
        <w:t>−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</w:p>
    <w:p>
      <w:pPr>
        <w:autoSpaceDN w:val="0"/>
        <w:autoSpaceDE w:val="0"/>
        <w:widowControl/>
        <w:spacing w:line="240" w:lineRule="auto" w:before="284" w:after="0"/>
        <w:ind w:left="7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2140" cy="2221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22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2" w:after="0"/>
        <w:ind w:left="700" w:right="20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2.  The distribution of 2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after (a) 5.4 Mrad and (c) 10.8 Mrad radiation,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respectively. The probability plot after (b) 5.4 Mrad and (d) 10.8 Mrad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radiation is also presented. </w:t>
      </w:r>
    </w:p>
    <w:p>
      <w:pPr>
        <w:sectPr>
          <w:type w:val="continuous"/>
          <w:pgSz w:w="12240" w:h="15840"/>
          <w:pgMar w:top="18" w:right="216" w:bottom="130" w:left="236" w:header="720" w:footer="720" w:gutter="0"/>
          <w:cols w:space="720" w:num="2" w:equalWidth="0">
            <w:col w:w="5908" w:space="0"/>
            <w:col w:w="5880" w:space="0"/>
            <w:col w:w="11788" w:space="0"/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4680" cy="22237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23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30" w:after="0"/>
        <w:ind w:left="194" w:right="67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3.  Fatigue characteristics with various radiation total doses measured at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(a) 1.3 MV/cm, (b) 1.4 MV/cm, (c) 1.6 MV/cm, and (d) 1.8 MV/cm,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respectively. Devices broke down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cycles when cycling at 1.8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MV/cm. </w:t>
      </w:r>
    </w:p>
    <w:p>
      <w:pPr>
        <w:autoSpaceDN w:val="0"/>
        <w:tabs>
          <w:tab w:pos="1288" w:val="left"/>
          <w:tab w:pos="2390" w:val="left"/>
          <w:tab w:pos="3002" w:val="left"/>
          <w:tab w:pos="3660" w:val="left"/>
          <w:tab w:pos="4380" w:val="left"/>
        </w:tabs>
        <w:autoSpaceDE w:val="0"/>
        <w:widowControl/>
        <w:spacing w:line="242" w:lineRule="exact" w:before="24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xygen vacancies are induced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thin films by the γ ray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[9]. Therefore, an increase of leakage current can be induced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defects. The leakage current is highly stable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exposure to γ ray radiation. This is quite different from previous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reports in Bi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3.25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0.75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(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BLT) [10], and Bi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3.15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0.85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(BNT) [ 11 ] FeRAM devices where the leakage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decreases or increases dramatically after radiation, respectively.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stable leakage current property of our device is beneficial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memory applications. There are also minor changes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observed in the capacitance-voltage 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C-V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curves after 5.4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Mrad and 10.8 Mrad radiation as shown in Fig. 1(c).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decrement of permittivity of about -0.4 % is observed,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far less than that of BLT [10], PZT [4], and BNT [12] systems.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Besides, the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C-V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curves do not display any distortion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asymmetry after the radiation, which is also better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previous reports [10]. Fig. 1(d) shows the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hysteresis loops with various radiation total doses. The coercive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is about 1.2 MV/cm, which is slightly larger than that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our previous work [8]. This can be caused by the variation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deposition process conditions.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1.02 Mrad irradiating,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 was stood for 72 hours to simulate the situation that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restarts after the last work. Although a slight “imprint” effect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were also observed in other reports [4], [13]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observed in our devices after 72 hours, it does not change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remarkably. The value of 2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remains almost the same as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pristine state even after 12.96 Mrad radiation. This stable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is significantly better than other ferroelectric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[10]-[13].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materials </w:t>
      </w:r>
    </w:p>
    <w:p>
      <w:pPr>
        <w:autoSpaceDN w:val="0"/>
        <w:autoSpaceDE w:val="0"/>
        <w:widowControl/>
        <w:spacing w:line="240" w:lineRule="auto" w:before="186" w:after="0"/>
        <w:ind w:left="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4680" cy="12026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02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30" w:after="650"/>
        <w:ind w:left="120" w:right="7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4.  (a) Characteristics of hysteresis loops before and after radiation with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bias electric field. (b) Characteristics of hysteresis loops only with bias electric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field. </w:t>
      </w:r>
    </w:p>
    <w:p>
      <w:pPr>
        <w:sectPr>
          <w:type w:val="nextColumn"/>
          <w:pgSz w:w="12240" w:h="15840"/>
          <w:pgMar w:top="18" w:right="216" w:bottom="130" w:left="236" w:header="720" w:footer="720" w:gutter="0"/>
          <w:cols w:space="720" w:num="2" w:equalWidth="0">
            <w:col w:w="5908" w:space="0"/>
            <w:col w:w="5880" w:space="0"/>
            <w:col w:w="11788" w:space="0"/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0741-3106 (c) 2016 IEEE. Personal use is permitted, but republication/redistribution requires IEEE permission. 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18" w:right="216" w:bottom="130" w:left="236" w:header="720" w:footer="720" w:gutter="0"/>
          <w:cols w:space="720" w:num="1" w:equalWidth="0">
            <w:col w:w="11788" w:space="0"/>
            <w:col w:w="5908" w:space="0"/>
            <w:col w:w="5880" w:space="0"/>
            <w:col w:w="11788" w:space="0"/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 10.1109/LED.2017.2653848, IEEE Electron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" w:type="dxa"/>
      </w:tblPr>
      <w:tblGrid>
        <w:gridCol w:w="5894"/>
        <w:gridCol w:w="5894"/>
      </w:tblGrid>
      <w:tr>
        <w:trPr>
          <w:trHeight w:hRule="exact" w:val="504"/>
        </w:trPr>
        <w:tc>
          <w:tcPr>
            <w:tcW w:type="dxa" w:w="10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6" w:val="left"/>
              </w:tabs>
              <w:autoSpaceDE w:val="0"/>
              <w:widowControl/>
              <w:spacing w:line="222" w:lineRule="exact" w:before="0" w:after="0"/>
              <w:ind w:left="356" w:right="14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Device Letters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&gt; REPLACE THIS LINE WITH YOUR PAPER IDENTIFICATION NUMBER (DOUBLE-CLICK HERE TO EDIT) &lt;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84" w:lineRule="exact" w:before="284" w:after="10"/>
        <w:ind w:left="3168" w:right="316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TABLE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OMPARISON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ADIATION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  <w:u w:val="single"/>
        </w:rPr>
        <w:t>-H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ARDENED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ROPERTIES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IFFERENT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ATERIALS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" w:type="dxa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rHeight w:hRule="exact" w:val="199"/>
        </w:trPr>
        <w:tc>
          <w:tcPr>
            <w:tcW w:type="dxa" w:w="262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5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 xml:space="preserve">Material </w:t>
            </w:r>
          </w:p>
        </w:tc>
        <w:tc>
          <w:tcPr>
            <w:tcW w:type="dxa" w:w="1376"/>
            <w:gridSpan w:val="2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2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 xml:space="preserve">Thickness </w:t>
            </w:r>
          </w:p>
        </w:tc>
        <w:tc>
          <w:tcPr>
            <w:tcW w:type="dxa" w:w="1602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 xml:space="preserve">Radiation Source </w:t>
            </w:r>
          </w:p>
        </w:tc>
        <w:tc>
          <w:tcPr>
            <w:tcW w:type="dxa" w:w="1418"/>
            <w:gridSpan w:val="3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 xml:space="preserve">TID (Mrad) </w:t>
            </w:r>
          </w:p>
        </w:tc>
        <w:tc>
          <w:tcPr>
            <w:tcW w:type="dxa" w:w="1392"/>
            <w:gridSpan w:val="2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>Variation of 2P</w:t>
            </w: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0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-28 %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-20 % ~ -30 %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-3 %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-25 %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0.4 % </w:t>
            </w:r>
          </w:p>
        </w:tc>
        <w:tc>
          <w:tcPr>
            <w:tcW w:type="dxa" w:w="2708"/>
            <w:gridSpan w:val="4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221F1F"/>
                <w:sz w:val="16"/>
              </w:rPr>
              <w:t xml:space="preserve">Variation of Permittivity </w:t>
            </w:r>
          </w:p>
        </w:tc>
      </w:tr>
      <w:tr>
        <w:trPr>
          <w:trHeight w:hRule="exact" w:val="726"/>
        </w:trPr>
        <w:tc>
          <w:tcPr>
            <w:tcW w:type="dxa" w:w="2700"/>
            <w:gridSpan w:val="2"/>
            <w:vMerge w:val="restart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15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BLT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PZT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BNT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SBT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13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HYO (this work) </w:t>
            </w:r>
          </w:p>
        </w:tc>
        <w:tc>
          <w:tcPr>
            <w:tcW w:type="dxa" w:w="1300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400 nm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400 nm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250 nm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330 nm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 nm </w:t>
            </w:r>
          </w:p>
        </w:tc>
        <w:tc>
          <w:tcPr>
            <w:tcW w:type="dxa" w:w="1602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 γ 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 γ 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γ 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Co γ ray</w:t>
            </w:r>
          </w:p>
        </w:tc>
        <w:tc>
          <w:tcPr>
            <w:tcW w:type="dxa" w:w="1418"/>
            <w:gridSpan w:val="3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10.8 </w:t>
            </w:r>
          </w:p>
        </w:tc>
        <w:tc>
          <w:tcPr>
            <w:tcW w:type="dxa" w:w="1814"/>
            <w:gridSpan w:val="2"/>
            <w:vMerge/>
            <w:tcBorders>
              <w:bottom w:sz="4.0" w:val="single" w:color="#000000"/>
            </w:tcBorders>
          </w:tcPr>
          <w:p/>
        </w:tc>
        <w:tc>
          <w:tcPr>
            <w:tcW w:type="dxa" w:w="2708"/>
            <w:gridSpan w:val="4"/>
            <w:vMerge w:val="restart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432" w:right="129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About -43 %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About -8 %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N/A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N/A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-0.4 % </w:t>
            </w:r>
          </w:p>
        </w:tc>
      </w:tr>
      <w:tr>
        <w:trPr>
          <w:trHeight w:hRule="exact" w:val="224"/>
        </w:trPr>
        <w:tc>
          <w:tcPr>
            <w:tcW w:type="dxa" w:w="1814"/>
            <w:gridSpan w:val="2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907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6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Co γ ray</w:t>
            </w:r>
          </w:p>
        </w:tc>
        <w:tc>
          <w:tcPr>
            <w:tcW w:type="dxa" w:w="2721"/>
            <w:gridSpan w:val="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14"/>
            <w:gridSpan w:val="2"/>
            <w:vMerge/>
            <w:tcBorders>
              <w:bottom w:sz="4.0" w:val="single" w:color="#000000"/>
            </w:tcBorders>
          </w:tcPr>
          <w:p/>
        </w:tc>
        <w:tc>
          <w:tcPr>
            <w:tcW w:type="dxa" w:w="3628"/>
            <w:gridSpan w:val="4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5516"/>
        </w:trPr>
        <w:tc>
          <w:tcPr>
            <w:tcW w:type="dxa" w:w="5602"/>
            <w:gridSpan w:val="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92" w:after="0"/>
              <w:ind w:left="356" w:right="156" w:firstLine="204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further verify that devices based on HYO ferroelectric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thin films are highly stable under radiation, 25 devices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tested and analyzed using a statistical approach. The devices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all 20 μm by 20 μm square pad capacitors which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fabricated on the same wafer at the same time. The whole wafer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subjected to the same doses of radiation. The variation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defined as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Where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the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devices before and after radiation, respectively.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distribution of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after 5.4 Mrad and 10.8 Mrad radiation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shown in Fig. 2(a) and Fig. 2(c). The mathematical expectation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(μ) and the standard error of mean (σ) after 5.4 Mrad radiation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1.00055 and 0.00461, respectively. After 10.8 Mrad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radiation, μ and σ turn to 1.00438 and 0.00588, respectively,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i.e.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about 0.4 % variation of the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Compared to -30 %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-28 % variation of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after 10 Mrad radiation in PZT [4]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BLT [10] based FeRAM devices, this variation of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HYO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devices is very small. As can be seen in Fig. 2(a) and Fig. 2(c),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 devices lie in the 99.73 % confidence band. Fig. 2(b)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Fig. 2(d) are the probability plot after 5.4 Mrad and 10.8 Mrad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radiation, respectively. The red lines are lower and upper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percentile of the 99.73 % confidence band. The green line is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expectation and most samples lie on it. It is reported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radiation-induced loss in polarization of ferroelectric materials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be explained by the screening effects of the trapped charger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carriers [11]. During the ionization process induced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radiation, a mass of electron-hole pairs were generated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 and were separated by the local electrical field at grain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boundaries. They could be captured by defects along the grain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boundaries. The trapped charges could screen the switchable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polarization. Different from other ferroelectric materials [4],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[10]-[13], the driving electric field of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-based ferroelectric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films can reach a few MV/cm as the film thickness is much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thinner. This field is larger than that in other ferroelectric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materials by almost one order of magnitude. Although the grain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boundaries may be screened by the charges, the electric domain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still be reversed under such a huge electric field. In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way, the remanent polarization can be slightly influenced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radiation. However, further investigation is required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verify this speculation. </w:t>
            </w:r>
          </w:p>
          <w:p>
            <w:pPr>
              <w:autoSpaceDN w:val="0"/>
              <w:autoSpaceDE w:val="0"/>
              <w:widowControl/>
              <w:spacing w:line="242" w:lineRule="exact" w:before="24" w:after="0"/>
              <w:ind w:left="356" w:right="156" w:firstLine="20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verify whether the irradiated devices have cycling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endurace variations, we measured the cycling endurace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characteristics with various radiation total doses at 1.3 MV/cm,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1.4 MV/cm, 1.6 MV/cm, and 1.8 MV/cm, respectively. Cycling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fatigue is observed in all devices. It is observed that higher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 field results in better fatigue endurance.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phenomenon can be explained as the sample contains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maximum concentration of domain walls at the coercive field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(corresponding to lower cycling fields) and the wall pinning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take place more easily. The cycling field dependence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fatigue also conforms in our previous report [8]. As shown in </w:t>
            </w:r>
          </w:p>
        </w:tc>
        <w:tc>
          <w:tcPr>
            <w:tcW w:type="dxa" w:w="5518"/>
            <w:gridSpan w:val="9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8" w:after="0"/>
              <w:ind w:left="82" w:right="3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Fig. 3, all devices show similar fatigue behavior as their pristine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 after 10.8 Mrad radiation. The little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difference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caused by the sample to sample variation. These observations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indicate neglegible influence of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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ray radiation on the cycling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endurace of the device. </w:t>
            </w:r>
          </w:p>
          <w:p>
            <w:pPr>
              <w:autoSpaceDN w:val="0"/>
              <w:autoSpaceDE w:val="0"/>
              <w:widowControl/>
              <w:spacing w:line="242" w:lineRule="exact" w:before="24" w:after="0"/>
              <w:ind w:left="82" w:right="288" w:firstLine="2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characteristics of hysteresis loops under electric field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bias during the radiation are shown in Fig. 4. Since devices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easy to break down at high electric fields after the bonding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process, we chose a relatively lower electric field of 1.6 MV/cm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measure the hysteresis loop. The hysteresis loops show little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distortion or shift after radiation, which indicates that defects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induced by the radiation do not make distinct domain wall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pinning in the films. This is in stark contrast to PZT [14]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FeRAM devices. To exclude the effect of applied bias electric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field on the hysteresis loops, we also did a control test by only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applying electric field but without radiation for the same time.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result is shown in Fig. 4(b). Similar to the result in Fig. 4(a),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hysteresis loops show no obvious changes.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characteristic parameters of our device before and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 are summarized in Table I. We also list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radiation-hardened properties of other ferroelectric materials.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can be seen in Table I, devices based on HYO ferroelectric </w:t>
            </w:r>
          </w:p>
        </w:tc>
      </w:tr>
      <w:tr>
        <w:trPr>
          <w:trHeight w:hRule="exact" w:val="240"/>
        </w:trPr>
        <w:tc>
          <w:tcPr>
            <w:tcW w:type="dxa" w:w="3628"/>
            <w:gridSpan w:val="4"/>
            <w:vMerge/>
            <w:tcBorders>
              <w:top w:sz="4.0" w:val="single" w:color="#000000"/>
            </w:tcBorders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better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scalability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much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higher </w:t>
            </w:r>
          </w:p>
        </w:tc>
      </w:tr>
      <w:tr>
        <w:trPr>
          <w:trHeight w:hRule="exact" w:val="6578"/>
        </w:trPr>
        <w:tc>
          <w:tcPr>
            <w:tcW w:type="dxa" w:w="3628"/>
            <w:gridSpan w:val="4"/>
            <w:vMerge/>
            <w:tcBorders>
              <w:top w:sz="4.0" w:val="single" w:color="#000000"/>
            </w:tcBorders>
          </w:tcPr>
          <w:p/>
        </w:tc>
        <w:tc>
          <w:tcPr>
            <w:tcW w:type="dxa" w:w="551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radiation-hardened stability. </w:t>
            </w:r>
          </w:p>
          <w:p>
            <w:pPr>
              <w:autoSpaceDN w:val="0"/>
              <w:autoSpaceDE w:val="0"/>
              <w:widowControl/>
              <w:spacing w:line="266" w:lineRule="exact" w:before="216" w:after="0"/>
              <w:ind w:left="0" w:right="2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ONCLUSION</w:t>
            </w:r>
          </w:p>
          <w:p>
            <w:pPr>
              <w:autoSpaceDN w:val="0"/>
              <w:autoSpaceDE w:val="0"/>
              <w:widowControl/>
              <w:spacing w:line="242" w:lineRule="exact" w:before="68" w:after="0"/>
              <w:ind w:left="82" w:right="288" w:firstLine="2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this letter, the Y-doped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devices are exposed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 γ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ray to investigate the radiation effect on FeRAM performances.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material structure,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J-E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curves,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C-V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curves, hysteresis loops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 and without bias field, variation of 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fatige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characteristics are tested before and after radiation. Compared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FeRAMs based on traditional ferroelectric materials, HYO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based devices show highly stable radiation-hardened properties.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Almost all of the basic parameters of FeRAM show very little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changes after high dose radiation up to 10 Mrad(SI).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Y-doped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FeRAM devices demonstrate high immunity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γ ray radiation, providing great promises for future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nuclear and aerospace applications. </w:t>
            </w:r>
          </w:p>
          <w:p>
            <w:pPr>
              <w:autoSpaceDN w:val="0"/>
              <w:autoSpaceDE w:val="0"/>
              <w:widowControl/>
              <w:spacing w:line="266" w:lineRule="exact" w:before="220" w:after="0"/>
              <w:ind w:left="0" w:right="2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EFERENCES</w:t>
            </w:r>
          </w:p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86" w:lineRule="exact" w:before="88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[1]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J. F. Scott, “Applications of modern ferroelectrics,”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Science.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315, no.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5814, pp. 954-959, Feb. 2007, DOI: 10.1126/science.1129564. </w:t>
            </w:r>
          </w:p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84" w:lineRule="exact" w:before="30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[2]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S. T. Han, Y. Zhou, and V. A. L. Roy, “Towards the development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flexible non-volatile memories,”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Adv. Mater.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25, no. 38, pp.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5425-5449, Oct. 2013, DOI: 10.1002/adma.201301361.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440" w:right="288" w:hanging="35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[3]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S. Gerardin, and A. Paccagnella, “Present and future non-volatile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memories for space,”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IEEE Trans. Nucl. Sci.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57, no. 6, pp 3016-3039,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Dec. 2010, DOI: 10.1109/TNS.2010.2084101.</w:t>
            </w:r>
          </w:p>
          <w:p>
            <w:pPr>
              <w:autoSpaceDN w:val="0"/>
              <w:autoSpaceDE w:val="0"/>
              <w:widowControl/>
              <w:spacing w:line="186" w:lineRule="exact" w:before="80" w:after="0"/>
              <w:ind w:left="440" w:right="288" w:hanging="35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S. A. Yang, B. H. Kim, M. K. Lee, G. J. Lee, and N. H. Lee, “Gamma-ray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irradiation effects on electrical properties of ferroelectric PbTiO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and </w:t>
            </w:r>
          </w:p>
        </w:tc>
      </w:tr>
    </w:tbl>
    <w:p>
      <w:pPr>
        <w:autoSpaceDN w:val="0"/>
        <w:autoSpaceDE w:val="0"/>
        <w:widowControl/>
        <w:spacing w:line="188" w:lineRule="exact" w:before="508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0741-3106 (c) 2016 IEEE. Personal use is permitted, but republication/redistribution requires IEEE permission. See http://www.ieee.org/publications_standards/publications/rights/index.html for more information.</w:t>
      </w:r>
    </w:p>
    <w:p>
      <w:pPr>
        <w:sectPr>
          <w:pgSz w:w="12240" w:h="15840"/>
          <w:pgMar w:top="18" w:right="216" w:bottom="130" w:left="236" w:header="720" w:footer="720" w:gutter="0"/>
          <w:cols w:space="720" w:num="1" w:equalWidth="0">
            <w:col w:w="11788" w:space="0"/>
            <w:col w:w="11788" w:space="0"/>
            <w:col w:w="5908" w:space="0"/>
            <w:col w:w="5880" w:space="0"/>
            <w:col w:w="11788" w:space="0"/>
            <w:col w:w="11788" w:space="0"/>
            <w:col w:w="5908" w:space="0"/>
            <w:col w:w="5880" w:space="0"/>
            <w:col w:w="1178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 10.1109/LED.2017.2653848, IEEE Electron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" w:type="dxa"/>
      </w:tblPr>
      <w:tblGrid>
        <w:gridCol w:w="3929"/>
        <w:gridCol w:w="3929"/>
        <w:gridCol w:w="3929"/>
      </w:tblGrid>
      <w:tr>
        <w:trPr>
          <w:trHeight w:hRule="exact" w:val="594"/>
        </w:trPr>
        <w:tc>
          <w:tcPr>
            <w:tcW w:type="dxa" w:w="10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6" w:val="left"/>
              </w:tabs>
              <w:autoSpaceDE w:val="0"/>
              <w:widowControl/>
              <w:spacing w:line="222" w:lineRule="exact" w:before="0" w:after="0"/>
              <w:ind w:left="356" w:right="14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Device Letters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&gt; REPLACE THIS LINE WITH YOUR PAPER IDENTIFICATION NUMBER (DOUBLE-CLICK HERE TO EDIT) &lt;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2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[5] </w:t>
            </w:r>
          </w:p>
          <w:p>
            <w:pPr>
              <w:autoSpaceDN w:val="0"/>
              <w:autoSpaceDE w:val="0"/>
              <w:widowControl/>
              <w:spacing w:line="214" w:lineRule="exact" w:before="70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[6] </w:t>
            </w:r>
          </w:p>
        </w:tc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4" w:after="0"/>
              <w:ind w:left="74" w:right="47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Pb(Zr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0.52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0.48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)O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thin films,”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Thin Solid Films.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562, pp. 185-189, Jul.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2014, DOI: 10.1016/j.tsf.2014.04.038.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74" w:right="49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J. T. Graham, G. L. Brennecka, P. Ferreira, L. Small, D. Duquette, 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Apblett, S. Landsberger, and J. F. Ihlefeld, “Neutron irradiation effects 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domain wall mobility and reversibility in lead zirconate titanate thin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films,”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J. Appl. Phys.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113, no. 12, pp. 124104-1-9, Mar. 2013, DOI: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10.1063/1.4795869.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74" w:right="492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J. A. Kittl, K. Opsomer, M. Popovici, N. Menou, B. Kaczer, X. P. Wang,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C. Adelmann, M. A. Pawlak, K. Tomida, A. Rothschild, B. Govoreanu, R.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Degraeve, M. Schaekers, M. Zahid, A. Delabie, J. Meersschaut, W.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Polspoel, S. Clima, G.Pourtois, W. Knaepen, C. Detavernier, V. V. </w:t>
            </w:r>
          </w:p>
        </w:tc>
        <w:tc>
          <w:tcPr>
            <w:tcW w:type="dxa" w:w="3929"/>
            <w:vMerge/>
            <w:tcBorders/>
          </w:tcPr>
          <w:p/>
        </w:tc>
      </w:tr>
      <w:tr>
        <w:trPr>
          <w:trHeight w:hRule="exact" w:val="7996"/>
        </w:trPr>
        <w:tc>
          <w:tcPr>
            <w:tcW w:type="dxa" w:w="10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Afanas’ev, T. Blomberg, D. Pierreux, J. Swerts, P. Fischer, J. W. Maes, D. 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7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Manger, W. Vandervorst, T. Conard, A. Franquet, P. Favia, H. Bender, B. </w:t>
            </w:r>
          </w:p>
          <w:p>
            <w:pPr>
              <w:autoSpaceDN w:val="0"/>
              <w:tabs>
                <w:tab w:pos="1428" w:val="left"/>
                <w:tab w:pos="2276" w:val="left"/>
                <w:tab w:pos="2650" w:val="left"/>
                <w:tab w:pos="3220" w:val="left"/>
                <w:tab w:pos="4086" w:val="left"/>
                <w:tab w:pos="4804" w:val="left"/>
              </w:tabs>
              <w:autoSpaceDE w:val="0"/>
              <w:widowControl/>
              <w:spacing w:line="184" w:lineRule="exact" w:before="30" w:after="0"/>
              <w:ind w:left="714" w:right="48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Brijs, S. Van Elshocht, M. Jurczak, J. Van Houdt, and D. J. Wouters,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“High-k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dielectrics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future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memory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devices,”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Microelectron. Eng.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86, no. 7-9, pp. 1789-1795, Jul-Sep. 2009, DOI: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10.1016/j.mee.2009.03.045.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M. H. Park, Y. H. Lee, H. J. Kim, Y. J. Kim, T. Moon, K. D. Kim, J.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714" w:right="492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Müller, A. Kersch, U. Schroeder, T. Mikolajick, and C. S. Hwang,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“Ferroelectricity and Antiferroelectricity of Doped Thin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-Based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Films,”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Adv. Mater.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27, no. 11, pp. 1811-1831, Mar. 2015, DOI: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10.1002/adma.201404531.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F. Huang, X. Chen, X. Liang, J. Qin, Y. Zhang, T. X. Huang, Z. Wang, B.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714" w:right="47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Peng, P. H. Zhou, H. P. Lu, L. Zhang, L. J. Deng, M. Liu, Q. Liu, H. Tian,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L. Bi, “Fatigue mechanism of yttrium-doped hafnium oxide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ferroelectric thin films fabricated by pulsed laser deposition,”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 xml:space="preserve">Phys. Chem.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Chem. Phys.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, 2016, DOI: 10.1039/c6cp07501k.</w:t>
            </w:r>
          </w:p>
          <w:p>
            <w:pPr>
              <w:autoSpaceDN w:val="0"/>
              <w:tabs>
                <w:tab w:pos="714" w:val="left"/>
                <w:tab w:pos="1204" w:val="left"/>
                <w:tab w:pos="1652" w:val="left"/>
                <w:tab w:pos="2098" w:val="left"/>
                <w:tab w:pos="2464" w:val="left"/>
                <w:tab w:pos="2910" w:val="left"/>
                <w:tab w:pos="3920" w:val="left"/>
                <w:tab w:pos="4462" w:val="left"/>
                <w:tab w:pos="5072" w:val="left"/>
              </w:tabs>
              <w:autoSpaceDE w:val="0"/>
              <w:widowControl/>
              <w:spacing w:line="188" w:lineRule="exact" w:before="78" w:after="0"/>
              <w:ind w:left="356" w:right="48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J. T. Ryan, P. M. Lenahan, A. Y. Kang, J. F. Conley, Jr., G. Bersuker,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P. Lysaght, “Identification of the atomic scale defects involved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radiation damage in HfO</w:t>
            </w:r>
            <w:r>
              <w:rPr>
                <w:rFonts w:ascii="DengXian" w:hAnsi="DengXian" w:eastAsia="DengXi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based MOS devices,”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IEEE Trans. Nucl. Sci.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2005,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DOI: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vol.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pp.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2272–2275,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Dec. 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7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10.1109/TNS.2005.860665. </w:t>
            </w:r>
          </w:p>
          <w:p>
            <w:pPr>
              <w:autoSpaceDN w:val="0"/>
              <w:tabs>
                <w:tab w:pos="714" w:val="left"/>
                <w:tab w:pos="1572" w:val="left"/>
                <w:tab w:pos="1920" w:val="left"/>
                <w:tab w:pos="3040" w:val="left"/>
                <w:tab w:pos="3464" w:val="left"/>
                <w:tab w:pos="4438" w:val="left"/>
                <w:tab w:pos="5264" w:val="left"/>
              </w:tabs>
              <w:autoSpaceDE w:val="0"/>
              <w:widowControl/>
              <w:spacing w:line="184" w:lineRule="exact" w:before="82" w:after="0"/>
              <w:ind w:left="356" w:right="48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Z. Wang, W. Jiang, S. X. Li, and J. S. Tong, “Effects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 γ-ray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irradiation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microstructure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ferroelectric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properties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3.25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0.75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thin films,”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Nucl. Instrum. Methods. Phys. Res. B.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366, pp. 1-5, Jan. 2016, DOI: 10.1016/j.nimb.2015.10.005.</w:t>
            </w:r>
          </w:p>
          <w:p>
            <w:pPr>
              <w:autoSpaceDN w:val="0"/>
              <w:autoSpaceDE w:val="0"/>
              <w:widowControl/>
              <w:spacing w:line="184" w:lineRule="exact" w:before="82" w:after="0"/>
              <w:ind w:left="714" w:right="4922" w:hanging="35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Y. S. Li, Y. Ma, and Y. C. Zhou, “Polarization loss and leakage current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reduction in Au/Bi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3.15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0.85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/Pt capacitors induced by electron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radiation,”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Appl. Phys. Lett.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94, no. 4, 042903, Jan. 2009, DOI: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10.1063/1.3075956.</w:t>
            </w:r>
          </w:p>
          <w:p>
            <w:pPr>
              <w:autoSpaceDN w:val="0"/>
              <w:autoSpaceDE w:val="0"/>
              <w:widowControl/>
              <w:spacing w:line="184" w:lineRule="exact" w:before="82" w:after="0"/>
              <w:ind w:left="714" w:right="4922" w:hanging="35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Q. J. Shi, Y. Ma, Y. S. Li, and Y. C. Zhou, “Drastic reduction of leakage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current in ferroelectric 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3.15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0.85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films by ionizing radiation,”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Nucl. Instrum. Methods. Phys. Res. B.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269, pp. 452-454, Feb. 2011,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DOI: 10.1016/j.nimb.2010.12.066.</w:t>
            </w:r>
          </w:p>
          <w:p>
            <w:pPr>
              <w:autoSpaceDN w:val="0"/>
              <w:autoSpaceDE w:val="0"/>
              <w:widowControl/>
              <w:spacing w:line="184" w:lineRule="exact" w:before="80" w:after="0"/>
              <w:ind w:left="714" w:right="4922" w:hanging="35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D. Wu, A. D. Li, H. Q. Ling, T. Yu, Z. G. Liu, and N. B. Ming, “γ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-ray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irradiation effect on hysteresis symmetry and data retention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Pt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SrBi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9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Pt thin-film capacitors,”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Appl. Phys. A.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73, no. 2, pp.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255-257, Aug. 2001, DOI: 10.1007/s003390100905.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J. R. Schwank, R. D. Nasby, S. L. Miller, M. S. Rodgers, and P. V. 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714" w:right="49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Dressendorfer, “Total-dose radiation-induced degradation of thin film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ferroelectric capacitors,”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6"/>
              </w:rPr>
              <w:t>IEEE Trans. Nucl. Sci.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vol. 37, no. 6, pp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1703-1712, Dec. 1990, DOI: 10.1109/23.101180.</w:t>
            </w:r>
          </w:p>
        </w:tc>
        <w:tc>
          <w:tcPr>
            <w:tcW w:type="dxa" w:w="39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8" w:lineRule="exact" w:before="4354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0741-3106 (c) 2016 IEEE. Personal use is permitted, but republication/redistribution requires IEEE permission. See http://www.ieee.org/publications_standards/publications/rights/index.html for more information.</w:t>
      </w:r>
    </w:p>
    <w:sectPr w:rsidR="00FC693F" w:rsidRPr="0006063C" w:rsidSect="00034616">
      <w:pgSz w:w="12240" w:h="15840"/>
      <w:pgMar w:top="18" w:right="216" w:bottom="132" w:left="236" w:header="720" w:footer="720" w:gutter="0"/>
      <w:cols w:space="720" w:num="1" w:equalWidth="0">
        <w:col w:w="11788" w:space="0"/>
        <w:col w:w="11788" w:space="0"/>
        <w:col w:w="11788" w:space="0"/>
        <w:col w:w="5908" w:space="0"/>
        <w:col w:w="5880" w:space="0"/>
        <w:col w:w="11788" w:space="0"/>
        <w:col w:w="11788" w:space="0"/>
        <w:col w:w="5908" w:space="0"/>
        <w:col w:w="5880" w:space="0"/>
        <w:col w:w="11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liuqi@ime.ac.cn" TargetMode="External"/><Relationship Id="rId10" Type="http://schemas.openxmlformats.org/officeDocument/2006/relationships/hyperlink" Target="mailto:bilei@uestc.edu.cn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