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8A4" w:rsidRPr="00971EC0" w:rsidRDefault="007658A4" w:rsidP="007658A4">
      <w:pPr>
        <w:jc w:val="center"/>
        <w:rPr>
          <w:sz w:val="22"/>
          <w:szCs w:val="22"/>
        </w:rPr>
      </w:pPr>
    </w:p>
    <w:p w:rsidR="00E42298" w:rsidRPr="00971EC0" w:rsidRDefault="00E42298" w:rsidP="007658A4">
      <w:pPr>
        <w:jc w:val="center"/>
        <w:rPr>
          <w:sz w:val="22"/>
          <w:szCs w:val="22"/>
        </w:rPr>
      </w:pPr>
    </w:p>
    <w:p w:rsidR="00E42298" w:rsidRPr="00971EC0" w:rsidRDefault="00E42298" w:rsidP="007658A4">
      <w:pPr>
        <w:jc w:val="center"/>
        <w:rPr>
          <w:b/>
          <w:sz w:val="22"/>
          <w:szCs w:val="22"/>
        </w:rPr>
      </w:pPr>
      <w:r w:rsidRPr="00971EC0">
        <w:rPr>
          <w:b/>
          <w:sz w:val="22"/>
          <w:szCs w:val="22"/>
        </w:rPr>
        <w:t xml:space="preserve">A synoptic view of the </w:t>
      </w:r>
      <w:r w:rsidR="004D4ED4">
        <w:rPr>
          <w:b/>
          <w:sz w:val="22"/>
          <w:szCs w:val="22"/>
        </w:rPr>
        <w:t xml:space="preserve">stock status of the twenty </w:t>
      </w:r>
      <w:r w:rsidRPr="00971EC0">
        <w:rPr>
          <w:b/>
          <w:sz w:val="22"/>
          <w:szCs w:val="22"/>
        </w:rPr>
        <w:t>Northeast groundfish stock</w:t>
      </w:r>
      <w:r w:rsidR="004D4ED4">
        <w:rPr>
          <w:b/>
          <w:sz w:val="22"/>
          <w:szCs w:val="22"/>
        </w:rPr>
        <w:t>s</w:t>
      </w:r>
      <w:r w:rsidRPr="00971EC0">
        <w:rPr>
          <w:b/>
          <w:sz w:val="22"/>
          <w:szCs w:val="22"/>
        </w:rPr>
        <w:t xml:space="preserve"> in 2015</w:t>
      </w:r>
    </w:p>
    <w:p w:rsidR="00E42298" w:rsidRPr="00DB2EAC" w:rsidRDefault="00E42298" w:rsidP="007658A4">
      <w:pPr>
        <w:jc w:val="center"/>
        <w:rPr>
          <w:i/>
          <w:sz w:val="22"/>
          <w:szCs w:val="22"/>
        </w:rPr>
      </w:pPr>
      <w:r w:rsidRPr="00DB2EAC">
        <w:rPr>
          <w:i/>
          <w:sz w:val="22"/>
          <w:szCs w:val="22"/>
        </w:rPr>
        <w:t xml:space="preserve">Last update: September </w:t>
      </w:r>
      <w:r w:rsidR="008738BD">
        <w:rPr>
          <w:i/>
          <w:sz w:val="22"/>
          <w:szCs w:val="22"/>
        </w:rPr>
        <w:t>21</w:t>
      </w:r>
      <w:r w:rsidRPr="00DB2EAC">
        <w:rPr>
          <w:i/>
          <w:sz w:val="22"/>
          <w:szCs w:val="22"/>
        </w:rPr>
        <w:t>, 2015</w:t>
      </w:r>
    </w:p>
    <w:p w:rsidR="00E42298" w:rsidRPr="00971EC0" w:rsidRDefault="00E42298" w:rsidP="007658A4">
      <w:pPr>
        <w:jc w:val="center"/>
        <w:rPr>
          <w:b/>
          <w:sz w:val="22"/>
          <w:szCs w:val="22"/>
        </w:rPr>
      </w:pPr>
    </w:p>
    <w:p w:rsidR="00E42298" w:rsidRPr="00971EC0" w:rsidRDefault="00E42298" w:rsidP="007658A4">
      <w:pPr>
        <w:jc w:val="center"/>
        <w:rPr>
          <w:b/>
          <w:sz w:val="22"/>
          <w:szCs w:val="22"/>
        </w:rPr>
      </w:pPr>
    </w:p>
    <w:p w:rsidR="00E42298" w:rsidRPr="00971EC0" w:rsidRDefault="00DB2EAC" w:rsidP="00E42298">
      <w:pPr>
        <w:rPr>
          <w:b/>
          <w:sz w:val="22"/>
          <w:szCs w:val="22"/>
        </w:rPr>
      </w:pPr>
      <w:r>
        <w:rPr>
          <w:b/>
          <w:sz w:val="22"/>
          <w:szCs w:val="22"/>
        </w:rPr>
        <w:t>Summary</w:t>
      </w:r>
    </w:p>
    <w:p w:rsidR="00277005" w:rsidRDefault="00277005" w:rsidP="003F6AA7">
      <w:pPr>
        <w:rPr>
          <w:sz w:val="22"/>
          <w:szCs w:val="22"/>
        </w:rPr>
      </w:pPr>
      <w:r w:rsidRPr="00D3753E">
        <w:rPr>
          <w:sz w:val="22"/>
          <w:szCs w:val="22"/>
        </w:rPr>
        <w:t>The followi</w:t>
      </w:r>
      <w:r w:rsidR="00F872D5">
        <w:rPr>
          <w:sz w:val="22"/>
          <w:szCs w:val="22"/>
        </w:rPr>
        <w:t>ng synopsis is derived from the 2015 groundfish stock assessment reports</w:t>
      </w:r>
      <w:r w:rsidR="008738BD">
        <w:rPr>
          <w:sz w:val="22"/>
          <w:szCs w:val="22"/>
        </w:rPr>
        <w:t>.</w:t>
      </w:r>
    </w:p>
    <w:p w:rsidR="00D3753E" w:rsidRPr="00D3753E" w:rsidRDefault="00D3753E" w:rsidP="00D3753E">
      <w:pPr>
        <w:rPr>
          <w:sz w:val="22"/>
          <w:szCs w:val="22"/>
        </w:rPr>
      </w:pPr>
    </w:p>
    <w:p w:rsidR="00A0292D" w:rsidRDefault="00A0292D" w:rsidP="00996808">
      <w:pPr>
        <w:pStyle w:val="ListParagraph"/>
        <w:numPr>
          <w:ilvl w:val="0"/>
          <w:numId w:val="1"/>
        </w:numPr>
        <w:rPr>
          <w:sz w:val="22"/>
          <w:szCs w:val="22"/>
        </w:rPr>
      </w:pPr>
      <w:r>
        <w:rPr>
          <w:sz w:val="22"/>
          <w:szCs w:val="22"/>
        </w:rPr>
        <w:t xml:space="preserve">Stock status did not change for </w:t>
      </w:r>
      <w:r w:rsidR="00B572A5">
        <w:rPr>
          <w:sz w:val="22"/>
          <w:szCs w:val="22"/>
        </w:rPr>
        <w:t xml:space="preserve">15 </w:t>
      </w:r>
      <w:r>
        <w:rPr>
          <w:sz w:val="22"/>
          <w:szCs w:val="22"/>
        </w:rPr>
        <w:t xml:space="preserve">of the 20 stocks, worsened for two stocks, improved for one stock, and became more uncertain for </w:t>
      </w:r>
      <w:r w:rsidR="00B572A5">
        <w:rPr>
          <w:sz w:val="22"/>
          <w:szCs w:val="22"/>
        </w:rPr>
        <w:t xml:space="preserve">two </w:t>
      </w:r>
      <w:r>
        <w:rPr>
          <w:sz w:val="22"/>
          <w:szCs w:val="22"/>
        </w:rPr>
        <w:t>stock</w:t>
      </w:r>
      <w:r w:rsidR="00B572A5">
        <w:rPr>
          <w:sz w:val="22"/>
          <w:szCs w:val="22"/>
        </w:rPr>
        <w:t>s</w:t>
      </w:r>
      <w:r>
        <w:rPr>
          <w:sz w:val="22"/>
          <w:szCs w:val="22"/>
        </w:rPr>
        <w:t xml:space="preserve"> (Table 1).</w:t>
      </w:r>
    </w:p>
    <w:p w:rsidR="00A0292D" w:rsidRDefault="00A0292D" w:rsidP="00996808">
      <w:pPr>
        <w:pStyle w:val="ListParagraph"/>
        <w:numPr>
          <w:ilvl w:val="0"/>
          <w:numId w:val="1"/>
        </w:numPr>
        <w:rPr>
          <w:sz w:val="22"/>
          <w:szCs w:val="22"/>
        </w:rPr>
      </w:pPr>
      <w:r>
        <w:rPr>
          <w:sz w:val="22"/>
          <w:szCs w:val="22"/>
        </w:rPr>
        <w:t>The number of stocks with retrospective adjustments applied increased from</w:t>
      </w:r>
      <w:r w:rsidR="00507AC9">
        <w:rPr>
          <w:sz w:val="22"/>
          <w:szCs w:val="22"/>
        </w:rPr>
        <w:t xml:space="preserve"> the last assessment from 2 to 7</w:t>
      </w:r>
      <w:r>
        <w:rPr>
          <w:sz w:val="22"/>
          <w:szCs w:val="22"/>
        </w:rPr>
        <w:t xml:space="preserve"> (Table 2).</w:t>
      </w:r>
      <w:r w:rsidR="00507AC9">
        <w:rPr>
          <w:sz w:val="22"/>
          <w:szCs w:val="22"/>
        </w:rPr>
        <w:t xml:space="preserve"> The previous Georges Bank cod assessment did apply a retrospective </w:t>
      </w:r>
      <w:proofErr w:type="gramStart"/>
      <w:r w:rsidR="00507AC9">
        <w:rPr>
          <w:sz w:val="22"/>
          <w:szCs w:val="22"/>
        </w:rPr>
        <w:t>adjustment,</w:t>
      </w:r>
      <w:proofErr w:type="gramEnd"/>
      <w:r w:rsidR="00507AC9">
        <w:rPr>
          <w:sz w:val="22"/>
          <w:szCs w:val="22"/>
        </w:rPr>
        <w:t xml:space="preserve"> however, the assessment model was not approved at the 2015 Updates so it has been excluded from these counts.</w:t>
      </w:r>
    </w:p>
    <w:p w:rsidR="00CB1832" w:rsidRDefault="00C629A2" w:rsidP="00996808">
      <w:pPr>
        <w:pStyle w:val="ListParagraph"/>
        <w:numPr>
          <w:ilvl w:val="0"/>
          <w:numId w:val="1"/>
        </w:numPr>
        <w:rPr>
          <w:sz w:val="22"/>
          <w:szCs w:val="22"/>
        </w:rPr>
      </w:pPr>
      <w:r>
        <w:rPr>
          <w:sz w:val="22"/>
          <w:szCs w:val="22"/>
        </w:rPr>
        <w:t xml:space="preserve">While the number of overfished stocks </w:t>
      </w:r>
      <w:r w:rsidR="00CB1832">
        <w:rPr>
          <w:sz w:val="22"/>
          <w:szCs w:val="22"/>
        </w:rPr>
        <w:t>and stocks experiencing overfishing</w:t>
      </w:r>
      <w:r>
        <w:rPr>
          <w:sz w:val="22"/>
          <w:szCs w:val="22"/>
        </w:rPr>
        <w:t xml:space="preserve"> </w:t>
      </w:r>
      <w:r w:rsidR="00CB1832">
        <w:rPr>
          <w:sz w:val="22"/>
          <w:szCs w:val="22"/>
        </w:rPr>
        <w:t xml:space="preserve">has generally decreased since 2007 (Figure 1), the </w:t>
      </w:r>
      <w:r w:rsidR="00FF18B0">
        <w:rPr>
          <w:sz w:val="22"/>
          <w:szCs w:val="22"/>
        </w:rPr>
        <w:t>magnitude of overfishing or depletion for</w:t>
      </w:r>
      <w:r w:rsidR="00CB1832">
        <w:rPr>
          <w:sz w:val="22"/>
          <w:szCs w:val="22"/>
        </w:rPr>
        <w:t xml:space="preserve"> several stocks has </w:t>
      </w:r>
      <w:r w:rsidR="00FF18B0">
        <w:rPr>
          <w:sz w:val="22"/>
          <w:szCs w:val="22"/>
        </w:rPr>
        <w:t xml:space="preserve">worsened </w:t>
      </w:r>
      <w:r w:rsidR="00CB1832">
        <w:rPr>
          <w:sz w:val="22"/>
          <w:szCs w:val="22"/>
        </w:rPr>
        <w:t>considerably (Figures 2 and 3; Gulf of Maine cod, Southern New England/Mid-Atlantic yellowtail flounder, witch flounder and Cape Cod/Gulf of Maine yellowtail flounder).</w:t>
      </w:r>
    </w:p>
    <w:p w:rsidR="001E0302" w:rsidRPr="00971EC0" w:rsidRDefault="00CB1832" w:rsidP="00617E21">
      <w:pPr>
        <w:pStyle w:val="ListParagraph"/>
        <w:numPr>
          <w:ilvl w:val="1"/>
          <w:numId w:val="1"/>
        </w:numPr>
        <w:rPr>
          <w:sz w:val="22"/>
          <w:szCs w:val="22"/>
        </w:rPr>
      </w:pPr>
      <w:r>
        <w:rPr>
          <w:sz w:val="22"/>
          <w:szCs w:val="22"/>
        </w:rPr>
        <w:t>Of those Northeast groundfish stocks for which stock status can be determined, the majority remain below their biomass targets</w:t>
      </w:r>
      <w:r w:rsidR="00DB2EAC">
        <w:rPr>
          <w:sz w:val="22"/>
          <w:szCs w:val="22"/>
        </w:rPr>
        <w:t xml:space="preserve"> (</w:t>
      </w:r>
      <w:r w:rsidR="00B572A5">
        <w:rPr>
          <w:sz w:val="22"/>
          <w:szCs w:val="22"/>
        </w:rPr>
        <w:t>6</w:t>
      </w:r>
      <w:r w:rsidR="00911A9B">
        <w:rPr>
          <w:sz w:val="22"/>
          <w:szCs w:val="22"/>
        </w:rPr>
        <w:t>9</w:t>
      </w:r>
      <w:r w:rsidR="00DB2EAC">
        <w:rPr>
          <w:sz w:val="22"/>
          <w:szCs w:val="22"/>
        </w:rPr>
        <w:t xml:space="preserve">%; </w:t>
      </w:r>
      <w:r w:rsidR="001E0302" w:rsidRPr="00971EC0">
        <w:rPr>
          <w:sz w:val="22"/>
          <w:szCs w:val="22"/>
        </w:rPr>
        <w:t>Figure</w:t>
      </w:r>
      <w:r>
        <w:rPr>
          <w:sz w:val="22"/>
          <w:szCs w:val="22"/>
        </w:rPr>
        <w:t>s</w:t>
      </w:r>
      <w:r w:rsidR="001E0302" w:rsidRPr="00971EC0">
        <w:rPr>
          <w:sz w:val="22"/>
          <w:szCs w:val="22"/>
        </w:rPr>
        <w:t xml:space="preserve"> 1</w:t>
      </w:r>
      <w:r>
        <w:rPr>
          <w:sz w:val="22"/>
          <w:szCs w:val="22"/>
        </w:rPr>
        <w:t xml:space="preserve"> and 3</w:t>
      </w:r>
      <w:r w:rsidR="001E0302" w:rsidRPr="00971EC0">
        <w:rPr>
          <w:sz w:val="22"/>
          <w:szCs w:val="22"/>
        </w:rPr>
        <w:t>)</w:t>
      </w:r>
      <w:r>
        <w:rPr>
          <w:sz w:val="22"/>
          <w:szCs w:val="22"/>
        </w:rPr>
        <w:t>.</w:t>
      </w:r>
    </w:p>
    <w:p w:rsidR="001E0302" w:rsidRPr="00971EC0" w:rsidRDefault="00996808" w:rsidP="00996808">
      <w:pPr>
        <w:pStyle w:val="ListParagraph"/>
        <w:numPr>
          <w:ilvl w:val="0"/>
          <w:numId w:val="1"/>
        </w:numPr>
        <w:rPr>
          <w:sz w:val="22"/>
          <w:szCs w:val="22"/>
        </w:rPr>
      </w:pPr>
      <w:r w:rsidRPr="00971EC0">
        <w:rPr>
          <w:sz w:val="22"/>
          <w:szCs w:val="22"/>
        </w:rPr>
        <w:t xml:space="preserve">Recent </w:t>
      </w:r>
      <w:r w:rsidR="001E0302" w:rsidRPr="00971EC0">
        <w:rPr>
          <w:sz w:val="22"/>
          <w:szCs w:val="22"/>
        </w:rPr>
        <w:t>NEFSC survey</w:t>
      </w:r>
      <w:r w:rsidRPr="00971EC0">
        <w:rPr>
          <w:sz w:val="22"/>
          <w:szCs w:val="22"/>
        </w:rPr>
        <w:t xml:space="preserve"> biomass</w:t>
      </w:r>
      <w:r w:rsidR="001E0302" w:rsidRPr="00971EC0">
        <w:rPr>
          <w:sz w:val="22"/>
          <w:szCs w:val="22"/>
        </w:rPr>
        <w:t xml:space="preserve"> indices for both the spring and fall surveys</w:t>
      </w:r>
      <w:r w:rsidR="00CB1832">
        <w:rPr>
          <w:sz w:val="22"/>
          <w:szCs w:val="22"/>
        </w:rPr>
        <w:t xml:space="preserve"> are below the long term means.</w:t>
      </w:r>
    </w:p>
    <w:p w:rsidR="00CB1832" w:rsidRDefault="00996808" w:rsidP="00CB1832">
      <w:pPr>
        <w:pStyle w:val="ListParagraph"/>
        <w:numPr>
          <w:ilvl w:val="1"/>
          <w:numId w:val="1"/>
        </w:numPr>
        <w:rPr>
          <w:sz w:val="22"/>
          <w:szCs w:val="22"/>
        </w:rPr>
      </w:pPr>
      <w:r w:rsidRPr="00971EC0">
        <w:rPr>
          <w:sz w:val="22"/>
          <w:szCs w:val="22"/>
        </w:rPr>
        <w:t xml:space="preserve">For the majority of stocks the average of the most recent five years are below the time series means (Table </w:t>
      </w:r>
      <w:r w:rsidR="00277005">
        <w:rPr>
          <w:sz w:val="22"/>
          <w:szCs w:val="22"/>
        </w:rPr>
        <w:t>3</w:t>
      </w:r>
      <w:r w:rsidRPr="00971EC0">
        <w:rPr>
          <w:sz w:val="22"/>
          <w:szCs w:val="22"/>
        </w:rPr>
        <w:t xml:space="preserve">, Figures </w:t>
      </w:r>
      <w:r w:rsidR="00CB1832">
        <w:rPr>
          <w:sz w:val="22"/>
          <w:szCs w:val="22"/>
        </w:rPr>
        <w:t>4 and 5)</w:t>
      </w:r>
    </w:p>
    <w:p w:rsidR="001E0302" w:rsidRPr="00CB1832" w:rsidRDefault="001E0302" w:rsidP="00CB1832">
      <w:pPr>
        <w:pStyle w:val="ListParagraph"/>
        <w:numPr>
          <w:ilvl w:val="0"/>
          <w:numId w:val="1"/>
        </w:numPr>
        <w:rPr>
          <w:sz w:val="22"/>
          <w:szCs w:val="22"/>
        </w:rPr>
      </w:pPr>
      <w:r w:rsidRPr="00CB1832">
        <w:rPr>
          <w:sz w:val="22"/>
          <w:szCs w:val="22"/>
        </w:rPr>
        <w:t>Estimates of overall (aggregate) groundfish minimum swept area biomass are at, or near</w:t>
      </w:r>
      <w:r w:rsidR="00617E21">
        <w:rPr>
          <w:sz w:val="22"/>
          <w:szCs w:val="22"/>
        </w:rPr>
        <w:t>,</w:t>
      </w:r>
      <w:r w:rsidRPr="00CB1832">
        <w:rPr>
          <w:sz w:val="22"/>
          <w:szCs w:val="22"/>
        </w:rPr>
        <w:t xml:space="preserve"> all-time highs (Figures </w:t>
      </w:r>
      <w:r w:rsidR="00DB2EAC">
        <w:rPr>
          <w:sz w:val="22"/>
          <w:szCs w:val="22"/>
        </w:rPr>
        <w:t>6 and 7</w:t>
      </w:r>
      <w:r w:rsidRPr="00CB1832">
        <w:rPr>
          <w:sz w:val="22"/>
          <w:szCs w:val="22"/>
        </w:rPr>
        <w:t>)</w:t>
      </w:r>
    </w:p>
    <w:p w:rsidR="001E0302" w:rsidRPr="00971EC0" w:rsidRDefault="001E0302" w:rsidP="00996808">
      <w:pPr>
        <w:pStyle w:val="ListParagraph"/>
        <w:numPr>
          <w:ilvl w:val="1"/>
          <w:numId w:val="1"/>
        </w:numPr>
        <w:rPr>
          <w:sz w:val="22"/>
          <w:szCs w:val="22"/>
        </w:rPr>
      </w:pPr>
      <w:r w:rsidRPr="00971EC0">
        <w:rPr>
          <w:sz w:val="22"/>
          <w:szCs w:val="22"/>
        </w:rPr>
        <w:t xml:space="preserve">However, </w:t>
      </w:r>
      <w:r w:rsidR="00996808" w:rsidRPr="00971EC0">
        <w:rPr>
          <w:sz w:val="22"/>
          <w:szCs w:val="22"/>
        </w:rPr>
        <w:t>t</w:t>
      </w:r>
      <w:r w:rsidRPr="00971EC0">
        <w:rPr>
          <w:sz w:val="22"/>
          <w:szCs w:val="22"/>
        </w:rPr>
        <w:t>he current stock diversity of the overall groundfish biomass is less than that seen in the 1960s and 1970s.</w:t>
      </w:r>
    </w:p>
    <w:p w:rsidR="001E0302" w:rsidRDefault="001E0302" w:rsidP="00DB2EAC">
      <w:pPr>
        <w:pStyle w:val="ListParagraph"/>
        <w:numPr>
          <w:ilvl w:val="2"/>
          <w:numId w:val="1"/>
        </w:numPr>
        <w:rPr>
          <w:sz w:val="22"/>
          <w:szCs w:val="22"/>
        </w:rPr>
      </w:pPr>
      <w:r w:rsidRPr="00971EC0">
        <w:rPr>
          <w:sz w:val="22"/>
          <w:szCs w:val="22"/>
        </w:rPr>
        <w:t xml:space="preserve">Current groundfish biomass is dominated by only a few stocks: For </w:t>
      </w:r>
      <w:r w:rsidR="00617E21">
        <w:rPr>
          <w:sz w:val="22"/>
          <w:szCs w:val="22"/>
        </w:rPr>
        <w:t xml:space="preserve">example the combined biomass of </w:t>
      </w:r>
      <w:r w:rsidR="00FF18B0">
        <w:rPr>
          <w:sz w:val="22"/>
          <w:szCs w:val="22"/>
        </w:rPr>
        <w:t xml:space="preserve">the </w:t>
      </w:r>
      <w:r w:rsidRPr="00971EC0">
        <w:rPr>
          <w:sz w:val="22"/>
          <w:szCs w:val="22"/>
        </w:rPr>
        <w:t>Georges Bank</w:t>
      </w:r>
      <w:r w:rsidR="00617E21">
        <w:rPr>
          <w:sz w:val="22"/>
          <w:szCs w:val="22"/>
        </w:rPr>
        <w:t xml:space="preserve"> </w:t>
      </w:r>
      <w:r w:rsidR="00FF18B0">
        <w:rPr>
          <w:sz w:val="22"/>
          <w:szCs w:val="22"/>
        </w:rPr>
        <w:t xml:space="preserve">haddock, </w:t>
      </w:r>
      <w:r w:rsidR="00617E21">
        <w:rPr>
          <w:sz w:val="22"/>
          <w:szCs w:val="22"/>
        </w:rPr>
        <w:t>Gulf of Maine</w:t>
      </w:r>
      <w:r w:rsidRPr="00971EC0">
        <w:rPr>
          <w:sz w:val="22"/>
          <w:szCs w:val="22"/>
        </w:rPr>
        <w:t xml:space="preserve"> haddock</w:t>
      </w:r>
      <w:r w:rsidR="00FF18B0">
        <w:rPr>
          <w:sz w:val="22"/>
          <w:szCs w:val="22"/>
        </w:rPr>
        <w:t>,</w:t>
      </w:r>
      <w:r w:rsidR="00DB2EAC">
        <w:rPr>
          <w:sz w:val="22"/>
          <w:szCs w:val="22"/>
        </w:rPr>
        <w:t xml:space="preserve"> </w:t>
      </w:r>
      <w:r w:rsidR="00617E21">
        <w:rPr>
          <w:sz w:val="22"/>
          <w:szCs w:val="22"/>
        </w:rPr>
        <w:t xml:space="preserve">and redfish stocks currently make up more than 80% of the overall groundfish biomass </w:t>
      </w:r>
      <w:r w:rsidR="00DB2EAC">
        <w:rPr>
          <w:sz w:val="22"/>
          <w:szCs w:val="22"/>
        </w:rPr>
        <w:t>(Figure 8).</w:t>
      </w:r>
      <w:r w:rsidRPr="00971EC0">
        <w:rPr>
          <w:sz w:val="22"/>
          <w:szCs w:val="22"/>
        </w:rPr>
        <w:t xml:space="preserve"> </w:t>
      </w:r>
    </w:p>
    <w:p w:rsidR="00C1078B" w:rsidRPr="00C1078B" w:rsidRDefault="00C1078B" w:rsidP="00C1078B">
      <w:pPr>
        <w:pStyle w:val="ListParagraph"/>
        <w:numPr>
          <w:ilvl w:val="0"/>
          <w:numId w:val="1"/>
        </w:numPr>
        <w:rPr>
          <w:sz w:val="22"/>
          <w:szCs w:val="22"/>
        </w:rPr>
      </w:pPr>
      <w:r>
        <w:rPr>
          <w:sz w:val="22"/>
          <w:szCs w:val="22"/>
        </w:rPr>
        <w:t>Relative condition factor for the twenty groundfish stocks are generally near the time series averages (1992 to present; Table 4).</w:t>
      </w:r>
    </w:p>
    <w:p w:rsidR="00E42298" w:rsidRPr="00971EC0" w:rsidRDefault="00E42298" w:rsidP="00E42298">
      <w:pPr>
        <w:rPr>
          <w:sz w:val="22"/>
          <w:szCs w:val="22"/>
        </w:rPr>
      </w:pPr>
    </w:p>
    <w:p w:rsidR="00996808" w:rsidRPr="00971EC0" w:rsidRDefault="00996808" w:rsidP="00E42298">
      <w:pPr>
        <w:rPr>
          <w:sz w:val="22"/>
          <w:szCs w:val="22"/>
        </w:rPr>
      </w:pPr>
    </w:p>
    <w:p w:rsidR="00996808" w:rsidRPr="00971EC0" w:rsidRDefault="00996808" w:rsidP="00E42298">
      <w:pPr>
        <w:rPr>
          <w:sz w:val="22"/>
          <w:szCs w:val="22"/>
        </w:rPr>
      </w:pPr>
    </w:p>
    <w:p w:rsidR="00996808" w:rsidRPr="00971EC0" w:rsidRDefault="00996808" w:rsidP="00E42298">
      <w:pPr>
        <w:rPr>
          <w:sz w:val="22"/>
          <w:szCs w:val="22"/>
        </w:rPr>
        <w:sectPr w:rsidR="00996808" w:rsidRPr="00971EC0">
          <w:pgSz w:w="12240" w:h="15840"/>
          <w:pgMar w:top="1440" w:right="1800" w:bottom="1440" w:left="1800" w:header="720" w:footer="720" w:gutter="0"/>
          <w:cols w:space="720"/>
          <w:docGrid w:linePitch="360"/>
        </w:sectPr>
      </w:pPr>
    </w:p>
    <w:p w:rsidR="00A0292D" w:rsidRPr="00A0292D" w:rsidRDefault="00A0292D" w:rsidP="00A0292D">
      <w:pPr>
        <w:rPr>
          <w:sz w:val="22"/>
          <w:szCs w:val="22"/>
        </w:rPr>
      </w:pPr>
      <w:proofErr w:type="gramStart"/>
      <w:r w:rsidRPr="00A0292D">
        <w:rPr>
          <w:sz w:val="22"/>
          <w:szCs w:val="22"/>
        </w:rPr>
        <w:lastRenderedPageBreak/>
        <w:t xml:space="preserve">Table 1: Synopsis of </w:t>
      </w:r>
      <w:r>
        <w:rPr>
          <w:sz w:val="22"/>
          <w:szCs w:val="22"/>
        </w:rPr>
        <w:t>s</w:t>
      </w:r>
      <w:r w:rsidRPr="00A0292D">
        <w:rPr>
          <w:sz w:val="22"/>
          <w:szCs w:val="22"/>
        </w:rPr>
        <w:t xml:space="preserve">tock </w:t>
      </w:r>
      <w:r>
        <w:rPr>
          <w:sz w:val="22"/>
          <w:szCs w:val="22"/>
        </w:rPr>
        <w:t>s</w:t>
      </w:r>
      <w:r w:rsidRPr="00A0292D">
        <w:rPr>
          <w:sz w:val="22"/>
          <w:szCs w:val="22"/>
        </w:rPr>
        <w:t xml:space="preserve">tatus </w:t>
      </w:r>
      <w:r>
        <w:rPr>
          <w:sz w:val="22"/>
          <w:szCs w:val="22"/>
        </w:rPr>
        <w:t>s</w:t>
      </w:r>
      <w:r w:rsidRPr="00A0292D">
        <w:rPr>
          <w:sz w:val="22"/>
          <w:szCs w:val="22"/>
        </w:rPr>
        <w:t xml:space="preserve">uggested by </w:t>
      </w:r>
      <w:r>
        <w:rPr>
          <w:sz w:val="22"/>
          <w:szCs w:val="22"/>
        </w:rPr>
        <w:t>p</w:t>
      </w:r>
      <w:r w:rsidRPr="00A0292D">
        <w:rPr>
          <w:sz w:val="22"/>
          <w:szCs w:val="22"/>
        </w:rPr>
        <w:t xml:space="preserve">reliminary </w:t>
      </w:r>
      <w:r>
        <w:rPr>
          <w:sz w:val="22"/>
          <w:szCs w:val="22"/>
        </w:rPr>
        <w:t>r</w:t>
      </w:r>
      <w:r w:rsidRPr="00A0292D">
        <w:rPr>
          <w:sz w:val="22"/>
          <w:szCs w:val="22"/>
        </w:rPr>
        <w:t>esults</w:t>
      </w:r>
      <w:r>
        <w:rPr>
          <w:sz w:val="22"/>
          <w:szCs w:val="22"/>
        </w:rPr>
        <w:t xml:space="preserve"> (subject to change during review).</w:t>
      </w:r>
      <w:proofErr w:type="gramEnd"/>
      <w:r w:rsidRPr="00A0292D">
        <w:rPr>
          <w:sz w:val="22"/>
          <w:szCs w:val="22"/>
        </w:rPr>
        <w:t xml:space="preserve"> </w:t>
      </w:r>
    </w:p>
    <w:p w:rsidR="00A0292D" w:rsidRPr="001815B9" w:rsidRDefault="00A0292D" w:rsidP="00A0292D">
      <w:pPr>
        <w:rPr>
          <w:rFonts w:asciiTheme="minorHAnsi" w:hAnsiTheme="minorHAnsi"/>
          <w:b/>
          <w:sz w:val="22"/>
          <w:szCs w:val="22"/>
        </w:rPr>
      </w:pPr>
    </w:p>
    <w:tbl>
      <w:tblPr>
        <w:tblStyle w:val="TableGrid"/>
        <w:tblW w:w="8928" w:type="dxa"/>
        <w:jc w:val="center"/>
        <w:tblLayout w:type="fixed"/>
        <w:tblLook w:val="04A0" w:firstRow="1" w:lastRow="0" w:firstColumn="1" w:lastColumn="0" w:noHBand="0" w:noVBand="1"/>
      </w:tblPr>
      <w:tblGrid>
        <w:gridCol w:w="2691"/>
        <w:gridCol w:w="1467"/>
        <w:gridCol w:w="1980"/>
        <w:gridCol w:w="1350"/>
        <w:gridCol w:w="1440"/>
      </w:tblGrid>
      <w:tr w:rsidR="00A0292D" w:rsidRPr="001815B9" w:rsidTr="00A0292D">
        <w:trPr>
          <w:trHeight w:val="899"/>
          <w:jc w:val="center"/>
        </w:trPr>
        <w:tc>
          <w:tcPr>
            <w:tcW w:w="2691" w:type="dxa"/>
          </w:tcPr>
          <w:p w:rsidR="00A0292D" w:rsidRPr="001815B9" w:rsidRDefault="00A0292D" w:rsidP="00E61C17">
            <w:pPr>
              <w:jc w:val="center"/>
              <w:rPr>
                <w:rFonts w:asciiTheme="minorHAnsi" w:hAnsiTheme="minorHAnsi"/>
                <w:b/>
                <w:bCs/>
                <w:i/>
                <w:iCs/>
                <w:sz w:val="22"/>
                <w:szCs w:val="22"/>
              </w:rPr>
            </w:pPr>
            <w:r w:rsidRPr="001815B9">
              <w:rPr>
                <w:rFonts w:asciiTheme="minorHAnsi" w:hAnsiTheme="minorHAnsi"/>
                <w:b/>
                <w:bCs/>
                <w:i/>
                <w:iCs/>
                <w:sz w:val="22"/>
                <w:szCs w:val="22"/>
              </w:rPr>
              <w:t>Stock</w:t>
            </w:r>
          </w:p>
        </w:tc>
        <w:tc>
          <w:tcPr>
            <w:tcW w:w="1467" w:type="dxa"/>
          </w:tcPr>
          <w:p w:rsidR="00A0292D" w:rsidRPr="001815B9" w:rsidRDefault="00A0292D" w:rsidP="00E61C17">
            <w:pPr>
              <w:jc w:val="center"/>
              <w:rPr>
                <w:rFonts w:asciiTheme="minorHAnsi" w:hAnsiTheme="minorHAnsi"/>
                <w:b/>
                <w:bCs/>
                <w:i/>
                <w:iCs/>
                <w:sz w:val="22"/>
                <w:szCs w:val="22"/>
              </w:rPr>
            </w:pPr>
            <w:r w:rsidRPr="001815B9">
              <w:rPr>
                <w:rFonts w:asciiTheme="minorHAnsi" w:hAnsiTheme="minorHAnsi"/>
                <w:b/>
                <w:bCs/>
                <w:i/>
                <w:iCs/>
                <w:sz w:val="22"/>
                <w:szCs w:val="22"/>
              </w:rPr>
              <w:t>Last Assessment</w:t>
            </w:r>
          </w:p>
        </w:tc>
        <w:tc>
          <w:tcPr>
            <w:tcW w:w="1980" w:type="dxa"/>
          </w:tcPr>
          <w:p w:rsidR="00A0292D" w:rsidRPr="001815B9" w:rsidRDefault="00A0292D" w:rsidP="00E61C17">
            <w:pPr>
              <w:jc w:val="center"/>
              <w:rPr>
                <w:rFonts w:asciiTheme="minorHAnsi" w:hAnsiTheme="minorHAnsi"/>
                <w:b/>
                <w:bCs/>
                <w:i/>
                <w:iCs/>
                <w:sz w:val="22"/>
                <w:szCs w:val="22"/>
              </w:rPr>
            </w:pPr>
            <w:r w:rsidRPr="001815B9">
              <w:rPr>
                <w:rFonts w:asciiTheme="minorHAnsi" w:hAnsiTheme="minorHAnsi"/>
                <w:b/>
                <w:bCs/>
                <w:i/>
                <w:iCs/>
                <w:sz w:val="22"/>
                <w:szCs w:val="22"/>
              </w:rPr>
              <w:t>Status Change* Since Last Assessment</w:t>
            </w:r>
          </w:p>
        </w:tc>
        <w:tc>
          <w:tcPr>
            <w:tcW w:w="1350" w:type="dxa"/>
          </w:tcPr>
          <w:p w:rsidR="00A0292D" w:rsidRPr="001815B9" w:rsidRDefault="00A0292D" w:rsidP="00E61C17">
            <w:pPr>
              <w:jc w:val="center"/>
              <w:rPr>
                <w:rFonts w:asciiTheme="minorHAnsi" w:hAnsiTheme="minorHAnsi"/>
                <w:b/>
                <w:bCs/>
                <w:i/>
                <w:iCs/>
                <w:sz w:val="22"/>
                <w:szCs w:val="22"/>
              </w:rPr>
            </w:pPr>
            <w:r w:rsidRPr="001815B9">
              <w:rPr>
                <w:rFonts w:asciiTheme="minorHAnsi" w:hAnsiTheme="minorHAnsi"/>
                <w:b/>
                <w:bCs/>
                <w:i/>
                <w:iCs/>
                <w:sz w:val="22"/>
                <w:szCs w:val="22"/>
              </w:rPr>
              <w:t>Overfishing Occurring?</w:t>
            </w:r>
          </w:p>
        </w:tc>
        <w:tc>
          <w:tcPr>
            <w:tcW w:w="1440" w:type="dxa"/>
          </w:tcPr>
          <w:p w:rsidR="00A0292D" w:rsidRPr="001815B9" w:rsidRDefault="00A0292D" w:rsidP="00E61C17">
            <w:pPr>
              <w:jc w:val="center"/>
              <w:rPr>
                <w:rFonts w:asciiTheme="minorHAnsi" w:hAnsiTheme="minorHAnsi"/>
                <w:b/>
                <w:bCs/>
                <w:i/>
                <w:iCs/>
                <w:sz w:val="22"/>
                <w:szCs w:val="22"/>
              </w:rPr>
            </w:pPr>
            <w:r w:rsidRPr="001815B9">
              <w:rPr>
                <w:rFonts w:asciiTheme="minorHAnsi" w:hAnsiTheme="minorHAnsi"/>
                <w:b/>
                <w:bCs/>
                <w:i/>
                <w:iCs/>
                <w:sz w:val="22"/>
                <w:szCs w:val="22"/>
              </w:rPr>
              <w:t>Overfished?</w:t>
            </w:r>
          </w:p>
        </w:tc>
      </w:tr>
      <w:tr w:rsidR="00A0292D" w:rsidRPr="001815B9" w:rsidTr="00A0292D">
        <w:trPr>
          <w:trHeight w:val="312"/>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Gulf of Maine Cod</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2014</w:t>
            </w:r>
          </w:p>
        </w:tc>
        <w:tc>
          <w:tcPr>
            <w:tcW w:w="1980" w:type="dxa"/>
            <w:shd w:val="clear" w:color="auto" w:fill="FFFF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Same</w:t>
            </w:r>
          </w:p>
        </w:tc>
        <w:tc>
          <w:tcPr>
            <w:tcW w:w="1350" w:type="dxa"/>
            <w:shd w:val="clear" w:color="auto" w:fill="FF00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Yes</w:t>
            </w:r>
          </w:p>
        </w:tc>
        <w:tc>
          <w:tcPr>
            <w:tcW w:w="1440" w:type="dxa"/>
            <w:shd w:val="clear" w:color="auto" w:fill="FF00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Yes</w:t>
            </w:r>
          </w:p>
        </w:tc>
      </w:tr>
      <w:tr w:rsidR="00A0292D" w:rsidRPr="001815B9" w:rsidTr="00271341">
        <w:trPr>
          <w:trHeight w:val="315"/>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Georges Bank Cod</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2012</w:t>
            </w:r>
          </w:p>
        </w:tc>
        <w:tc>
          <w:tcPr>
            <w:tcW w:w="1980" w:type="dxa"/>
            <w:shd w:val="clear" w:color="auto" w:fill="E36C0A" w:themeFill="accent6" w:themeFillShade="BF"/>
          </w:tcPr>
          <w:p w:rsidR="00A0292D" w:rsidRPr="006326F1" w:rsidRDefault="00B572A5" w:rsidP="00B572A5">
            <w:pPr>
              <w:jc w:val="center"/>
              <w:rPr>
                <w:rFonts w:asciiTheme="minorHAnsi" w:hAnsiTheme="minorHAnsi"/>
                <w:b/>
                <w:i/>
                <w:iCs/>
                <w:sz w:val="22"/>
                <w:szCs w:val="22"/>
              </w:rPr>
            </w:pPr>
            <w:r w:rsidRPr="006326F1">
              <w:rPr>
                <w:rFonts w:asciiTheme="minorHAnsi" w:hAnsiTheme="minorHAnsi"/>
                <w:b/>
                <w:i/>
                <w:iCs/>
                <w:sz w:val="22"/>
                <w:szCs w:val="22"/>
              </w:rPr>
              <w:t>More uncertain</w:t>
            </w:r>
          </w:p>
        </w:tc>
        <w:tc>
          <w:tcPr>
            <w:tcW w:w="1350" w:type="dxa"/>
            <w:shd w:val="clear" w:color="auto" w:fill="FFFF00"/>
          </w:tcPr>
          <w:p w:rsidR="00A0292D" w:rsidRPr="006326F1" w:rsidRDefault="00B572A5" w:rsidP="00B572A5">
            <w:pPr>
              <w:jc w:val="center"/>
              <w:rPr>
                <w:rFonts w:asciiTheme="minorHAnsi" w:hAnsiTheme="minorHAnsi"/>
                <w:b/>
                <w:i/>
                <w:iCs/>
                <w:sz w:val="22"/>
                <w:szCs w:val="22"/>
              </w:rPr>
            </w:pPr>
            <w:r w:rsidRPr="006326F1">
              <w:rPr>
                <w:rFonts w:asciiTheme="minorHAnsi" w:hAnsiTheme="minorHAnsi"/>
                <w:b/>
                <w:i/>
                <w:iCs/>
                <w:sz w:val="22"/>
                <w:szCs w:val="22"/>
                <w:shd w:val="clear" w:color="auto" w:fill="FFFF00"/>
              </w:rPr>
              <w:t>Unknown</w:t>
            </w:r>
          </w:p>
        </w:tc>
        <w:tc>
          <w:tcPr>
            <w:tcW w:w="1440" w:type="dxa"/>
            <w:shd w:val="clear" w:color="auto" w:fill="FF00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Yes</w:t>
            </w:r>
          </w:p>
        </w:tc>
      </w:tr>
      <w:tr w:rsidR="00A0292D" w:rsidRPr="001815B9" w:rsidTr="00A0292D">
        <w:trPr>
          <w:trHeight w:val="315"/>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Georges Bank Haddock</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2012</w:t>
            </w:r>
          </w:p>
        </w:tc>
        <w:tc>
          <w:tcPr>
            <w:tcW w:w="1980" w:type="dxa"/>
            <w:shd w:val="clear" w:color="auto" w:fill="FFFF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Same</w:t>
            </w:r>
          </w:p>
        </w:tc>
        <w:tc>
          <w:tcPr>
            <w:tcW w:w="135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c>
          <w:tcPr>
            <w:tcW w:w="144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r>
      <w:tr w:rsidR="00A0292D" w:rsidRPr="001815B9" w:rsidTr="00A0292D">
        <w:trPr>
          <w:trHeight w:val="312"/>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Gulf of Maine Haddock</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2014</w:t>
            </w:r>
          </w:p>
        </w:tc>
        <w:tc>
          <w:tcPr>
            <w:tcW w:w="1980" w:type="dxa"/>
            <w:shd w:val="clear" w:color="auto" w:fill="FFFF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Same</w:t>
            </w:r>
          </w:p>
        </w:tc>
        <w:tc>
          <w:tcPr>
            <w:tcW w:w="135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c>
          <w:tcPr>
            <w:tcW w:w="144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r>
      <w:tr w:rsidR="00A0292D" w:rsidRPr="001815B9" w:rsidTr="00A0292D">
        <w:trPr>
          <w:trHeight w:val="315"/>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Cape Cod/Gulf of Maine Yellowtail Flounder</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2012</w:t>
            </w:r>
          </w:p>
        </w:tc>
        <w:tc>
          <w:tcPr>
            <w:tcW w:w="1980" w:type="dxa"/>
            <w:shd w:val="clear" w:color="auto" w:fill="FFFF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Same</w:t>
            </w:r>
          </w:p>
        </w:tc>
        <w:tc>
          <w:tcPr>
            <w:tcW w:w="1350" w:type="dxa"/>
            <w:shd w:val="clear" w:color="auto" w:fill="FF00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Yes</w:t>
            </w:r>
          </w:p>
        </w:tc>
        <w:tc>
          <w:tcPr>
            <w:tcW w:w="1440" w:type="dxa"/>
            <w:shd w:val="clear" w:color="auto" w:fill="FF00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Yes</w:t>
            </w:r>
          </w:p>
        </w:tc>
      </w:tr>
      <w:tr w:rsidR="00A0292D" w:rsidRPr="001815B9" w:rsidTr="00A0292D">
        <w:trPr>
          <w:trHeight w:val="312"/>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Southern New England/Mid-Atlantic Yellowtail Flounder</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2012</w:t>
            </w:r>
          </w:p>
        </w:tc>
        <w:tc>
          <w:tcPr>
            <w:tcW w:w="1980" w:type="dxa"/>
            <w:shd w:val="clear" w:color="auto" w:fill="FF0000"/>
            <w:noWrap/>
          </w:tcPr>
          <w:p w:rsidR="00A0292D" w:rsidRPr="006326F1" w:rsidRDefault="00A0292D" w:rsidP="00E61C17">
            <w:pPr>
              <w:jc w:val="center"/>
              <w:rPr>
                <w:rFonts w:asciiTheme="minorHAnsi" w:hAnsiTheme="minorHAnsi"/>
                <w:b/>
                <w:i/>
                <w:sz w:val="22"/>
                <w:szCs w:val="22"/>
              </w:rPr>
            </w:pPr>
            <w:r w:rsidRPr="006326F1">
              <w:rPr>
                <w:rFonts w:asciiTheme="minorHAnsi" w:hAnsiTheme="minorHAnsi"/>
                <w:b/>
                <w:i/>
                <w:sz w:val="22"/>
                <w:szCs w:val="22"/>
              </w:rPr>
              <w:t>Worse</w:t>
            </w:r>
          </w:p>
        </w:tc>
        <w:tc>
          <w:tcPr>
            <w:tcW w:w="1350" w:type="dxa"/>
            <w:shd w:val="clear" w:color="auto" w:fill="FF00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Yes</w:t>
            </w:r>
          </w:p>
        </w:tc>
        <w:tc>
          <w:tcPr>
            <w:tcW w:w="1440" w:type="dxa"/>
            <w:shd w:val="clear" w:color="auto" w:fill="FF00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Yes</w:t>
            </w:r>
          </w:p>
        </w:tc>
      </w:tr>
      <w:tr w:rsidR="00A0292D" w:rsidRPr="001815B9" w:rsidTr="00A0292D">
        <w:trPr>
          <w:trHeight w:val="315"/>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Georges Bank Winter Flounder</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2014</w:t>
            </w:r>
          </w:p>
        </w:tc>
        <w:tc>
          <w:tcPr>
            <w:tcW w:w="1980" w:type="dxa"/>
            <w:shd w:val="clear" w:color="auto" w:fill="FF0000"/>
            <w:noWrap/>
          </w:tcPr>
          <w:p w:rsidR="00A0292D" w:rsidRPr="006326F1" w:rsidRDefault="00A0292D" w:rsidP="00E61C17">
            <w:pPr>
              <w:jc w:val="center"/>
              <w:rPr>
                <w:rFonts w:asciiTheme="minorHAnsi" w:hAnsiTheme="minorHAnsi"/>
                <w:b/>
                <w:i/>
                <w:sz w:val="22"/>
                <w:szCs w:val="22"/>
              </w:rPr>
            </w:pPr>
            <w:r w:rsidRPr="006326F1">
              <w:rPr>
                <w:rFonts w:asciiTheme="minorHAnsi" w:hAnsiTheme="minorHAnsi"/>
                <w:b/>
                <w:i/>
                <w:sz w:val="22"/>
                <w:szCs w:val="22"/>
              </w:rPr>
              <w:t>Worse</w:t>
            </w:r>
          </w:p>
        </w:tc>
        <w:tc>
          <w:tcPr>
            <w:tcW w:w="1350" w:type="dxa"/>
            <w:shd w:val="clear" w:color="auto" w:fill="FF00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Yes</w:t>
            </w:r>
          </w:p>
        </w:tc>
        <w:tc>
          <w:tcPr>
            <w:tcW w:w="1440" w:type="dxa"/>
            <w:shd w:val="clear" w:color="auto" w:fill="FF00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Yes</w:t>
            </w:r>
          </w:p>
        </w:tc>
      </w:tr>
      <w:tr w:rsidR="00A0292D" w:rsidRPr="001815B9" w:rsidTr="00A0292D">
        <w:trPr>
          <w:trHeight w:val="315"/>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Southern New England/Mid-Atlantic Winter Flounder</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2011</w:t>
            </w:r>
          </w:p>
        </w:tc>
        <w:tc>
          <w:tcPr>
            <w:tcW w:w="1980" w:type="dxa"/>
            <w:shd w:val="clear" w:color="auto" w:fill="FFFF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Same</w:t>
            </w:r>
          </w:p>
        </w:tc>
        <w:tc>
          <w:tcPr>
            <w:tcW w:w="135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c>
          <w:tcPr>
            <w:tcW w:w="1440" w:type="dxa"/>
            <w:shd w:val="clear" w:color="auto" w:fill="FF00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Yes</w:t>
            </w:r>
          </w:p>
        </w:tc>
      </w:tr>
      <w:tr w:rsidR="00A0292D" w:rsidRPr="001815B9" w:rsidTr="00A0292D">
        <w:trPr>
          <w:trHeight w:val="315"/>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American Plaice</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2012</w:t>
            </w:r>
          </w:p>
        </w:tc>
        <w:tc>
          <w:tcPr>
            <w:tcW w:w="1980" w:type="dxa"/>
            <w:shd w:val="clear" w:color="auto" w:fill="FFFF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Same</w:t>
            </w:r>
          </w:p>
        </w:tc>
        <w:tc>
          <w:tcPr>
            <w:tcW w:w="135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c>
          <w:tcPr>
            <w:tcW w:w="144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r>
      <w:tr w:rsidR="00A0292D" w:rsidRPr="001815B9" w:rsidTr="00A0292D">
        <w:trPr>
          <w:trHeight w:val="312"/>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Witch Flounder</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2012</w:t>
            </w:r>
          </w:p>
        </w:tc>
        <w:tc>
          <w:tcPr>
            <w:tcW w:w="1980" w:type="dxa"/>
            <w:shd w:val="clear" w:color="auto" w:fill="FFFF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Same</w:t>
            </w:r>
          </w:p>
        </w:tc>
        <w:tc>
          <w:tcPr>
            <w:tcW w:w="1350" w:type="dxa"/>
            <w:shd w:val="clear" w:color="auto" w:fill="FF00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Yes</w:t>
            </w:r>
          </w:p>
        </w:tc>
        <w:tc>
          <w:tcPr>
            <w:tcW w:w="1440" w:type="dxa"/>
            <w:shd w:val="clear" w:color="auto" w:fill="FF00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Yes</w:t>
            </w:r>
          </w:p>
        </w:tc>
      </w:tr>
      <w:tr w:rsidR="00A0292D" w:rsidRPr="001815B9" w:rsidTr="00A0292D">
        <w:trPr>
          <w:trHeight w:val="315"/>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Acadian Redfish</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2012</w:t>
            </w:r>
          </w:p>
        </w:tc>
        <w:tc>
          <w:tcPr>
            <w:tcW w:w="1980" w:type="dxa"/>
            <w:shd w:val="clear" w:color="auto" w:fill="FFFF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Same</w:t>
            </w:r>
          </w:p>
        </w:tc>
        <w:tc>
          <w:tcPr>
            <w:tcW w:w="135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c>
          <w:tcPr>
            <w:tcW w:w="144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r>
      <w:tr w:rsidR="00A0292D" w:rsidRPr="001815B9" w:rsidTr="00A0292D">
        <w:trPr>
          <w:trHeight w:val="315"/>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White Hake</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2013</w:t>
            </w:r>
          </w:p>
        </w:tc>
        <w:tc>
          <w:tcPr>
            <w:tcW w:w="1980" w:type="dxa"/>
            <w:shd w:val="clear" w:color="auto" w:fill="FFFF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Same</w:t>
            </w:r>
          </w:p>
        </w:tc>
        <w:tc>
          <w:tcPr>
            <w:tcW w:w="135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c>
          <w:tcPr>
            <w:tcW w:w="144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r>
      <w:tr w:rsidR="00A0292D" w:rsidRPr="001815B9" w:rsidTr="00A0292D">
        <w:trPr>
          <w:trHeight w:val="312"/>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Pollock</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2014</w:t>
            </w:r>
          </w:p>
        </w:tc>
        <w:tc>
          <w:tcPr>
            <w:tcW w:w="1980" w:type="dxa"/>
            <w:shd w:val="clear" w:color="auto" w:fill="FFFF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Same</w:t>
            </w:r>
          </w:p>
        </w:tc>
        <w:tc>
          <w:tcPr>
            <w:tcW w:w="135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c>
          <w:tcPr>
            <w:tcW w:w="144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r>
      <w:tr w:rsidR="00A0292D" w:rsidRPr="001815B9" w:rsidTr="00A0292D">
        <w:trPr>
          <w:trHeight w:val="312"/>
          <w:jc w:val="center"/>
        </w:trPr>
        <w:tc>
          <w:tcPr>
            <w:tcW w:w="2691" w:type="dxa"/>
          </w:tcPr>
          <w:p w:rsidR="00A0292D" w:rsidRPr="001815B9" w:rsidRDefault="00A0292D" w:rsidP="00E61C17">
            <w:pPr>
              <w:jc w:val="center"/>
              <w:rPr>
                <w:rFonts w:asciiTheme="minorHAnsi" w:hAnsiTheme="minorHAnsi"/>
                <w:b/>
                <w:sz w:val="22"/>
                <w:szCs w:val="22"/>
              </w:rPr>
            </w:pPr>
            <w:proofErr w:type="spellStart"/>
            <w:r w:rsidRPr="001815B9">
              <w:rPr>
                <w:rFonts w:asciiTheme="minorHAnsi" w:hAnsiTheme="minorHAnsi"/>
                <w:b/>
                <w:sz w:val="22"/>
                <w:szCs w:val="22"/>
              </w:rPr>
              <w:t>Wolffish</w:t>
            </w:r>
            <w:proofErr w:type="spellEnd"/>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2012</w:t>
            </w:r>
          </w:p>
        </w:tc>
        <w:tc>
          <w:tcPr>
            <w:tcW w:w="1980" w:type="dxa"/>
            <w:shd w:val="clear" w:color="auto" w:fill="FFFF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Same</w:t>
            </w:r>
          </w:p>
        </w:tc>
        <w:tc>
          <w:tcPr>
            <w:tcW w:w="135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c>
          <w:tcPr>
            <w:tcW w:w="1440" w:type="dxa"/>
            <w:shd w:val="clear" w:color="auto" w:fill="FF00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Yes</w:t>
            </w:r>
          </w:p>
        </w:tc>
      </w:tr>
      <w:tr w:rsidR="00A0292D" w:rsidRPr="001815B9" w:rsidTr="00CC425E">
        <w:trPr>
          <w:trHeight w:val="312"/>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Atlantic Halibut</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2012</w:t>
            </w:r>
          </w:p>
        </w:tc>
        <w:tc>
          <w:tcPr>
            <w:tcW w:w="1980" w:type="dxa"/>
            <w:shd w:val="clear" w:color="auto" w:fill="E36C0A" w:themeFill="accent6" w:themeFillShade="BF"/>
            <w:noWrap/>
          </w:tcPr>
          <w:p w:rsidR="00A0292D" w:rsidRPr="006326F1" w:rsidRDefault="00A0292D" w:rsidP="00E61C17">
            <w:pPr>
              <w:jc w:val="center"/>
              <w:rPr>
                <w:rFonts w:asciiTheme="minorHAnsi" w:hAnsiTheme="minorHAnsi"/>
                <w:b/>
                <w:i/>
                <w:sz w:val="22"/>
                <w:szCs w:val="22"/>
              </w:rPr>
            </w:pPr>
            <w:r w:rsidRPr="006326F1">
              <w:rPr>
                <w:rFonts w:asciiTheme="minorHAnsi" w:hAnsiTheme="minorHAnsi"/>
                <w:b/>
                <w:i/>
                <w:sz w:val="22"/>
                <w:szCs w:val="22"/>
              </w:rPr>
              <w:t>More uncertain</w:t>
            </w:r>
          </w:p>
        </w:tc>
        <w:tc>
          <w:tcPr>
            <w:tcW w:w="1350" w:type="dxa"/>
            <w:shd w:val="clear" w:color="auto" w:fill="FFFF00"/>
            <w:noWrap/>
          </w:tcPr>
          <w:p w:rsidR="00A0292D" w:rsidRPr="006326F1" w:rsidRDefault="00A0292D" w:rsidP="00E61C17">
            <w:pPr>
              <w:jc w:val="center"/>
              <w:rPr>
                <w:rFonts w:asciiTheme="minorHAnsi" w:hAnsiTheme="minorHAnsi"/>
                <w:b/>
                <w:i/>
                <w:sz w:val="22"/>
                <w:szCs w:val="22"/>
              </w:rPr>
            </w:pPr>
            <w:r w:rsidRPr="006326F1">
              <w:rPr>
                <w:rFonts w:asciiTheme="minorHAnsi" w:hAnsiTheme="minorHAnsi"/>
                <w:b/>
                <w:i/>
                <w:sz w:val="22"/>
                <w:szCs w:val="22"/>
              </w:rPr>
              <w:t>Unknown</w:t>
            </w:r>
          </w:p>
        </w:tc>
        <w:tc>
          <w:tcPr>
            <w:tcW w:w="1440" w:type="dxa"/>
            <w:shd w:val="clear" w:color="auto" w:fill="FF0000"/>
            <w:noWrap/>
          </w:tcPr>
          <w:p w:rsidR="00A0292D" w:rsidRPr="006326F1" w:rsidRDefault="00507AC9" w:rsidP="00E61C17">
            <w:pPr>
              <w:jc w:val="center"/>
              <w:rPr>
                <w:rFonts w:asciiTheme="minorHAnsi" w:hAnsiTheme="minorHAnsi"/>
                <w:b/>
                <w:i/>
                <w:sz w:val="22"/>
                <w:szCs w:val="22"/>
              </w:rPr>
            </w:pPr>
            <w:r w:rsidRPr="006326F1">
              <w:rPr>
                <w:rFonts w:asciiTheme="minorHAnsi" w:hAnsiTheme="minorHAnsi"/>
                <w:b/>
                <w:i/>
                <w:sz w:val="22"/>
                <w:szCs w:val="22"/>
                <w:highlight w:val="red"/>
              </w:rPr>
              <w:t>Yes</w:t>
            </w:r>
          </w:p>
        </w:tc>
      </w:tr>
      <w:tr w:rsidR="00A0292D" w:rsidRPr="001815B9" w:rsidTr="00A0292D">
        <w:trPr>
          <w:trHeight w:val="315"/>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Gulf of Maine/Georges Bank Windowpane</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2012</w:t>
            </w:r>
          </w:p>
        </w:tc>
        <w:tc>
          <w:tcPr>
            <w:tcW w:w="198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Better</w:t>
            </w:r>
          </w:p>
        </w:tc>
        <w:tc>
          <w:tcPr>
            <w:tcW w:w="135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c>
          <w:tcPr>
            <w:tcW w:w="1440" w:type="dxa"/>
            <w:shd w:val="clear" w:color="auto" w:fill="FF00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Yes</w:t>
            </w:r>
          </w:p>
        </w:tc>
      </w:tr>
      <w:tr w:rsidR="00A0292D" w:rsidRPr="001815B9" w:rsidTr="00A0292D">
        <w:trPr>
          <w:trHeight w:val="315"/>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Southern New England/Mid-Atlantic Windowpane</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2012</w:t>
            </w:r>
          </w:p>
        </w:tc>
        <w:tc>
          <w:tcPr>
            <w:tcW w:w="1980" w:type="dxa"/>
            <w:shd w:val="clear" w:color="auto" w:fill="FFFF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Same</w:t>
            </w:r>
          </w:p>
        </w:tc>
        <w:tc>
          <w:tcPr>
            <w:tcW w:w="135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c>
          <w:tcPr>
            <w:tcW w:w="144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r>
      <w:tr w:rsidR="00A0292D" w:rsidRPr="001815B9" w:rsidTr="00A0292D">
        <w:trPr>
          <w:trHeight w:val="312"/>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Ocean Pout</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2012</w:t>
            </w:r>
          </w:p>
        </w:tc>
        <w:tc>
          <w:tcPr>
            <w:tcW w:w="1980" w:type="dxa"/>
            <w:shd w:val="clear" w:color="auto" w:fill="FFFF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Same</w:t>
            </w:r>
          </w:p>
        </w:tc>
        <w:tc>
          <w:tcPr>
            <w:tcW w:w="135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c>
          <w:tcPr>
            <w:tcW w:w="1440" w:type="dxa"/>
            <w:shd w:val="clear" w:color="auto" w:fill="FF00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Yes</w:t>
            </w:r>
          </w:p>
        </w:tc>
      </w:tr>
      <w:tr w:rsidR="00A0292D" w:rsidRPr="001815B9" w:rsidTr="00A0292D">
        <w:trPr>
          <w:trHeight w:val="315"/>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Gulf of Maine Winter Flounder</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2014</w:t>
            </w:r>
          </w:p>
        </w:tc>
        <w:tc>
          <w:tcPr>
            <w:tcW w:w="1980" w:type="dxa"/>
            <w:shd w:val="clear" w:color="auto" w:fill="FFFF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Same</w:t>
            </w:r>
          </w:p>
        </w:tc>
        <w:tc>
          <w:tcPr>
            <w:tcW w:w="1350" w:type="dxa"/>
            <w:shd w:val="clear" w:color="auto" w:fill="92D05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No</w:t>
            </w:r>
          </w:p>
        </w:tc>
        <w:tc>
          <w:tcPr>
            <w:tcW w:w="1440" w:type="dxa"/>
            <w:shd w:val="clear" w:color="auto" w:fill="FFFF00"/>
            <w:noWrap/>
          </w:tcPr>
          <w:p w:rsidR="00A0292D" w:rsidRPr="006326F1" w:rsidRDefault="00A0292D" w:rsidP="00E61C17">
            <w:pPr>
              <w:jc w:val="center"/>
              <w:rPr>
                <w:rFonts w:asciiTheme="minorHAnsi" w:hAnsiTheme="minorHAnsi"/>
                <w:b/>
                <w:i/>
                <w:sz w:val="22"/>
                <w:szCs w:val="22"/>
              </w:rPr>
            </w:pPr>
            <w:r w:rsidRPr="006326F1">
              <w:rPr>
                <w:rFonts w:asciiTheme="minorHAnsi" w:hAnsiTheme="minorHAnsi"/>
                <w:b/>
                <w:i/>
                <w:sz w:val="22"/>
                <w:szCs w:val="22"/>
                <w:shd w:val="clear" w:color="auto" w:fill="FFFF00"/>
              </w:rPr>
              <w:t>Unknow</w:t>
            </w:r>
            <w:r w:rsidRPr="006326F1">
              <w:rPr>
                <w:rFonts w:asciiTheme="minorHAnsi" w:hAnsiTheme="minorHAnsi"/>
                <w:b/>
                <w:i/>
                <w:sz w:val="22"/>
                <w:szCs w:val="22"/>
              </w:rPr>
              <w:t>n</w:t>
            </w:r>
          </w:p>
        </w:tc>
      </w:tr>
      <w:tr w:rsidR="00A0292D" w:rsidRPr="001815B9" w:rsidTr="00A0292D">
        <w:trPr>
          <w:trHeight w:val="312"/>
          <w:jc w:val="center"/>
        </w:trPr>
        <w:tc>
          <w:tcPr>
            <w:tcW w:w="2691"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Georges Bank Yellowtail Flounder</w:t>
            </w:r>
          </w:p>
        </w:tc>
        <w:tc>
          <w:tcPr>
            <w:tcW w:w="1467" w:type="dxa"/>
          </w:tcPr>
          <w:p w:rsidR="00A0292D" w:rsidRPr="001815B9" w:rsidRDefault="00A0292D" w:rsidP="00E61C17">
            <w:pPr>
              <w:jc w:val="center"/>
              <w:rPr>
                <w:rFonts w:asciiTheme="minorHAnsi" w:hAnsiTheme="minorHAnsi"/>
                <w:b/>
                <w:sz w:val="22"/>
                <w:szCs w:val="22"/>
              </w:rPr>
            </w:pPr>
            <w:r w:rsidRPr="001815B9">
              <w:rPr>
                <w:rFonts w:asciiTheme="minorHAnsi" w:hAnsiTheme="minorHAnsi"/>
                <w:b/>
                <w:sz w:val="22"/>
                <w:szCs w:val="22"/>
              </w:rPr>
              <w:t>2014</w:t>
            </w:r>
          </w:p>
        </w:tc>
        <w:tc>
          <w:tcPr>
            <w:tcW w:w="1980" w:type="dxa"/>
            <w:shd w:val="clear" w:color="auto" w:fill="FFFF00"/>
          </w:tcPr>
          <w:p w:rsidR="00A0292D" w:rsidRPr="006326F1" w:rsidRDefault="00A0292D" w:rsidP="00E61C17">
            <w:pPr>
              <w:jc w:val="center"/>
              <w:rPr>
                <w:rFonts w:asciiTheme="minorHAnsi" w:hAnsiTheme="minorHAnsi"/>
                <w:b/>
                <w:i/>
                <w:iCs/>
                <w:sz w:val="22"/>
                <w:szCs w:val="22"/>
              </w:rPr>
            </w:pPr>
            <w:r w:rsidRPr="006326F1">
              <w:rPr>
                <w:rFonts w:asciiTheme="minorHAnsi" w:hAnsiTheme="minorHAnsi"/>
                <w:b/>
                <w:i/>
                <w:iCs/>
                <w:sz w:val="22"/>
                <w:szCs w:val="22"/>
              </w:rPr>
              <w:t>Same</w:t>
            </w:r>
          </w:p>
        </w:tc>
        <w:tc>
          <w:tcPr>
            <w:tcW w:w="1350" w:type="dxa"/>
            <w:shd w:val="clear" w:color="auto" w:fill="FFFF00"/>
            <w:noWrap/>
          </w:tcPr>
          <w:p w:rsidR="00A0292D" w:rsidRPr="006326F1" w:rsidRDefault="00A0292D" w:rsidP="00E61C17">
            <w:pPr>
              <w:jc w:val="center"/>
              <w:rPr>
                <w:rFonts w:asciiTheme="minorHAnsi" w:hAnsiTheme="minorHAnsi"/>
                <w:b/>
                <w:i/>
                <w:sz w:val="22"/>
                <w:szCs w:val="22"/>
              </w:rPr>
            </w:pPr>
            <w:r w:rsidRPr="006326F1">
              <w:rPr>
                <w:rFonts w:asciiTheme="minorHAnsi" w:hAnsiTheme="minorHAnsi"/>
                <w:b/>
                <w:i/>
                <w:sz w:val="22"/>
                <w:szCs w:val="22"/>
              </w:rPr>
              <w:t>Unknown</w:t>
            </w:r>
          </w:p>
        </w:tc>
        <w:tc>
          <w:tcPr>
            <w:tcW w:w="1440" w:type="dxa"/>
            <w:shd w:val="clear" w:color="auto" w:fill="FFFF00"/>
            <w:noWrap/>
          </w:tcPr>
          <w:p w:rsidR="00A0292D" w:rsidRPr="006326F1" w:rsidRDefault="00A0292D" w:rsidP="00E61C17">
            <w:pPr>
              <w:jc w:val="center"/>
              <w:rPr>
                <w:rFonts w:asciiTheme="minorHAnsi" w:hAnsiTheme="minorHAnsi"/>
                <w:b/>
                <w:i/>
                <w:sz w:val="22"/>
                <w:szCs w:val="22"/>
              </w:rPr>
            </w:pPr>
            <w:r w:rsidRPr="006326F1">
              <w:rPr>
                <w:rFonts w:asciiTheme="minorHAnsi" w:hAnsiTheme="minorHAnsi"/>
                <w:b/>
                <w:i/>
                <w:sz w:val="22"/>
                <w:szCs w:val="22"/>
              </w:rPr>
              <w:t>Unknown</w:t>
            </w:r>
          </w:p>
        </w:tc>
      </w:tr>
    </w:tbl>
    <w:p w:rsidR="00A0292D" w:rsidRPr="007B61C2" w:rsidRDefault="00A0292D" w:rsidP="00A0292D">
      <w:pPr>
        <w:rPr>
          <w:rFonts w:asciiTheme="minorHAnsi" w:hAnsiTheme="minorHAnsi"/>
          <w:sz w:val="22"/>
          <w:szCs w:val="22"/>
        </w:rPr>
      </w:pPr>
      <w:r w:rsidRPr="007B61C2">
        <w:rPr>
          <w:rFonts w:asciiTheme="minorHAnsi" w:hAnsiTheme="minorHAnsi"/>
          <w:sz w:val="22"/>
          <w:szCs w:val="22"/>
        </w:rPr>
        <w:t>*Status change relates only to changes in status relating to overfishing or overfished.</w:t>
      </w:r>
    </w:p>
    <w:p w:rsidR="00A0292D" w:rsidRDefault="00A0292D">
      <w:pPr>
        <w:rPr>
          <w:sz w:val="22"/>
          <w:szCs w:val="22"/>
        </w:rPr>
      </w:pPr>
      <w:r>
        <w:rPr>
          <w:sz w:val="22"/>
          <w:szCs w:val="22"/>
        </w:rPr>
        <w:br w:type="page"/>
      </w:r>
    </w:p>
    <w:p w:rsidR="00A0292D" w:rsidRDefault="00A0292D">
      <w:pPr>
        <w:rPr>
          <w:sz w:val="22"/>
          <w:szCs w:val="22"/>
        </w:rPr>
        <w:sectPr w:rsidR="00A0292D">
          <w:pgSz w:w="12240" w:h="15840"/>
          <w:pgMar w:top="1440" w:right="1800" w:bottom="1440" w:left="1800" w:header="720" w:footer="720" w:gutter="0"/>
          <w:cols w:space="720"/>
          <w:docGrid w:linePitch="360"/>
        </w:sectPr>
      </w:pPr>
    </w:p>
    <w:p w:rsidR="00A0292D" w:rsidRPr="00507AC9" w:rsidRDefault="00A0292D">
      <w:pPr>
        <w:rPr>
          <w:i/>
          <w:sz w:val="22"/>
          <w:szCs w:val="22"/>
        </w:rPr>
      </w:pPr>
      <w:proofErr w:type="gramStart"/>
      <w:r>
        <w:rPr>
          <w:sz w:val="22"/>
          <w:szCs w:val="22"/>
        </w:rPr>
        <w:lastRenderedPageBreak/>
        <w:t>Table 2.</w:t>
      </w:r>
      <w:proofErr w:type="gramEnd"/>
      <w:r>
        <w:rPr>
          <w:sz w:val="22"/>
          <w:szCs w:val="22"/>
        </w:rPr>
        <w:t xml:space="preserve"> </w:t>
      </w:r>
      <w:proofErr w:type="gramStart"/>
      <w:r>
        <w:rPr>
          <w:sz w:val="22"/>
          <w:szCs w:val="22"/>
        </w:rPr>
        <w:t xml:space="preserve">Comparison of biomass and fishing mortality rate </w:t>
      </w:r>
      <w:proofErr w:type="spellStart"/>
      <w:r>
        <w:rPr>
          <w:sz w:val="22"/>
          <w:szCs w:val="22"/>
        </w:rPr>
        <w:t>Mohn’s</w:t>
      </w:r>
      <w:proofErr w:type="spellEnd"/>
      <w:r>
        <w:rPr>
          <w:sz w:val="22"/>
          <w:szCs w:val="22"/>
        </w:rPr>
        <w:t xml:space="preserve"> rho values by stock between previous assessment and the 2015 updates.</w:t>
      </w:r>
      <w:proofErr w:type="gramEnd"/>
      <w:r>
        <w:rPr>
          <w:sz w:val="22"/>
          <w:szCs w:val="22"/>
        </w:rPr>
        <w:t xml:space="preserve"> The biomass and fishing mortality rate point estimates and rho adjusted values are provided for the 2015 update assessments. The total number of stocks using rho adjusted values in the last assessment and the 2015 assessments</w:t>
      </w:r>
      <w:r w:rsidR="008E265F">
        <w:rPr>
          <w:sz w:val="22"/>
          <w:szCs w:val="22"/>
        </w:rPr>
        <w:t>, along with the type of rho adjustment used in the 2015 assessment (NAA=numbers at age, SSB=spawning stock biomass applied to all ages),</w:t>
      </w:r>
      <w:r>
        <w:rPr>
          <w:sz w:val="22"/>
          <w:szCs w:val="22"/>
        </w:rPr>
        <w:t xml:space="preserve"> are also provided.</w:t>
      </w:r>
      <w:r w:rsidR="00277005">
        <w:rPr>
          <w:sz w:val="22"/>
          <w:szCs w:val="22"/>
        </w:rPr>
        <w:t xml:space="preserve"> Only age-based and length-based stocks that could exhibit retrospective patterns are included in this table.</w:t>
      </w:r>
      <w:r w:rsidR="00507AC9">
        <w:rPr>
          <w:sz w:val="22"/>
          <w:szCs w:val="22"/>
        </w:rPr>
        <w:t xml:space="preserve"> </w:t>
      </w:r>
      <w:r w:rsidR="00507AC9" w:rsidRPr="00507AC9">
        <w:rPr>
          <w:i/>
          <w:sz w:val="22"/>
          <w:szCs w:val="22"/>
        </w:rPr>
        <w:t>Note: Because the Georges Bank cod assessment was rejected at the 2015 OA Update it has been excluded from this table.</w:t>
      </w:r>
    </w:p>
    <w:p w:rsidR="008E265F" w:rsidRDefault="008E265F">
      <w:pPr>
        <w:rPr>
          <w:sz w:val="22"/>
          <w:szCs w:val="22"/>
        </w:rPr>
      </w:pPr>
    </w:p>
    <w:p w:rsidR="008E265F" w:rsidRDefault="000331F0" w:rsidP="00507AC9">
      <w:pPr>
        <w:jc w:val="center"/>
        <w:rPr>
          <w:sz w:val="22"/>
          <w:szCs w:val="22"/>
        </w:rPr>
      </w:pPr>
      <w:r w:rsidRPr="000331F0">
        <w:rPr>
          <w:noProof/>
        </w:rPr>
        <w:drawing>
          <wp:inline distT="0" distB="0" distL="0" distR="0" wp14:anchorId="2D56F5B0" wp14:editId="7C1C3ED2">
            <wp:extent cx="8229600" cy="206962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2069629"/>
                    </a:xfrm>
                    <a:prstGeom prst="rect">
                      <a:avLst/>
                    </a:prstGeom>
                    <a:noFill/>
                    <a:ln>
                      <a:noFill/>
                    </a:ln>
                  </pic:spPr>
                </pic:pic>
              </a:graphicData>
            </a:graphic>
          </wp:inline>
        </w:drawing>
      </w:r>
    </w:p>
    <w:p w:rsidR="008E265F" w:rsidRDefault="008E265F">
      <w:pPr>
        <w:rPr>
          <w:sz w:val="22"/>
          <w:szCs w:val="22"/>
        </w:rPr>
      </w:pPr>
    </w:p>
    <w:p w:rsidR="00A0292D" w:rsidRDefault="00A0292D">
      <w:pPr>
        <w:rPr>
          <w:sz w:val="22"/>
          <w:szCs w:val="22"/>
        </w:rPr>
      </w:pPr>
    </w:p>
    <w:p w:rsidR="00A0292D" w:rsidRDefault="00A0292D">
      <w:pPr>
        <w:rPr>
          <w:sz w:val="22"/>
          <w:szCs w:val="22"/>
        </w:rPr>
      </w:pPr>
    </w:p>
    <w:p w:rsidR="00A0292D" w:rsidRDefault="00A0292D">
      <w:pPr>
        <w:rPr>
          <w:sz w:val="22"/>
          <w:szCs w:val="22"/>
        </w:rPr>
      </w:pPr>
    </w:p>
    <w:p w:rsidR="00A0292D" w:rsidRDefault="00A0292D">
      <w:pPr>
        <w:rPr>
          <w:sz w:val="22"/>
          <w:szCs w:val="22"/>
        </w:rPr>
      </w:pPr>
    </w:p>
    <w:p w:rsidR="00996808" w:rsidRPr="00971EC0" w:rsidRDefault="00996808" w:rsidP="00E42298">
      <w:pPr>
        <w:rPr>
          <w:sz w:val="22"/>
          <w:szCs w:val="22"/>
        </w:rPr>
      </w:pPr>
    </w:p>
    <w:p w:rsidR="00A0292D" w:rsidRDefault="00A0292D" w:rsidP="00E42298">
      <w:pPr>
        <w:rPr>
          <w:sz w:val="22"/>
          <w:szCs w:val="22"/>
        </w:rPr>
        <w:sectPr w:rsidR="00A0292D" w:rsidSect="00A0292D">
          <w:pgSz w:w="15840" w:h="12240" w:orient="landscape"/>
          <w:pgMar w:top="1800" w:right="1440" w:bottom="1800" w:left="1440" w:header="720" w:footer="720" w:gutter="0"/>
          <w:cols w:space="720"/>
          <w:docGrid w:linePitch="360"/>
        </w:sectPr>
      </w:pPr>
    </w:p>
    <w:p w:rsidR="00E42298" w:rsidRPr="00971EC0" w:rsidRDefault="00996808" w:rsidP="00E42298">
      <w:pPr>
        <w:rPr>
          <w:sz w:val="22"/>
          <w:szCs w:val="22"/>
        </w:rPr>
      </w:pPr>
      <w:proofErr w:type="gramStart"/>
      <w:r w:rsidRPr="00971EC0">
        <w:rPr>
          <w:sz w:val="22"/>
          <w:szCs w:val="22"/>
        </w:rPr>
        <w:lastRenderedPageBreak/>
        <w:t xml:space="preserve">Table </w:t>
      </w:r>
      <w:r w:rsidR="00A0292D">
        <w:rPr>
          <w:sz w:val="22"/>
          <w:szCs w:val="22"/>
        </w:rPr>
        <w:t>3</w:t>
      </w:r>
      <w:r w:rsidRPr="00971EC0">
        <w:rPr>
          <w:sz w:val="22"/>
          <w:szCs w:val="22"/>
        </w:rPr>
        <w:t>.</w:t>
      </w:r>
      <w:proofErr w:type="gramEnd"/>
      <w:r w:rsidR="00617E21">
        <w:rPr>
          <w:sz w:val="22"/>
          <w:szCs w:val="22"/>
        </w:rPr>
        <w:t xml:space="preserve"> Mean z-score of the NEFSC spring and fall bottom trawl surveys over the last five years for the </w:t>
      </w:r>
      <w:r w:rsidR="00617E21" w:rsidRPr="00971EC0">
        <w:rPr>
          <w:sz w:val="22"/>
          <w:szCs w:val="22"/>
        </w:rPr>
        <w:t>twenty Northeast Multispecies Fishery Management Plan (groundfish)</w:t>
      </w:r>
      <w:r w:rsidR="00617E21">
        <w:rPr>
          <w:sz w:val="22"/>
          <w:szCs w:val="22"/>
        </w:rPr>
        <w:t xml:space="preserve"> stocks. </w:t>
      </w:r>
      <w:r w:rsidR="00617E21" w:rsidRPr="00617E21">
        <w:rPr>
          <w:sz w:val="22"/>
          <w:szCs w:val="22"/>
        </w:rPr>
        <w:t>Where values are null, the survey season is uninformative as an index of abundance and not used in the stock assessment.</w:t>
      </w:r>
    </w:p>
    <w:p w:rsidR="00996808" w:rsidRPr="00971EC0" w:rsidRDefault="00996808" w:rsidP="00E42298">
      <w:pPr>
        <w:rPr>
          <w:sz w:val="22"/>
          <w:szCs w:val="22"/>
        </w:rPr>
      </w:pPr>
    </w:p>
    <w:p w:rsidR="00996808" w:rsidRPr="00971EC0" w:rsidRDefault="00360D8B" w:rsidP="00360D8B">
      <w:pPr>
        <w:jc w:val="center"/>
        <w:rPr>
          <w:sz w:val="22"/>
          <w:szCs w:val="22"/>
        </w:rPr>
      </w:pPr>
      <w:r w:rsidRPr="00971EC0">
        <w:rPr>
          <w:noProof/>
          <w:sz w:val="22"/>
          <w:szCs w:val="22"/>
        </w:rPr>
        <w:drawing>
          <wp:inline distT="0" distB="0" distL="0" distR="0" wp14:anchorId="36A5C877" wp14:editId="1108416B">
            <wp:extent cx="3989070" cy="4356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9070" cy="4356100"/>
                    </a:xfrm>
                    <a:prstGeom prst="rect">
                      <a:avLst/>
                    </a:prstGeom>
                    <a:noFill/>
                    <a:ln>
                      <a:noFill/>
                    </a:ln>
                  </pic:spPr>
                </pic:pic>
              </a:graphicData>
            </a:graphic>
          </wp:inline>
        </w:drawing>
      </w:r>
    </w:p>
    <w:p w:rsidR="00360D8B" w:rsidRDefault="00360D8B" w:rsidP="00360D8B">
      <w:pPr>
        <w:rPr>
          <w:sz w:val="22"/>
          <w:szCs w:val="22"/>
        </w:rPr>
      </w:pPr>
    </w:p>
    <w:p w:rsidR="00360D8B" w:rsidRDefault="00360D8B" w:rsidP="00360D8B">
      <w:pPr>
        <w:rPr>
          <w:sz w:val="22"/>
          <w:szCs w:val="22"/>
        </w:rPr>
        <w:sectPr w:rsidR="00360D8B" w:rsidSect="00A0292D">
          <w:pgSz w:w="12240" w:h="15840"/>
          <w:pgMar w:top="1440" w:right="1800" w:bottom="1440" w:left="1800" w:header="720" w:footer="720" w:gutter="0"/>
          <w:cols w:space="720"/>
          <w:docGrid w:linePitch="360"/>
        </w:sectPr>
      </w:pPr>
    </w:p>
    <w:p w:rsidR="00360D8B" w:rsidRDefault="00360D8B" w:rsidP="00360D8B">
      <w:pPr>
        <w:rPr>
          <w:sz w:val="22"/>
          <w:szCs w:val="22"/>
        </w:rPr>
      </w:pPr>
    </w:p>
    <w:p w:rsidR="00360D8B" w:rsidRDefault="00360D8B" w:rsidP="00360D8B">
      <w:pPr>
        <w:rPr>
          <w:sz w:val="22"/>
          <w:szCs w:val="22"/>
        </w:rPr>
      </w:pPr>
      <w:proofErr w:type="gramStart"/>
      <w:r>
        <w:rPr>
          <w:sz w:val="22"/>
          <w:szCs w:val="22"/>
        </w:rPr>
        <w:t>Table 4.</w:t>
      </w:r>
      <w:proofErr w:type="gramEnd"/>
      <w:r>
        <w:rPr>
          <w:sz w:val="22"/>
          <w:szCs w:val="22"/>
        </w:rPr>
        <w:t xml:space="preserve"> </w:t>
      </w:r>
      <w:proofErr w:type="gramStart"/>
      <w:r>
        <w:rPr>
          <w:sz w:val="22"/>
          <w:szCs w:val="22"/>
        </w:rPr>
        <w:t>Average relative condition factor of fish captured in the NEFSC bottom trawl survey by stock over the last five years.</w:t>
      </w:r>
      <w:proofErr w:type="gramEnd"/>
      <w:r>
        <w:rPr>
          <w:sz w:val="22"/>
          <w:szCs w:val="22"/>
        </w:rPr>
        <w:t xml:space="preserve"> The spring survey includes the years 2011 to 2015 and the fall survey 2010 to 2014. The relative condition factor (observed weight/predicted weight) is calculated from a season-specific time series </w:t>
      </w:r>
      <w:r w:rsidR="00AC4441">
        <w:rPr>
          <w:sz w:val="22"/>
          <w:szCs w:val="22"/>
        </w:rPr>
        <w:t>(1992-present) length-weight relationship. T</w:t>
      </w:r>
      <w:r>
        <w:rPr>
          <w:sz w:val="22"/>
          <w:szCs w:val="22"/>
        </w:rPr>
        <w:t>he time series begins in 1992 when collection of individual fish weight</w:t>
      </w:r>
      <w:r w:rsidR="00AC4441">
        <w:rPr>
          <w:sz w:val="22"/>
          <w:szCs w:val="22"/>
        </w:rPr>
        <w:t>s</w:t>
      </w:r>
      <w:r>
        <w:rPr>
          <w:sz w:val="22"/>
          <w:szCs w:val="22"/>
        </w:rPr>
        <w:t xml:space="preserve"> began</w:t>
      </w:r>
      <w:r w:rsidR="00AC4441">
        <w:rPr>
          <w:sz w:val="22"/>
          <w:szCs w:val="22"/>
        </w:rPr>
        <w:t xml:space="preserve"> on NEFSC bottom trawl surveys</w:t>
      </w:r>
      <w:r>
        <w:rPr>
          <w:sz w:val="22"/>
          <w:szCs w:val="22"/>
        </w:rPr>
        <w:t>.</w:t>
      </w:r>
    </w:p>
    <w:p w:rsidR="00360D8B" w:rsidRDefault="00360D8B" w:rsidP="00360D8B">
      <w:pPr>
        <w:rPr>
          <w:sz w:val="22"/>
          <w:szCs w:val="22"/>
        </w:rPr>
      </w:pPr>
    </w:p>
    <w:p w:rsidR="00360D8B" w:rsidRDefault="00360D8B" w:rsidP="00360D8B">
      <w:pPr>
        <w:jc w:val="center"/>
        <w:rPr>
          <w:sz w:val="22"/>
          <w:szCs w:val="22"/>
        </w:rPr>
      </w:pPr>
      <w:r w:rsidRPr="00360D8B">
        <w:rPr>
          <w:noProof/>
        </w:rPr>
        <w:drawing>
          <wp:inline distT="0" distB="0" distL="0" distR="0">
            <wp:extent cx="4060825" cy="3815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0825" cy="3815715"/>
                    </a:xfrm>
                    <a:prstGeom prst="rect">
                      <a:avLst/>
                    </a:prstGeom>
                    <a:noFill/>
                    <a:ln>
                      <a:noFill/>
                    </a:ln>
                  </pic:spPr>
                </pic:pic>
              </a:graphicData>
            </a:graphic>
          </wp:inline>
        </w:drawing>
      </w:r>
    </w:p>
    <w:p w:rsidR="00360D8B" w:rsidRDefault="00360D8B" w:rsidP="00996808">
      <w:pPr>
        <w:jc w:val="center"/>
        <w:rPr>
          <w:sz w:val="22"/>
          <w:szCs w:val="22"/>
        </w:rPr>
      </w:pPr>
    </w:p>
    <w:p w:rsidR="00360D8B" w:rsidRDefault="00360D8B" w:rsidP="00996808">
      <w:pPr>
        <w:jc w:val="center"/>
        <w:rPr>
          <w:sz w:val="22"/>
          <w:szCs w:val="22"/>
        </w:rPr>
      </w:pPr>
    </w:p>
    <w:p w:rsidR="00996808" w:rsidRPr="00971EC0" w:rsidRDefault="00996808" w:rsidP="00996808">
      <w:pPr>
        <w:jc w:val="center"/>
        <w:rPr>
          <w:sz w:val="22"/>
          <w:szCs w:val="22"/>
        </w:rPr>
        <w:sectPr w:rsidR="00996808" w:rsidRPr="00971EC0" w:rsidSect="00A0292D">
          <w:pgSz w:w="12240" w:h="15840"/>
          <w:pgMar w:top="1440" w:right="1800" w:bottom="1440" w:left="1800" w:header="720" w:footer="720" w:gutter="0"/>
          <w:cols w:space="720"/>
          <w:docGrid w:linePitch="360"/>
        </w:sectPr>
      </w:pPr>
    </w:p>
    <w:p w:rsidR="008A2D4F" w:rsidRDefault="008A2D4F" w:rsidP="001E0302">
      <w:pPr>
        <w:rPr>
          <w:noProof/>
          <w:color w:val="000000"/>
          <w:sz w:val="22"/>
          <w:szCs w:val="22"/>
        </w:rPr>
      </w:pPr>
    </w:p>
    <w:p w:rsidR="00EC4604" w:rsidRDefault="00F77BFE" w:rsidP="00EC4604">
      <w:pPr>
        <w:jc w:val="center"/>
        <w:rPr>
          <w:noProof/>
          <w:color w:val="000000"/>
          <w:sz w:val="22"/>
          <w:szCs w:val="22"/>
        </w:rPr>
      </w:pPr>
      <w:r>
        <w:rPr>
          <w:rFonts w:ascii="Arial" w:hAnsi="Arial" w:cs="Arial"/>
          <w:noProof/>
          <w:color w:val="000000"/>
          <w:sz w:val="20"/>
          <w:szCs w:val="20"/>
        </w:rPr>
        <w:drawing>
          <wp:inline distT="0" distB="0" distL="0" distR="0">
            <wp:extent cx="8229600" cy="3429000"/>
            <wp:effectExtent l="0" t="0" r="0" b="0"/>
            <wp:docPr id="13" name="Picture 13" descr="The SGPanel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SGPanel Proced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3429000"/>
                    </a:xfrm>
                    <a:prstGeom prst="rect">
                      <a:avLst/>
                    </a:prstGeom>
                    <a:noFill/>
                    <a:ln>
                      <a:noFill/>
                    </a:ln>
                  </pic:spPr>
                </pic:pic>
              </a:graphicData>
            </a:graphic>
          </wp:inline>
        </w:drawing>
      </w:r>
    </w:p>
    <w:p w:rsidR="00EC4604" w:rsidRPr="00971EC0" w:rsidRDefault="00EC4604" w:rsidP="001E0302">
      <w:pPr>
        <w:rPr>
          <w:noProof/>
          <w:color w:val="000000"/>
          <w:sz w:val="22"/>
          <w:szCs w:val="22"/>
        </w:rPr>
      </w:pPr>
    </w:p>
    <w:p w:rsidR="00971EC0" w:rsidRDefault="00AC4441" w:rsidP="001E0302">
      <w:pPr>
        <w:rPr>
          <w:noProof/>
          <w:color w:val="000000"/>
          <w:sz w:val="22"/>
          <w:szCs w:val="22"/>
        </w:rPr>
      </w:pPr>
      <w:r w:rsidRPr="00971EC0">
        <w:rPr>
          <w:noProof/>
          <w:color w:val="000000"/>
          <w:sz w:val="22"/>
          <w:szCs w:val="22"/>
        </w:rPr>
        <w:t>Figure 1.</w:t>
      </w:r>
      <w:r w:rsidRPr="00971EC0">
        <w:rPr>
          <w:sz w:val="22"/>
          <w:szCs w:val="22"/>
        </w:rPr>
        <w:t xml:space="preserve"> </w:t>
      </w:r>
      <w:proofErr w:type="gramStart"/>
      <w:r>
        <w:rPr>
          <w:sz w:val="22"/>
          <w:szCs w:val="22"/>
        </w:rPr>
        <w:t>Status of the</w:t>
      </w:r>
      <w:r w:rsidRPr="00971EC0">
        <w:rPr>
          <w:sz w:val="22"/>
          <w:szCs w:val="22"/>
        </w:rPr>
        <w:t xml:space="preserve"> Northeast Multispecies Fishery Management Plan (groundfish)</w:t>
      </w:r>
      <w:r>
        <w:rPr>
          <w:sz w:val="22"/>
          <w:szCs w:val="22"/>
        </w:rPr>
        <w:t xml:space="preserve"> </w:t>
      </w:r>
      <w:r w:rsidRPr="00971EC0">
        <w:rPr>
          <w:sz w:val="22"/>
          <w:szCs w:val="22"/>
        </w:rPr>
        <w:t xml:space="preserve">stocks </w:t>
      </w:r>
      <w:r>
        <w:rPr>
          <w:sz w:val="22"/>
          <w:szCs w:val="22"/>
        </w:rPr>
        <w:t xml:space="preserve">in 2007 (GARM III) and 2014 (OA 2015) </w:t>
      </w:r>
      <w:r w:rsidRPr="00971EC0">
        <w:rPr>
          <w:sz w:val="22"/>
          <w:szCs w:val="22"/>
        </w:rPr>
        <w:t xml:space="preserve">with respect to </w:t>
      </w:r>
      <w:r>
        <w:rPr>
          <w:sz w:val="22"/>
          <w:szCs w:val="22"/>
        </w:rPr>
        <w:t xml:space="preserve">the </w:t>
      </w:r>
      <w:r w:rsidRPr="00971EC0">
        <w:rPr>
          <w:sz w:val="22"/>
          <w:szCs w:val="22"/>
        </w:rPr>
        <w:t>F</w:t>
      </w:r>
      <w:r w:rsidRPr="00971EC0">
        <w:rPr>
          <w:sz w:val="22"/>
          <w:szCs w:val="22"/>
          <w:vertAlign w:val="subscript"/>
        </w:rPr>
        <w:t>MSY</w:t>
      </w:r>
      <w:r w:rsidRPr="00971EC0">
        <w:rPr>
          <w:sz w:val="22"/>
          <w:szCs w:val="22"/>
        </w:rPr>
        <w:t xml:space="preserve"> and B</w:t>
      </w:r>
      <w:r w:rsidRPr="00971EC0">
        <w:rPr>
          <w:sz w:val="22"/>
          <w:szCs w:val="22"/>
          <w:vertAlign w:val="subscript"/>
        </w:rPr>
        <w:t>MSY</w:t>
      </w:r>
      <w:r>
        <w:rPr>
          <w:sz w:val="22"/>
          <w:szCs w:val="22"/>
        </w:rPr>
        <w:t xml:space="preserve"> </w:t>
      </w:r>
      <w:r w:rsidRPr="00971EC0">
        <w:rPr>
          <w:sz w:val="22"/>
          <w:szCs w:val="22"/>
        </w:rPr>
        <w:t>pro</w:t>
      </w:r>
      <w:r>
        <w:rPr>
          <w:sz w:val="22"/>
          <w:szCs w:val="22"/>
        </w:rPr>
        <w:t>xies.</w:t>
      </w:r>
      <w:proofErr w:type="gramEnd"/>
      <w:r>
        <w:rPr>
          <w:sz w:val="22"/>
          <w:szCs w:val="22"/>
        </w:rPr>
        <w:t xml:space="preserve"> The ‘Intermediate assessment’ represents the last stock assessment conducted prior to the OA 2015 assessment (year varies by stock). </w:t>
      </w:r>
      <w:proofErr w:type="gramStart"/>
      <w:r>
        <w:rPr>
          <w:sz w:val="22"/>
          <w:szCs w:val="22"/>
        </w:rPr>
        <w:t xml:space="preserve">Stocks on which overfishing is occurring are those where the </w:t>
      </w:r>
      <w:proofErr w:type="spellStart"/>
      <w:r>
        <w:rPr>
          <w:sz w:val="22"/>
          <w:szCs w:val="22"/>
        </w:rPr>
        <w:t>F</w:t>
      </w:r>
      <w:r w:rsidRPr="00C629A2">
        <w:rPr>
          <w:sz w:val="22"/>
          <w:szCs w:val="22"/>
          <w:vertAlign w:val="subscript"/>
        </w:rPr>
        <w:t>terminal</w:t>
      </w:r>
      <w:proofErr w:type="spellEnd"/>
      <w:r>
        <w:rPr>
          <w:sz w:val="22"/>
          <w:szCs w:val="22"/>
        </w:rPr>
        <w:t>/</w:t>
      </w:r>
      <w:r w:rsidRPr="00C629A2">
        <w:rPr>
          <w:sz w:val="22"/>
          <w:szCs w:val="22"/>
        </w:rPr>
        <w:t>F</w:t>
      </w:r>
      <w:r w:rsidRPr="00C629A2">
        <w:rPr>
          <w:sz w:val="22"/>
          <w:szCs w:val="22"/>
          <w:vertAlign w:val="subscript"/>
        </w:rPr>
        <w:t>MSY-proxy</w:t>
      </w:r>
      <w:r>
        <w:rPr>
          <w:sz w:val="22"/>
          <w:szCs w:val="22"/>
        </w:rPr>
        <w:t xml:space="preserve"> ratio is greater than 1 and overfished stocks are those where the </w:t>
      </w:r>
      <w:proofErr w:type="spellStart"/>
      <w:r>
        <w:rPr>
          <w:sz w:val="22"/>
          <w:szCs w:val="22"/>
        </w:rPr>
        <w:t>B</w:t>
      </w:r>
      <w:r w:rsidRPr="00C629A2">
        <w:rPr>
          <w:sz w:val="22"/>
          <w:szCs w:val="22"/>
          <w:vertAlign w:val="subscript"/>
        </w:rPr>
        <w:t>terminal</w:t>
      </w:r>
      <w:proofErr w:type="spellEnd"/>
      <w:r>
        <w:rPr>
          <w:sz w:val="22"/>
          <w:szCs w:val="22"/>
        </w:rPr>
        <w:t>/B</w:t>
      </w:r>
      <w:r w:rsidRPr="00C629A2">
        <w:rPr>
          <w:sz w:val="22"/>
          <w:szCs w:val="22"/>
          <w:vertAlign w:val="subscript"/>
        </w:rPr>
        <w:t>MSY-proxy</w:t>
      </w:r>
      <w:r>
        <w:rPr>
          <w:sz w:val="22"/>
          <w:szCs w:val="22"/>
        </w:rPr>
        <w:t xml:space="preserve"> ratio is less than 0.5.</w:t>
      </w:r>
      <w:proofErr w:type="gramEnd"/>
      <w:r>
        <w:rPr>
          <w:sz w:val="22"/>
          <w:szCs w:val="22"/>
        </w:rPr>
        <w:t xml:space="preserve"> </w:t>
      </w:r>
      <w:r w:rsidRPr="00C629A2">
        <w:rPr>
          <w:i/>
          <w:sz w:val="22"/>
          <w:szCs w:val="22"/>
        </w:rPr>
        <w:t xml:space="preserve">Notes: (1) the GARM III assessments did not include wolfish; (2) </w:t>
      </w:r>
      <w:r>
        <w:rPr>
          <w:i/>
          <w:sz w:val="22"/>
          <w:szCs w:val="22"/>
        </w:rPr>
        <w:t>for the intermediate assessments stock status could not be determined for Gulf of Maine winter flounder (OA 2014) or Georges Bank yellowtail (TRAC 2015)</w:t>
      </w:r>
      <w:r w:rsidRPr="00C629A2">
        <w:rPr>
          <w:i/>
          <w:sz w:val="22"/>
          <w:szCs w:val="22"/>
        </w:rPr>
        <w:t>; and, (3) based on the OA 2015 assessments stock status could not be determined for Atlantic halibut, Gulf of Maine winter flounder and Georges Bank yellowtail flounder.</w:t>
      </w:r>
      <w:r>
        <w:rPr>
          <w:i/>
          <w:sz w:val="22"/>
          <w:szCs w:val="22"/>
        </w:rPr>
        <w:t xml:space="preserve"> </w:t>
      </w:r>
      <w:r w:rsidR="000D78CE">
        <w:rPr>
          <w:i/>
          <w:sz w:val="22"/>
          <w:szCs w:val="22"/>
        </w:rPr>
        <w:t xml:space="preserve">In the OA 2015 assessment, the stock status for Georges Bank cod remained overfished and overfishing is occurring; however, since the assessment was rejected, ratios of terminal conditions to reference points cannot be determined. </w:t>
      </w:r>
      <w:r>
        <w:rPr>
          <w:i/>
          <w:sz w:val="22"/>
          <w:szCs w:val="22"/>
        </w:rPr>
        <w:t>Species codes: COD-Atlantic cod, HAD-haddock, POL-pollock, RED-redfish, WHK-white hake, OPT-ocean pout, CAT-</w:t>
      </w:r>
      <w:proofErr w:type="spellStart"/>
      <w:r>
        <w:rPr>
          <w:i/>
          <w:sz w:val="22"/>
          <w:szCs w:val="22"/>
        </w:rPr>
        <w:t>wolffish</w:t>
      </w:r>
      <w:proofErr w:type="spellEnd"/>
      <w:r>
        <w:rPr>
          <w:i/>
          <w:sz w:val="22"/>
          <w:szCs w:val="22"/>
        </w:rPr>
        <w:t xml:space="preserve">, PLA-American plaice, FLW-winter flounder, YEL-yellowtail flounder, WIT-witch flounder, FLD-windowpane flounder, HAL-Atlantic halibut. </w:t>
      </w:r>
    </w:p>
    <w:p w:rsidR="000D78CE" w:rsidRDefault="000D78CE" w:rsidP="00C629A2">
      <w:pPr>
        <w:jc w:val="center"/>
        <w:rPr>
          <w:noProof/>
          <w:color w:val="000000"/>
          <w:sz w:val="22"/>
          <w:szCs w:val="22"/>
        </w:rPr>
        <w:sectPr w:rsidR="000D78CE" w:rsidSect="000D78CE">
          <w:pgSz w:w="15840" w:h="12240" w:orient="landscape"/>
          <w:pgMar w:top="1800" w:right="1440" w:bottom="1800" w:left="1440" w:header="720" w:footer="720" w:gutter="0"/>
          <w:cols w:space="720"/>
          <w:docGrid w:linePitch="360"/>
        </w:sectPr>
      </w:pPr>
    </w:p>
    <w:p w:rsidR="00971EC0" w:rsidRDefault="00F77BFE" w:rsidP="00C629A2">
      <w:pPr>
        <w:jc w:val="center"/>
        <w:rPr>
          <w:noProof/>
          <w:color w:val="000000"/>
          <w:sz w:val="22"/>
          <w:szCs w:val="22"/>
        </w:rPr>
      </w:pPr>
      <w:r>
        <w:rPr>
          <w:rFonts w:ascii="Arial" w:hAnsi="Arial" w:cs="Arial"/>
          <w:noProof/>
          <w:color w:val="000000"/>
          <w:sz w:val="20"/>
          <w:szCs w:val="20"/>
        </w:rPr>
        <w:lastRenderedPageBreak/>
        <w:drawing>
          <wp:inline distT="0" distB="0" distL="0" distR="0">
            <wp:extent cx="4608800" cy="5925600"/>
            <wp:effectExtent l="0" t="0" r="1905" b="0"/>
            <wp:docPr id="16" name="Picture 16"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SGPlot Proced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8800" cy="5925600"/>
                    </a:xfrm>
                    <a:prstGeom prst="rect">
                      <a:avLst/>
                    </a:prstGeom>
                    <a:noFill/>
                    <a:ln>
                      <a:noFill/>
                    </a:ln>
                  </pic:spPr>
                </pic:pic>
              </a:graphicData>
            </a:graphic>
          </wp:inline>
        </w:drawing>
      </w:r>
    </w:p>
    <w:p w:rsidR="00971EC0" w:rsidRPr="00971EC0" w:rsidRDefault="00971EC0" w:rsidP="001E0302">
      <w:pPr>
        <w:rPr>
          <w:noProof/>
          <w:color w:val="000000"/>
          <w:sz w:val="22"/>
          <w:szCs w:val="22"/>
        </w:rPr>
      </w:pPr>
    </w:p>
    <w:p w:rsidR="00971EC0" w:rsidRDefault="00971EC0" w:rsidP="00971EC0">
      <w:pPr>
        <w:rPr>
          <w:sz w:val="22"/>
          <w:szCs w:val="22"/>
        </w:rPr>
        <w:sectPr w:rsidR="00971EC0" w:rsidSect="000D78CE">
          <w:pgSz w:w="12240" w:h="15840"/>
          <w:pgMar w:top="1440" w:right="1800" w:bottom="1440" w:left="1800" w:header="720" w:footer="720" w:gutter="0"/>
          <w:cols w:space="720"/>
          <w:docGrid w:linePitch="360"/>
        </w:sectPr>
      </w:pPr>
      <w:r>
        <w:rPr>
          <w:noProof/>
          <w:color w:val="000000"/>
          <w:sz w:val="22"/>
          <w:szCs w:val="22"/>
        </w:rPr>
        <w:t>Figure 2</w:t>
      </w:r>
      <w:r w:rsidRPr="00971EC0">
        <w:rPr>
          <w:noProof/>
          <w:color w:val="000000"/>
          <w:sz w:val="22"/>
          <w:szCs w:val="22"/>
        </w:rPr>
        <w:t xml:space="preserve">. </w:t>
      </w:r>
      <w:proofErr w:type="gramStart"/>
      <w:r w:rsidR="0049728A">
        <w:rPr>
          <w:noProof/>
          <w:color w:val="000000"/>
          <w:sz w:val="22"/>
          <w:szCs w:val="22"/>
        </w:rPr>
        <w:t xml:space="preserve">Changes in the ratio of </w:t>
      </w:r>
      <w:r>
        <w:rPr>
          <w:sz w:val="22"/>
          <w:szCs w:val="22"/>
        </w:rPr>
        <w:t>fishing mortality</w:t>
      </w:r>
      <w:r w:rsidRPr="00971EC0">
        <w:rPr>
          <w:sz w:val="22"/>
          <w:szCs w:val="22"/>
        </w:rPr>
        <w:t xml:space="preserve"> to </w:t>
      </w:r>
      <w:r>
        <w:rPr>
          <w:sz w:val="22"/>
          <w:szCs w:val="22"/>
        </w:rPr>
        <w:t>F</w:t>
      </w:r>
      <w:r w:rsidRPr="00971EC0">
        <w:rPr>
          <w:sz w:val="22"/>
          <w:szCs w:val="22"/>
          <w:vertAlign w:val="subscript"/>
        </w:rPr>
        <w:t>MSY</w:t>
      </w:r>
      <w:r w:rsidRPr="00971EC0">
        <w:rPr>
          <w:sz w:val="22"/>
          <w:szCs w:val="22"/>
        </w:rPr>
        <w:t xml:space="preserve"> </w:t>
      </w:r>
      <w:r>
        <w:rPr>
          <w:sz w:val="22"/>
          <w:szCs w:val="22"/>
        </w:rPr>
        <w:t xml:space="preserve">proxy </w:t>
      </w:r>
      <w:r w:rsidR="0049728A">
        <w:rPr>
          <w:sz w:val="22"/>
          <w:szCs w:val="22"/>
        </w:rPr>
        <w:t xml:space="preserve">from 2007 (GARM III) to 2014 (OA 2015) for the twenty </w:t>
      </w:r>
      <w:r w:rsidR="0049728A" w:rsidRPr="00971EC0">
        <w:rPr>
          <w:sz w:val="22"/>
          <w:szCs w:val="22"/>
        </w:rPr>
        <w:t>Northeast Multispecies Fishery Management Plan (groundfish)</w:t>
      </w:r>
      <w:r w:rsidR="0049728A">
        <w:rPr>
          <w:sz w:val="22"/>
          <w:szCs w:val="22"/>
        </w:rPr>
        <w:t xml:space="preserve"> </w:t>
      </w:r>
      <w:r w:rsidR="0049728A" w:rsidRPr="00971EC0">
        <w:rPr>
          <w:sz w:val="22"/>
          <w:szCs w:val="22"/>
        </w:rPr>
        <w:t>stocks</w:t>
      </w:r>
      <w:r w:rsidR="0049728A">
        <w:rPr>
          <w:sz w:val="22"/>
          <w:szCs w:val="22"/>
        </w:rPr>
        <w:t>.</w:t>
      </w:r>
      <w:proofErr w:type="gramEnd"/>
      <w:r w:rsidR="0049728A">
        <w:rPr>
          <w:sz w:val="22"/>
          <w:szCs w:val="22"/>
        </w:rPr>
        <w:t xml:space="preserve"> The results from the assessment prior to the OA 2015 assessment are shown for each stock to provide an ‘Intermediate’ value</w:t>
      </w:r>
      <w:r w:rsidRPr="00971EC0">
        <w:rPr>
          <w:sz w:val="22"/>
          <w:szCs w:val="22"/>
        </w:rPr>
        <w:t>.</w:t>
      </w:r>
      <w:r w:rsidR="00C629A2">
        <w:rPr>
          <w:sz w:val="22"/>
          <w:szCs w:val="22"/>
        </w:rPr>
        <w:t xml:space="preserve"> Stocks on which overfishing is occurring are those where the </w:t>
      </w:r>
      <w:proofErr w:type="spellStart"/>
      <w:r w:rsidR="00C629A2">
        <w:rPr>
          <w:sz w:val="22"/>
          <w:szCs w:val="22"/>
        </w:rPr>
        <w:t>F</w:t>
      </w:r>
      <w:r w:rsidR="00C629A2" w:rsidRPr="00C629A2">
        <w:rPr>
          <w:sz w:val="22"/>
          <w:szCs w:val="22"/>
          <w:vertAlign w:val="subscript"/>
        </w:rPr>
        <w:t>terminal</w:t>
      </w:r>
      <w:proofErr w:type="spellEnd"/>
      <w:r w:rsidR="00C629A2">
        <w:rPr>
          <w:sz w:val="22"/>
          <w:szCs w:val="22"/>
        </w:rPr>
        <w:t>/</w:t>
      </w:r>
      <w:r w:rsidR="00C629A2" w:rsidRPr="00C629A2">
        <w:rPr>
          <w:sz w:val="22"/>
          <w:szCs w:val="22"/>
        </w:rPr>
        <w:t>F</w:t>
      </w:r>
      <w:r w:rsidR="00C629A2" w:rsidRPr="00C629A2">
        <w:rPr>
          <w:sz w:val="22"/>
          <w:szCs w:val="22"/>
          <w:vertAlign w:val="subscript"/>
        </w:rPr>
        <w:t>MSY-proxy</w:t>
      </w:r>
      <w:r w:rsidR="0049728A">
        <w:rPr>
          <w:sz w:val="22"/>
          <w:szCs w:val="22"/>
        </w:rPr>
        <w:t xml:space="preserve"> ratio is greater than 1</w:t>
      </w:r>
      <w:r w:rsidR="004F428E">
        <w:rPr>
          <w:sz w:val="22"/>
          <w:szCs w:val="22"/>
        </w:rPr>
        <w:t xml:space="preserve">. </w:t>
      </w:r>
      <w:r w:rsidR="00C629A2" w:rsidRPr="00617E21">
        <w:rPr>
          <w:i/>
          <w:sz w:val="22"/>
          <w:szCs w:val="22"/>
        </w:rPr>
        <w:t xml:space="preserve">Notes: (1) the GARM III assessments did not include wolfish; (2) </w:t>
      </w:r>
      <w:r w:rsidR="0049728A">
        <w:rPr>
          <w:i/>
          <w:sz w:val="22"/>
          <w:szCs w:val="22"/>
        </w:rPr>
        <w:t>stock status in the ‘Intermediate’ assessment could not be determined for Gulf of Maine winter flounder or Georges Bank yellowtail flounder</w:t>
      </w:r>
      <w:r w:rsidR="00C629A2" w:rsidRPr="00617E21">
        <w:rPr>
          <w:i/>
          <w:sz w:val="22"/>
          <w:szCs w:val="22"/>
        </w:rPr>
        <w:t>; and, (3) based on the OA 2015 assessments stock status could not be determined for Atlantic halibut, Gulf of Maine winter flounder and Georges Bank yellowtail flounder.</w:t>
      </w:r>
      <w:r w:rsidR="000D78CE">
        <w:rPr>
          <w:i/>
          <w:sz w:val="22"/>
          <w:szCs w:val="22"/>
        </w:rPr>
        <w:t xml:space="preserve"> In the OA 2015 assessment, the stock status for Georges Bank cod remained overfished and overfishing is occurring; however, since the assessment was rejected, ratios of terminal conditions to reference points cannot be determined.</w:t>
      </w:r>
    </w:p>
    <w:p w:rsidR="00971EC0" w:rsidRPr="00971EC0" w:rsidRDefault="00971EC0" w:rsidP="00971EC0">
      <w:pPr>
        <w:rPr>
          <w:sz w:val="22"/>
          <w:szCs w:val="22"/>
        </w:rPr>
      </w:pPr>
    </w:p>
    <w:p w:rsidR="008A2D4F" w:rsidRPr="00971EC0" w:rsidRDefault="008A2D4F" w:rsidP="001E0302">
      <w:pPr>
        <w:rPr>
          <w:noProof/>
          <w:color w:val="000000"/>
          <w:sz w:val="22"/>
          <w:szCs w:val="22"/>
        </w:rPr>
      </w:pPr>
    </w:p>
    <w:p w:rsidR="008A2D4F" w:rsidRPr="00971EC0" w:rsidRDefault="00F77BFE" w:rsidP="00C629A2">
      <w:pPr>
        <w:jc w:val="center"/>
        <w:rPr>
          <w:noProof/>
          <w:color w:val="000000"/>
          <w:sz w:val="22"/>
          <w:szCs w:val="22"/>
        </w:rPr>
      </w:pPr>
      <w:r>
        <w:rPr>
          <w:rFonts w:ascii="Arial" w:hAnsi="Arial" w:cs="Arial"/>
          <w:noProof/>
          <w:color w:val="000000"/>
          <w:sz w:val="20"/>
          <w:szCs w:val="20"/>
        </w:rPr>
        <w:drawing>
          <wp:inline distT="0" distB="0" distL="0" distR="0">
            <wp:extent cx="4480000" cy="5760000"/>
            <wp:effectExtent l="0" t="0" r="0" b="0"/>
            <wp:docPr id="17" name="Picture 17"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SGPlot Proced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000" cy="5760000"/>
                    </a:xfrm>
                    <a:prstGeom prst="rect">
                      <a:avLst/>
                    </a:prstGeom>
                    <a:noFill/>
                    <a:ln>
                      <a:noFill/>
                    </a:ln>
                  </pic:spPr>
                </pic:pic>
              </a:graphicData>
            </a:graphic>
          </wp:inline>
        </w:drawing>
      </w:r>
    </w:p>
    <w:p w:rsidR="001B3422" w:rsidRPr="00971EC0" w:rsidRDefault="001B3422" w:rsidP="001E0302">
      <w:pPr>
        <w:rPr>
          <w:noProof/>
          <w:color w:val="000000"/>
          <w:sz w:val="22"/>
          <w:szCs w:val="22"/>
        </w:rPr>
      </w:pPr>
    </w:p>
    <w:p w:rsidR="008A2D4F" w:rsidRPr="00C629A2" w:rsidRDefault="00971EC0" w:rsidP="001E0302">
      <w:pPr>
        <w:rPr>
          <w:sz w:val="22"/>
          <w:szCs w:val="22"/>
        </w:rPr>
        <w:sectPr w:rsidR="008A2D4F" w:rsidRPr="00C629A2" w:rsidSect="00A0292D">
          <w:pgSz w:w="12240" w:h="15840"/>
          <w:pgMar w:top="1440" w:right="1800" w:bottom="1440" w:left="1800" w:header="720" w:footer="720" w:gutter="0"/>
          <w:cols w:space="720"/>
          <w:docGrid w:linePitch="360"/>
        </w:sectPr>
      </w:pPr>
      <w:r>
        <w:rPr>
          <w:noProof/>
          <w:color w:val="000000"/>
          <w:sz w:val="22"/>
          <w:szCs w:val="22"/>
        </w:rPr>
        <w:t>Figure 3</w:t>
      </w:r>
      <w:r w:rsidR="008A2D4F" w:rsidRPr="00971EC0">
        <w:rPr>
          <w:noProof/>
          <w:color w:val="000000"/>
          <w:sz w:val="22"/>
          <w:szCs w:val="22"/>
        </w:rPr>
        <w:t>.</w:t>
      </w:r>
      <w:r w:rsidR="001B3422" w:rsidRPr="00971EC0">
        <w:rPr>
          <w:noProof/>
          <w:color w:val="000000"/>
          <w:sz w:val="22"/>
          <w:szCs w:val="22"/>
        </w:rPr>
        <w:t xml:space="preserve"> </w:t>
      </w:r>
      <w:proofErr w:type="gramStart"/>
      <w:r w:rsidR="0049728A">
        <w:rPr>
          <w:noProof/>
          <w:color w:val="000000"/>
          <w:sz w:val="22"/>
          <w:szCs w:val="22"/>
        </w:rPr>
        <w:t xml:space="preserve">Changes in the ratio of </w:t>
      </w:r>
      <w:r w:rsidR="0049728A" w:rsidRPr="00971EC0">
        <w:rPr>
          <w:sz w:val="22"/>
          <w:szCs w:val="22"/>
        </w:rPr>
        <w:t>stock biomass to B</w:t>
      </w:r>
      <w:r w:rsidR="0049728A" w:rsidRPr="00971EC0">
        <w:rPr>
          <w:sz w:val="22"/>
          <w:szCs w:val="22"/>
          <w:vertAlign w:val="subscript"/>
        </w:rPr>
        <w:t>MSY</w:t>
      </w:r>
      <w:r w:rsidR="0049728A" w:rsidRPr="00971EC0">
        <w:rPr>
          <w:sz w:val="22"/>
          <w:szCs w:val="22"/>
        </w:rPr>
        <w:t xml:space="preserve"> </w:t>
      </w:r>
      <w:r w:rsidR="0049728A">
        <w:rPr>
          <w:sz w:val="22"/>
          <w:szCs w:val="22"/>
        </w:rPr>
        <w:t xml:space="preserve">proxy from 2007 (GARM III) to 2014 (OA 2015) for the twenty </w:t>
      </w:r>
      <w:r w:rsidR="0049728A" w:rsidRPr="00971EC0">
        <w:rPr>
          <w:sz w:val="22"/>
          <w:szCs w:val="22"/>
        </w:rPr>
        <w:t>Northeast Multispecies Fishery Management Plan (groundfish)</w:t>
      </w:r>
      <w:r w:rsidR="0049728A">
        <w:rPr>
          <w:sz w:val="22"/>
          <w:szCs w:val="22"/>
        </w:rPr>
        <w:t xml:space="preserve"> </w:t>
      </w:r>
      <w:r w:rsidR="0049728A" w:rsidRPr="00971EC0">
        <w:rPr>
          <w:sz w:val="22"/>
          <w:szCs w:val="22"/>
        </w:rPr>
        <w:t>stocks</w:t>
      </w:r>
      <w:r w:rsidR="0049728A">
        <w:rPr>
          <w:sz w:val="22"/>
          <w:szCs w:val="22"/>
        </w:rPr>
        <w:t>.</w:t>
      </w:r>
      <w:proofErr w:type="gramEnd"/>
      <w:r w:rsidR="0049728A">
        <w:rPr>
          <w:sz w:val="22"/>
          <w:szCs w:val="22"/>
        </w:rPr>
        <w:t xml:space="preserve"> The results from the assessment prior to the OA 2015 assessment are shown for each stock to provide an ‘Intermediate’ value</w:t>
      </w:r>
      <w:r w:rsidR="001B3422" w:rsidRPr="00971EC0">
        <w:rPr>
          <w:sz w:val="22"/>
          <w:szCs w:val="22"/>
        </w:rPr>
        <w:t>.</w:t>
      </w:r>
      <w:r w:rsidR="00C629A2" w:rsidRPr="00C629A2">
        <w:rPr>
          <w:sz w:val="22"/>
          <w:szCs w:val="22"/>
        </w:rPr>
        <w:t xml:space="preserve"> </w:t>
      </w:r>
      <w:r w:rsidR="00C629A2">
        <w:rPr>
          <w:sz w:val="22"/>
          <w:szCs w:val="22"/>
        </w:rPr>
        <w:t xml:space="preserve">Stocks that are overfished stocks are those where the </w:t>
      </w:r>
      <w:proofErr w:type="spellStart"/>
      <w:r w:rsidR="00C629A2">
        <w:rPr>
          <w:sz w:val="22"/>
          <w:szCs w:val="22"/>
        </w:rPr>
        <w:t>B</w:t>
      </w:r>
      <w:r w:rsidR="00C629A2" w:rsidRPr="00C629A2">
        <w:rPr>
          <w:sz w:val="22"/>
          <w:szCs w:val="22"/>
          <w:vertAlign w:val="subscript"/>
        </w:rPr>
        <w:t>terminal</w:t>
      </w:r>
      <w:proofErr w:type="spellEnd"/>
      <w:r w:rsidR="00C629A2">
        <w:rPr>
          <w:sz w:val="22"/>
          <w:szCs w:val="22"/>
        </w:rPr>
        <w:t>/B</w:t>
      </w:r>
      <w:r w:rsidR="00C629A2" w:rsidRPr="00C629A2">
        <w:rPr>
          <w:sz w:val="22"/>
          <w:szCs w:val="22"/>
          <w:vertAlign w:val="subscript"/>
        </w:rPr>
        <w:t>MSY-proxy</w:t>
      </w:r>
      <w:r w:rsidR="0049728A">
        <w:rPr>
          <w:sz w:val="22"/>
          <w:szCs w:val="22"/>
        </w:rPr>
        <w:t xml:space="preserve"> ratio is less than 0.5</w:t>
      </w:r>
      <w:r w:rsidR="004F428E">
        <w:rPr>
          <w:sz w:val="22"/>
          <w:szCs w:val="22"/>
        </w:rPr>
        <w:t xml:space="preserve">. </w:t>
      </w:r>
      <w:r w:rsidR="00C629A2" w:rsidRPr="00617E21">
        <w:rPr>
          <w:i/>
          <w:sz w:val="22"/>
          <w:szCs w:val="22"/>
        </w:rPr>
        <w:t xml:space="preserve">Notes: (1) the GARM III assessments did not include wolfish; </w:t>
      </w:r>
      <w:r w:rsidR="0049728A" w:rsidRPr="00617E21">
        <w:rPr>
          <w:i/>
          <w:sz w:val="22"/>
          <w:szCs w:val="22"/>
        </w:rPr>
        <w:t xml:space="preserve">(2) </w:t>
      </w:r>
      <w:r w:rsidR="0049728A">
        <w:rPr>
          <w:i/>
          <w:sz w:val="22"/>
          <w:szCs w:val="22"/>
        </w:rPr>
        <w:t>stock status in the ‘Intermediate’ assessment could not be determined for Gulf of Maine winter flounder or Georges Bank yellowtail flounder</w:t>
      </w:r>
      <w:r w:rsidR="00C629A2" w:rsidRPr="00617E21">
        <w:rPr>
          <w:i/>
          <w:sz w:val="22"/>
          <w:szCs w:val="22"/>
        </w:rPr>
        <w:t>; and, (3) based on the OA 2015 assessments stock status could not be determined for Atlantic halibut, Gulf of Maine winter flounder and Georges Bank yellowtail flounder.</w:t>
      </w:r>
      <w:r w:rsidR="000D78CE">
        <w:rPr>
          <w:i/>
          <w:sz w:val="22"/>
          <w:szCs w:val="22"/>
        </w:rPr>
        <w:t xml:space="preserve"> In the OA 2015 assessment, the stock status for Georges Bank cod remained overfished and overfishing is occurring; however, since the assessment was rejected, ratios of terminal conditions to reference points cannot be determined.</w:t>
      </w:r>
    </w:p>
    <w:p w:rsidR="008A2D4F" w:rsidRPr="00971EC0" w:rsidRDefault="008A2D4F" w:rsidP="001E0302">
      <w:pPr>
        <w:rPr>
          <w:noProof/>
          <w:color w:val="000000"/>
          <w:sz w:val="22"/>
          <w:szCs w:val="22"/>
        </w:rPr>
      </w:pPr>
    </w:p>
    <w:p w:rsidR="008A2D4F" w:rsidRPr="00971EC0" w:rsidRDefault="008A2D4F" w:rsidP="001E0302">
      <w:pPr>
        <w:rPr>
          <w:noProof/>
          <w:color w:val="000000"/>
          <w:sz w:val="22"/>
          <w:szCs w:val="22"/>
        </w:rPr>
      </w:pPr>
    </w:p>
    <w:p w:rsidR="008A2D4F" w:rsidRPr="00971EC0" w:rsidRDefault="008A2D4F" w:rsidP="001E0302">
      <w:pPr>
        <w:rPr>
          <w:noProof/>
          <w:color w:val="000000"/>
          <w:sz w:val="22"/>
          <w:szCs w:val="22"/>
        </w:rPr>
      </w:pPr>
    </w:p>
    <w:p w:rsidR="008A2D4F" w:rsidRPr="00971EC0" w:rsidRDefault="008A2D4F" w:rsidP="001E0302">
      <w:pPr>
        <w:rPr>
          <w:noProof/>
          <w:color w:val="000000"/>
          <w:sz w:val="22"/>
          <w:szCs w:val="22"/>
        </w:rPr>
      </w:pPr>
    </w:p>
    <w:p w:rsidR="001E0302" w:rsidRPr="00971EC0" w:rsidRDefault="001E0302" w:rsidP="001E0302">
      <w:pPr>
        <w:rPr>
          <w:noProof/>
          <w:color w:val="000000"/>
          <w:sz w:val="22"/>
          <w:szCs w:val="22"/>
        </w:rPr>
      </w:pPr>
      <w:r w:rsidRPr="00971EC0">
        <w:rPr>
          <w:noProof/>
          <w:color w:val="000000"/>
          <w:sz w:val="22"/>
          <w:szCs w:val="22"/>
        </w:rPr>
        <w:drawing>
          <wp:inline distT="0" distB="0" distL="0" distR="0" wp14:anchorId="47834A60" wp14:editId="12C92563">
            <wp:extent cx="5486400" cy="4572000"/>
            <wp:effectExtent l="0" t="0" r="0" b="0"/>
            <wp:docPr id="10" name="Picture 10" descr="The SGPanel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SGPanel Proced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rsidR="001E0302" w:rsidRPr="00971EC0" w:rsidRDefault="001E0302" w:rsidP="001E0302">
      <w:pPr>
        <w:rPr>
          <w:noProof/>
          <w:color w:val="000000"/>
          <w:sz w:val="22"/>
          <w:szCs w:val="22"/>
        </w:rPr>
      </w:pPr>
    </w:p>
    <w:p w:rsidR="001E0302" w:rsidRPr="00971EC0" w:rsidRDefault="001E0302" w:rsidP="001E0302">
      <w:pPr>
        <w:rPr>
          <w:sz w:val="22"/>
          <w:szCs w:val="22"/>
        </w:rPr>
      </w:pPr>
      <w:proofErr w:type="gramStart"/>
      <w:r w:rsidRPr="00971EC0">
        <w:rPr>
          <w:sz w:val="22"/>
          <w:szCs w:val="22"/>
        </w:rPr>
        <w:t xml:space="preserve">Figure </w:t>
      </w:r>
      <w:r w:rsidR="00971EC0">
        <w:rPr>
          <w:sz w:val="22"/>
          <w:szCs w:val="22"/>
        </w:rPr>
        <w:t>4</w:t>
      </w:r>
      <w:r w:rsidRPr="00971EC0">
        <w:rPr>
          <w:sz w:val="22"/>
          <w:szCs w:val="22"/>
        </w:rPr>
        <w:t>.</w:t>
      </w:r>
      <w:proofErr w:type="gramEnd"/>
      <w:r w:rsidRPr="00971EC0">
        <w:rPr>
          <w:sz w:val="22"/>
          <w:szCs w:val="22"/>
        </w:rPr>
        <w:t xml:space="preserve"> NEFSC spring bottom trawl survey index standardized anomalies (Z-score) for </w:t>
      </w:r>
      <w:r w:rsidR="00617E21">
        <w:rPr>
          <w:sz w:val="22"/>
          <w:szCs w:val="22"/>
        </w:rPr>
        <w:t>the</w:t>
      </w:r>
      <w:r w:rsidRPr="00971EC0">
        <w:rPr>
          <w:sz w:val="22"/>
          <w:szCs w:val="22"/>
        </w:rPr>
        <w:t xml:space="preserve"> </w:t>
      </w:r>
      <w:r w:rsidR="00617E21" w:rsidRPr="00971EC0">
        <w:rPr>
          <w:sz w:val="22"/>
          <w:szCs w:val="22"/>
        </w:rPr>
        <w:t>Northeast Multispecies Fishery Management Plan (groundfish)</w:t>
      </w:r>
      <w:r w:rsidR="00617E21">
        <w:rPr>
          <w:sz w:val="22"/>
          <w:szCs w:val="22"/>
        </w:rPr>
        <w:t xml:space="preserve"> </w:t>
      </w:r>
      <w:r w:rsidR="00617E21" w:rsidRPr="00971EC0">
        <w:rPr>
          <w:sz w:val="22"/>
          <w:szCs w:val="22"/>
        </w:rPr>
        <w:t xml:space="preserve">stocks </w:t>
      </w:r>
      <w:r w:rsidRPr="00971EC0">
        <w:rPr>
          <w:sz w:val="22"/>
          <w:szCs w:val="22"/>
        </w:rPr>
        <w:t xml:space="preserve">from 1968 to 2015. </w:t>
      </w:r>
      <w:r w:rsidRPr="00971EC0">
        <w:rPr>
          <w:i/>
          <w:sz w:val="22"/>
          <w:szCs w:val="22"/>
        </w:rPr>
        <w:t>Note that both the Georges Bank/Gulf of Maine and Southern New England/Mid-Atlantic windowpane flounder stocks are not included since the spring survey is uninformative as an index of abundance and not used in the stock assessment.</w:t>
      </w:r>
    </w:p>
    <w:p w:rsidR="00E42298" w:rsidRPr="00971EC0" w:rsidRDefault="00E42298" w:rsidP="00E42298">
      <w:pPr>
        <w:rPr>
          <w:sz w:val="22"/>
          <w:szCs w:val="22"/>
        </w:rPr>
      </w:pPr>
    </w:p>
    <w:p w:rsidR="00E42298" w:rsidRPr="00971EC0" w:rsidRDefault="00E42298" w:rsidP="007658A4">
      <w:pPr>
        <w:jc w:val="center"/>
        <w:rPr>
          <w:sz w:val="22"/>
          <w:szCs w:val="22"/>
        </w:rPr>
      </w:pPr>
    </w:p>
    <w:p w:rsidR="001E0302" w:rsidRPr="00971EC0" w:rsidRDefault="001E0302" w:rsidP="001E0302">
      <w:pPr>
        <w:rPr>
          <w:noProof/>
          <w:color w:val="000000"/>
          <w:sz w:val="22"/>
          <w:szCs w:val="22"/>
        </w:rPr>
      </w:pPr>
      <w:r w:rsidRPr="00971EC0">
        <w:rPr>
          <w:noProof/>
          <w:color w:val="000000"/>
          <w:sz w:val="22"/>
          <w:szCs w:val="22"/>
        </w:rPr>
        <w:lastRenderedPageBreak/>
        <w:drawing>
          <wp:inline distT="0" distB="0" distL="0" distR="0" wp14:anchorId="49ABF8A4" wp14:editId="656E95D3">
            <wp:extent cx="5486400" cy="4572000"/>
            <wp:effectExtent l="0" t="0" r="0" b="0"/>
            <wp:docPr id="3" name="Picture 3" descr="The SGPanel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GPanel Proced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rsidR="001E0302" w:rsidRPr="00971EC0" w:rsidRDefault="001E0302" w:rsidP="001E0302">
      <w:pPr>
        <w:rPr>
          <w:noProof/>
          <w:color w:val="000000"/>
          <w:sz w:val="22"/>
          <w:szCs w:val="22"/>
        </w:rPr>
      </w:pPr>
    </w:p>
    <w:p w:rsidR="001E0302" w:rsidRPr="00971EC0" w:rsidRDefault="001E0302" w:rsidP="001E0302">
      <w:pPr>
        <w:rPr>
          <w:sz w:val="22"/>
          <w:szCs w:val="22"/>
        </w:rPr>
        <w:sectPr w:rsidR="001E0302" w:rsidRPr="00971EC0" w:rsidSect="00A0292D">
          <w:pgSz w:w="12240" w:h="15840"/>
          <w:pgMar w:top="1440" w:right="1800" w:bottom="1440" w:left="1800" w:header="720" w:footer="720" w:gutter="0"/>
          <w:cols w:space="720"/>
          <w:docGrid w:linePitch="360"/>
        </w:sectPr>
      </w:pPr>
      <w:proofErr w:type="gramStart"/>
      <w:r w:rsidRPr="00971EC0">
        <w:rPr>
          <w:sz w:val="22"/>
          <w:szCs w:val="22"/>
        </w:rPr>
        <w:t xml:space="preserve">Figure </w:t>
      </w:r>
      <w:r w:rsidR="00971EC0">
        <w:rPr>
          <w:sz w:val="22"/>
          <w:szCs w:val="22"/>
        </w:rPr>
        <w:t>5</w:t>
      </w:r>
      <w:r w:rsidRPr="00971EC0">
        <w:rPr>
          <w:sz w:val="22"/>
          <w:szCs w:val="22"/>
        </w:rPr>
        <w:t>.</w:t>
      </w:r>
      <w:proofErr w:type="gramEnd"/>
      <w:r w:rsidRPr="00971EC0">
        <w:rPr>
          <w:sz w:val="22"/>
          <w:szCs w:val="22"/>
        </w:rPr>
        <w:t xml:space="preserve"> NEFSC fall bottom trawl survey index standardized anomalies (Z-score) for </w:t>
      </w:r>
      <w:r w:rsidR="00617E21">
        <w:rPr>
          <w:sz w:val="22"/>
          <w:szCs w:val="22"/>
        </w:rPr>
        <w:t xml:space="preserve">the </w:t>
      </w:r>
      <w:r w:rsidR="00617E21" w:rsidRPr="00971EC0">
        <w:rPr>
          <w:sz w:val="22"/>
          <w:szCs w:val="22"/>
        </w:rPr>
        <w:t>Northeast Multispecies Fishery Management Plan (groundfish)</w:t>
      </w:r>
      <w:r w:rsidR="00617E21">
        <w:rPr>
          <w:sz w:val="22"/>
          <w:szCs w:val="22"/>
        </w:rPr>
        <w:t xml:space="preserve"> </w:t>
      </w:r>
      <w:r w:rsidR="00617E21" w:rsidRPr="00971EC0">
        <w:rPr>
          <w:sz w:val="22"/>
          <w:szCs w:val="22"/>
        </w:rPr>
        <w:t>stocks</w:t>
      </w:r>
      <w:r w:rsidRPr="00971EC0">
        <w:rPr>
          <w:sz w:val="22"/>
          <w:szCs w:val="22"/>
        </w:rPr>
        <w:t xml:space="preserve"> from 1963 to 2014. </w:t>
      </w:r>
      <w:r w:rsidRPr="00971EC0">
        <w:rPr>
          <w:i/>
          <w:sz w:val="22"/>
          <w:szCs w:val="22"/>
        </w:rPr>
        <w:t>Note that ocean pout is not included since the fall survey is uninformative as an index of abundance and not used in the stock assessment.</w:t>
      </w:r>
    </w:p>
    <w:p w:rsidR="00E42298" w:rsidRPr="00971EC0" w:rsidRDefault="00E42298" w:rsidP="007658A4">
      <w:pPr>
        <w:jc w:val="center"/>
        <w:rPr>
          <w:sz w:val="22"/>
          <w:szCs w:val="22"/>
        </w:rPr>
      </w:pPr>
    </w:p>
    <w:p w:rsidR="00E42298" w:rsidRPr="00971EC0" w:rsidRDefault="00E42298" w:rsidP="007658A4">
      <w:pPr>
        <w:jc w:val="center"/>
        <w:rPr>
          <w:sz w:val="22"/>
          <w:szCs w:val="22"/>
        </w:rPr>
      </w:pPr>
    </w:p>
    <w:p w:rsidR="007658A4" w:rsidRPr="00971EC0" w:rsidRDefault="007658A4" w:rsidP="007658A4">
      <w:pPr>
        <w:jc w:val="center"/>
        <w:rPr>
          <w:sz w:val="22"/>
          <w:szCs w:val="22"/>
        </w:rPr>
      </w:pPr>
      <w:r w:rsidRPr="00971EC0">
        <w:rPr>
          <w:noProof/>
          <w:color w:val="000000"/>
          <w:sz w:val="22"/>
          <w:szCs w:val="22"/>
        </w:rPr>
        <w:drawing>
          <wp:inline distT="0" distB="0" distL="0" distR="0" wp14:anchorId="3F5C6199" wp14:editId="5618F236">
            <wp:extent cx="5486400" cy="3291840"/>
            <wp:effectExtent l="0" t="0" r="0" b="3810"/>
            <wp:docPr id="9" name="Picture 9"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SGPlot Proced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rsidR="007658A4" w:rsidRPr="00971EC0" w:rsidRDefault="007658A4" w:rsidP="007658A4">
      <w:pPr>
        <w:rPr>
          <w:sz w:val="22"/>
          <w:szCs w:val="22"/>
        </w:rPr>
      </w:pPr>
    </w:p>
    <w:p w:rsidR="007658A4" w:rsidRPr="00971EC0" w:rsidRDefault="007658A4" w:rsidP="007658A4">
      <w:pPr>
        <w:rPr>
          <w:sz w:val="22"/>
          <w:szCs w:val="22"/>
        </w:rPr>
        <w:sectPr w:rsidR="007658A4" w:rsidRPr="00971EC0" w:rsidSect="00A0292D">
          <w:pgSz w:w="12240" w:h="15840"/>
          <w:pgMar w:top="1440" w:right="1800" w:bottom="1440" w:left="1800" w:header="720" w:footer="720" w:gutter="0"/>
          <w:cols w:space="720"/>
          <w:docGrid w:linePitch="360"/>
        </w:sectPr>
      </w:pPr>
      <w:proofErr w:type="gramStart"/>
      <w:r w:rsidRPr="00971EC0">
        <w:rPr>
          <w:sz w:val="22"/>
          <w:szCs w:val="22"/>
        </w:rPr>
        <w:t xml:space="preserve">Figure </w:t>
      </w:r>
      <w:r w:rsidR="00971EC0">
        <w:rPr>
          <w:sz w:val="22"/>
          <w:szCs w:val="22"/>
        </w:rPr>
        <w:t>6</w:t>
      </w:r>
      <w:r w:rsidRPr="00971EC0">
        <w:rPr>
          <w:sz w:val="22"/>
          <w:szCs w:val="22"/>
        </w:rPr>
        <w:t>.</w:t>
      </w:r>
      <w:proofErr w:type="gramEnd"/>
      <w:r w:rsidRPr="00971EC0">
        <w:rPr>
          <w:sz w:val="22"/>
          <w:szCs w:val="22"/>
        </w:rPr>
        <w:t xml:space="preserve"> NEFSC spring bottom trawl survey minimum swept area biomass (</w:t>
      </w:r>
      <w:proofErr w:type="spellStart"/>
      <w:r w:rsidRPr="00971EC0">
        <w:rPr>
          <w:sz w:val="22"/>
          <w:szCs w:val="22"/>
        </w:rPr>
        <w:t>mt</w:t>
      </w:r>
      <w:proofErr w:type="spellEnd"/>
      <w:r w:rsidRPr="00971EC0">
        <w:rPr>
          <w:sz w:val="22"/>
          <w:szCs w:val="22"/>
        </w:rPr>
        <w:t xml:space="preserve">) for </w:t>
      </w:r>
      <w:r w:rsidR="00617E21">
        <w:rPr>
          <w:sz w:val="22"/>
          <w:szCs w:val="22"/>
        </w:rPr>
        <w:t>the</w:t>
      </w:r>
      <w:r w:rsidRPr="00971EC0">
        <w:rPr>
          <w:sz w:val="22"/>
          <w:szCs w:val="22"/>
        </w:rPr>
        <w:t xml:space="preserve"> Northeast Multispecies Fishery Management Plan </w:t>
      </w:r>
      <w:r w:rsidR="00617E21" w:rsidRPr="00971EC0">
        <w:rPr>
          <w:sz w:val="22"/>
          <w:szCs w:val="22"/>
        </w:rPr>
        <w:t xml:space="preserve">(groundfish) </w:t>
      </w:r>
      <w:r w:rsidRPr="00971EC0">
        <w:rPr>
          <w:sz w:val="22"/>
          <w:szCs w:val="22"/>
        </w:rPr>
        <w:t>stocks from 1968 to 2015, by stock. Minimum swept area estimates assume a trawl swept area of 0.0112 nm</w:t>
      </w:r>
      <w:r w:rsidRPr="00971EC0">
        <w:rPr>
          <w:sz w:val="22"/>
          <w:szCs w:val="22"/>
          <w:vertAlign w:val="superscript"/>
        </w:rPr>
        <w:t>2</w:t>
      </w:r>
      <w:r w:rsidRPr="00971EC0">
        <w:rPr>
          <w:sz w:val="22"/>
          <w:szCs w:val="22"/>
        </w:rPr>
        <w:t xml:space="preserve"> (0.0384 km</w:t>
      </w:r>
      <w:r w:rsidRPr="00971EC0">
        <w:rPr>
          <w:sz w:val="22"/>
          <w:szCs w:val="22"/>
          <w:vertAlign w:val="superscript"/>
        </w:rPr>
        <w:t>2</w:t>
      </w:r>
      <w:r w:rsidRPr="00971EC0">
        <w:rPr>
          <w:sz w:val="22"/>
          <w:szCs w:val="22"/>
        </w:rPr>
        <w:t xml:space="preserve">) based on the wing spread of the trawl net. </w:t>
      </w:r>
      <w:r w:rsidRPr="00971EC0">
        <w:rPr>
          <w:i/>
          <w:sz w:val="22"/>
          <w:szCs w:val="22"/>
        </w:rPr>
        <w:t>Note that both the Georges Bank/Gulf of Maine and Southern New England/Mid-Atlantic windowpane flounder stocks are not included since the spring survey is uninformative as an index of abundance and not used in the stock assessment.</w:t>
      </w:r>
    </w:p>
    <w:p w:rsidR="007658A4" w:rsidRPr="00971EC0" w:rsidRDefault="007658A4" w:rsidP="007658A4">
      <w:pPr>
        <w:rPr>
          <w:sz w:val="22"/>
          <w:szCs w:val="22"/>
        </w:rPr>
      </w:pPr>
    </w:p>
    <w:p w:rsidR="007658A4" w:rsidRPr="00971EC0" w:rsidRDefault="007658A4" w:rsidP="007658A4">
      <w:pPr>
        <w:rPr>
          <w:sz w:val="22"/>
          <w:szCs w:val="22"/>
        </w:rPr>
      </w:pPr>
    </w:p>
    <w:p w:rsidR="007658A4" w:rsidRPr="00971EC0" w:rsidRDefault="007658A4" w:rsidP="007658A4">
      <w:pPr>
        <w:rPr>
          <w:noProof/>
          <w:color w:val="000000"/>
          <w:sz w:val="22"/>
          <w:szCs w:val="22"/>
        </w:rPr>
      </w:pPr>
    </w:p>
    <w:p w:rsidR="007658A4" w:rsidRPr="00971EC0" w:rsidRDefault="007658A4" w:rsidP="00985206">
      <w:pPr>
        <w:jc w:val="center"/>
        <w:rPr>
          <w:sz w:val="22"/>
          <w:szCs w:val="22"/>
        </w:rPr>
      </w:pPr>
    </w:p>
    <w:p w:rsidR="007658A4" w:rsidRPr="00971EC0" w:rsidRDefault="007658A4" w:rsidP="00985206">
      <w:pPr>
        <w:jc w:val="center"/>
        <w:rPr>
          <w:sz w:val="22"/>
          <w:szCs w:val="22"/>
        </w:rPr>
      </w:pPr>
    </w:p>
    <w:p w:rsidR="00872A9E" w:rsidRPr="00971EC0" w:rsidRDefault="00AE14FE" w:rsidP="00AE14FE">
      <w:pPr>
        <w:jc w:val="center"/>
        <w:rPr>
          <w:sz w:val="22"/>
          <w:szCs w:val="22"/>
        </w:rPr>
      </w:pPr>
      <w:r w:rsidRPr="00971EC0">
        <w:rPr>
          <w:noProof/>
          <w:color w:val="000000"/>
          <w:sz w:val="22"/>
          <w:szCs w:val="22"/>
        </w:rPr>
        <w:drawing>
          <wp:inline distT="0" distB="0" distL="0" distR="0" wp14:anchorId="34391B11" wp14:editId="0DD036F7">
            <wp:extent cx="5486400" cy="3291840"/>
            <wp:effectExtent l="0" t="0" r="0" b="3810"/>
            <wp:docPr id="4" name="Picture 4"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GPlot Proced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rsidR="00AE14FE" w:rsidRPr="00971EC0" w:rsidRDefault="00AE14FE">
      <w:pPr>
        <w:rPr>
          <w:sz w:val="22"/>
          <w:szCs w:val="22"/>
        </w:rPr>
      </w:pPr>
    </w:p>
    <w:p w:rsidR="00872A9E" w:rsidRPr="00971EC0" w:rsidRDefault="00AE14FE">
      <w:pPr>
        <w:rPr>
          <w:i/>
          <w:sz w:val="22"/>
          <w:szCs w:val="22"/>
        </w:rPr>
      </w:pPr>
      <w:proofErr w:type="gramStart"/>
      <w:r w:rsidRPr="00971EC0">
        <w:rPr>
          <w:sz w:val="22"/>
          <w:szCs w:val="22"/>
        </w:rPr>
        <w:t xml:space="preserve">Figure </w:t>
      </w:r>
      <w:r w:rsidR="00971EC0">
        <w:rPr>
          <w:sz w:val="22"/>
          <w:szCs w:val="22"/>
        </w:rPr>
        <w:t>7</w:t>
      </w:r>
      <w:r w:rsidRPr="00971EC0">
        <w:rPr>
          <w:sz w:val="22"/>
          <w:szCs w:val="22"/>
        </w:rPr>
        <w:t>.</w:t>
      </w:r>
      <w:proofErr w:type="gramEnd"/>
      <w:r w:rsidRPr="00971EC0">
        <w:rPr>
          <w:sz w:val="22"/>
          <w:szCs w:val="22"/>
        </w:rPr>
        <w:t xml:space="preserve"> NEFSC fall bottom trawl survey minimum swept area biomass (</w:t>
      </w:r>
      <w:proofErr w:type="spellStart"/>
      <w:r w:rsidRPr="00971EC0">
        <w:rPr>
          <w:sz w:val="22"/>
          <w:szCs w:val="22"/>
        </w:rPr>
        <w:t>mt</w:t>
      </w:r>
      <w:proofErr w:type="spellEnd"/>
      <w:r w:rsidRPr="00971EC0">
        <w:rPr>
          <w:sz w:val="22"/>
          <w:szCs w:val="22"/>
        </w:rPr>
        <w:t xml:space="preserve">) for </w:t>
      </w:r>
      <w:proofErr w:type="spellStart"/>
      <w:r w:rsidR="00617E21" w:rsidRPr="00971EC0">
        <w:rPr>
          <w:sz w:val="22"/>
          <w:szCs w:val="22"/>
        </w:rPr>
        <w:t>for</w:t>
      </w:r>
      <w:proofErr w:type="spellEnd"/>
      <w:r w:rsidR="00617E21" w:rsidRPr="00971EC0">
        <w:rPr>
          <w:sz w:val="22"/>
          <w:szCs w:val="22"/>
        </w:rPr>
        <w:t xml:space="preserve"> </w:t>
      </w:r>
      <w:r w:rsidR="00617E21">
        <w:rPr>
          <w:sz w:val="22"/>
          <w:szCs w:val="22"/>
        </w:rPr>
        <w:t>the</w:t>
      </w:r>
      <w:r w:rsidR="00617E21" w:rsidRPr="00971EC0">
        <w:rPr>
          <w:sz w:val="22"/>
          <w:szCs w:val="22"/>
        </w:rPr>
        <w:t xml:space="preserve"> Northeast Multispecies Fishery Management Plan (groundfish) stocks</w:t>
      </w:r>
      <w:r w:rsidRPr="00971EC0">
        <w:rPr>
          <w:sz w:val="22"/>
          <w:szCs w:val="22"/>
        </w:rPr>
        <w:t xml:space="preserve"> from 1963 to 2014, by stock.</w:t>
      </w:r>
      <w:r w:rsidR="005D788F" w:rsidRPr="00971EC0">
        <w:rPr>
          <w:sz w:val="22"/>
          <w:szCs w:val="22"/>
        </w:rPr>
        <w:t xml:space="preserve"> Minimum swept area estimates assume a trawl swept area of 0.0112 nm</w:t>
      </w:r>
      <w:r w:rsidR="005D788F" w:rsidRPr="00971EC0">
        <w:rPr>
          <w:sz w:val="22"/>
          <w:szCs w:val="22"/>
          <w:vertAlign w:val="superscript"/>
        </w:rPr>
        <w:t>2</w:t>
      </w:r>
      <w:r w:rsidR="005D788F" w:rsidRPr="00971EC0">
        <w:rPr>
          <w:sz w:val="22"/>
          <w:szCs w:val="22"/>
        </w:rPr>
        <w:t xml:space="preserve"> (0.0384 km</w:t>
      </w:r>
      <w:r w:rsidR="005D788F" w:rsidRPr="00971EC0">
        <w:rPr>
          <w:sz w:val="22"/>
          <w:szCs w:val="22"/>
          <w:vertAlign w:val="superscript"/>
        </w:rPr>
        <w:t>2</w:t>
      </w:r>
      <w:r w:rsidR="005D788F" w:rsidRPr="00971EC0">
        <w:rPr>
          <w:sz w:val="22"/>
          <w:szCs w:val="22"/>
        </w:rPr>
        <w:t xml:space="preserve">) based on the wing spread of the trawl net. </w:t>
      </w:r>
      <w:r w:rsidR="0079095A" w:rsidRPr="00971EC0">
        <w:rPr>
          <w:i/>
          <w:sz w:val="22"/>
          <w:szCs w:val="22"/>
        </w:rPr>
        <w:t>Note that ocean pout is not included since the fall survey is uninformative as an index of abundance and not used in the stock assessment.</w:t>
      </w:r>
    </w:p>
    <w:p w:rsidR="00BB330E" w:rsidRPr="00971EC0" w:rsidRDefault="00BB330E">
      <w:pPr>
        <w:rPr>
          <w:i/>
          <w:sz w:val="22"/>
          <w:szCs w:val="22"/>
        </w:rPr>
      </w:pPr>
    </w:p>
    <w:p w:rsidR="00BB330E" w:rsidRPr="00971EC0" w:rsidRDefault="00BB330E">
      <w:pPr>
        <w:rPr>
          <w:i/>
          <w:sz w:val="22"/>
          <w:szCs w:val="22"/>
        </w:rPr>
        <w:sectPr w:rsidR="00BB330E" w:rsidRPr="00971EC0" w:rsidSect="00A0292D">
          <w:pgSz w:w="12240" w:h="15840"/>
          <w:pgMar w:top="1440" w:right="1800" w:bottom="1440" w:left="1800" w:header="720" w:footer="720" w:gutter="0"/>
          <w:cols w:space="720"/>
          <w:docGrid w:linePitch="360"/>
        </w:sectPr>
      </w:pPr>
    </w:p>
    <w:p w:rsidR="00BB330E" w:rsidRPr="00971EC0" w:rsidRDefault="00BB330E">
      <w:pPr>
        <w:rPr>
          <w:i/>
          <w:sz w:val="22"/>
          <w:szCs w:val="22"/>
        </w:rPr>
      </w:pPr>
    </w:p>
    <w:p w:rsidR="00BB330E" w:rsidRPr="00971EC0" w:rsidRDefault="00BB330E">
      <w:pPr>
        <w:rPr>
          <w:i/>
          <w:sz w:val="22"/>
          <w:szCs w:val="22"/>
        </w:rPr>
      </w:pPr>
    </w:p>
    <w:p w:rsidR="00BB330E" w:rsidRPr="00971EC0" w:rsidRDefault="00A3369F">
      <w:pPr>
        <w:rPr>
          <w:sz w:val="22"/>
          <w:szCs w:val="22"/>
        </w:rPr>
      </w:pPr>
      <w:r>
        <w:rPr>
          <w:rFonts w:ascii="Arial" w:hAnsi="Arial" w:cs="Arial"/>
          <w:noProof/>
          <w:color w:val="000000"/>
          <w:sz w:val="20"/>
          <w:szCs w:val="20"/>
        </w:rPr>
        <w:drawing>
          <wp:inline distT="0" distB="0" distL="0" distR="0">
            <wp:extent cx="5486400" cy="3657600"/>
            <wp:effectExtent l="0" t="0" r="0" b="0"/>
            <wp:docPr id="1" name="Picture 1"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872A9E" w:rsidRPr="00971EC0" w:rsidRDefault="00872A9E">
      <w:pPr>
        <w:rPr>
          <w:sz w:val="22"/>
          <w:szCs w:val="22"/>
        </w:rPr>
      </w:pPr>
    </w:p>
    <w:p w:rsidR="00BB330E" w:rsidRPr="00971EC0" w:rsidRDefault="00BB330E">
      <w:pPr>
        <w:rPr>
          <w:sz w:val="22"/>
          <w:szCs w:val="22"/>
        </w:rPr>
      </w:pPr>
      <w:proofErr w:type="gramStart"/>
      <w:r w:rsidRPr="00971EC0">
        <w:rPr>
          <w:sz w:val="22"/>
          <w:szCs w:val="22"/>
        </w:rPr>
        <w:t xml:space="preserve">Figure </w:t>
      </w:r>
      <w:r w:rsidR="00971EC0">
        <w:rPr>
          <w:sz w:val="22"/>
          <w:szCs w:val="22"/>
        </w:rPr>
        <w:t>8</w:t>
      </w:r>
      <w:r w:rsidRPr="00971EC0">
        <w:rPr>
          <w:sz w:val="22"/>
          <w:szCs w:val="22"/>
        </w:rPr>
        <w:t>.</w:t>
      </w:r>
      <w:proofErr w:type="gramEnd"/>
      <w:r w:rsidRPr="00971EC0">
        <w:rPr>
          <w:sz w:val="22"/>
          <w:szCs w:val="22"/>
        </w:rPr>
        <w:t xml:space="preserve"> </w:t>
      </w:r>
      <w:r w:rsidR="00A3369F">
        <w:rPr>
          <w:sz w:val="22"/>
          <w:szCs w:val="22"/>
        </w:rPr>
        <w:t>Proportion</w:t>
      </w:r>
      <w:r w:rsidRPr="00971EC0">
        <w:rPr>
          <w:sz w:val="22"/>
          <w:szCs w:val="22"/>
        </w:rPr>
        <w:t xml:space="preserve"> of the total groundfish swept minimum swept area biomass contributed by Georges Bank and Gulf of Maine haddock and Redfish </w:t>
      </w:r>
      <w:r w:rsidR="00617E21">
        <w:rPr>
          <w:sz w:val="22"/>
          <w:szCs w:val="22"/>
        </w:rPr>
        <w:t>based on</w:t>
      </w:r>
      <w:r w:rsidRPr="00971EC0">
        <w:rPr>
          <w:sz w:val="22"/>
          <w:szCs w:val="22"/>
        </w:rPr>
        <w:t xml:space="preserve"> the NEFSC spring and fall bottom trawl surveys.</w:t>
      </w:r>
      <w:bookmarkStart w:id="0" w:name="_GoBack"/>
      <w:bookmarkEnd w:id="0"/>
    </w:p>
    <w:p w:rsidR="005D788F" w:rsidRPr="00971EC0" w:rsidRDefault="005D788F" w:rsidP="00854D75">
      <w:pPr>
        <w:rPr>
          <w:sz w:val="22"/>
          <w:szCs w:val="22"/>
        </w:rPr>
      </w:pPr>
    </w:p>
    <w:p w:rsidR="00872A9E" w:rsidRPr="00971EC0" w:rsidRDefault="00872A9E">
      <w:pPr>
        <w:rPr>
          <w:sz w:val="22"/>
          <w:szCs w:val="22"/>
        </w:rPr>
      </w:pPr>
    </w:p>
    <w:p w:rsidR="005D788F" w:rsidRPr="00971EC0" w:rsidRDefault="005D788F" w:rsidP="005D788F">
      <w:pPr>
        <w:rPr>
          <w:sz w:val="22"/>
          <w:szCs w:val="22"/>
        </w:rPr>
      </w:pPr>
    </w:p>
    <w:p w:rsidR="005D788F" w:rsidRPr="00971EC0" w:rsidRDefault="005D788F">
      <w:pPr>
        <w:rPr>
          <w:sz w:val="22"/>
          <w:szCs w:val="22"/>
        </w:rPr>
      </w:pPr>
    </w:p>
    <w:sectPr w:rsidR="005D788F" w:rsidRPr="00971EC0" w:rsidSect="00A029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B2D9D"/>
    <w:multiLevelType w:val="hybridMultilevel"/>
    <w:tmpl w:val="1BE22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FAB"/>
    <w:rsid w:val="000331F0"/>
    <w:rsid w:val="00074F93"/>
    <w:rsid w:val="000A4462"/>
    <w:rsid w:val="000D78CE"/>
    <w:rsid w:val="00101DE1"/>
    <w:rsid w:val="00106A14"/>
    <w:rsid w:val="001B3422"/>
    <w:rsid w:val="001E0302"/>
    <w:rsid w:val="001E4D19"/>
    <w:rsid w:val="001F5DFC"/>
    <w:rsid w:val="00271341"/>
    <w:rsid w:val="00277005"/>
    <w:rsid w:val="002C262B"/>
    <w:rsid w:val="00360D8B"/>
    <w:rsid w:val="003F6AA7"/>
    <w:rsid w:val="0041565B"/>
    <w:rsid w:val="00436C16"/>
    <w:rsid w:val="0049728A"/>
    <w:rsid w:val="004D4ED4"/>
    <w:rsid w:val="004E4587"/>
    <w:rsid w:val="004F428E"/>
    <w:rsid w:val="00507AC9"/>
    <w:rsid w:val="00522ECE"/>
    <w:rsid w:val="0052552C"/>
    <w:rsid w:val="005D788F"/>
    <w:rsid w:val="005F5B02"/>
    <w:rsid w:val="00617E21"/>
    <w:rsid w:val="006326F1"/>
    <w:rsid w:val="00734C78"/>
    <w:rsid w:val="007658A4"/>
    <w:rsid w:val="0079095A"/>
    <w:rsid w:val="007A5F77"/>
    <w:rsid w:val="00854D75"/>
    <w:rsid w:val="00872A9E"/>
    <w:rsid w:val="008738BD"/>
    <w:rsid w:val="008A2D4F"/>
    <w:rsid w:val="008D2816"/>
    <w:rsid w:val="008E265F"/>
    <w:rsid w:val="00911A9B"/>
    <w:rsid w:val="00942606"/>
    <w:rsid w:val="00971EC0"/>
    <w:rsid w:val="00985206"/>
    <w:rsid w:val="00995AEF"/>
    <w:rsid w:val="00996808"/>
    <w:rsid w:val="009A43C8"/>
    <w:rsid w:val="00A0292D"/>
    <w:rsid w:val="00A3369F"/>
    <w:rsid w:val="00AC4441"/>
    <w:rsid w:val="00AE14FE"/>
    <w:rsid w:val="00B572A5"/>
    <w:rsid w:val="00BB330E"/>
    <w:rsid w:val="00C1078B"/>
    <w:rsid w:val="00C31953"/>
    <w:rsid w:val="00C629A2"/>
    <w:rsid w:val="00CB1832"/>
    <w:rsid w:val="00CC425E"/>
    <w:rsid w:val="00D3753E"/>
    <w:rsid w:val="00D45E3A"/>
    <w:rsid w:val="00D46FAB"/>
    <w:rsid w:val="00D60669"/>
    <w:rsid w:val="00DB2EAC"/>
    <w:rsid w:val="00E42298"/>
    <w:rsid w:val="00E608E8"/>
    <w:rsid w:val="00E727A0"/>
    <w:rsid w:val="00EA53FD"/>
    <w:rsid w:val="00EC4604"/>
    <w:rsid w:val="00ED4A73"/>
    <w:rsid w:val="00F221D0"/>
    <w:rsid w:val="00F77BFE"/>
    <w:rsid w:val="00F872D5"/>
    <w:rsid w:val="00F90D9E"/>
    <w:rsid w:val="00FF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46FAB"/>
    <w:rPr>
      <w:rFonts w:ascii="Tahoma" w:hAnsi="Tahoma" w:cs="Tahoma"/>
      <w:sz w:val="16"/>
      <w:szCs w:val="16"/>
    </w:rPr>
  </w:style>
  <w:style w:type="character" w:customStyle="1" w:styleId="BalloonTextChar">
    <w:name w:val="Balloon Text Char"/>
    <w:basedOn w:val="DefaultParagraphFont"/>
    <w:link w:val="BalloonText"/>
    <w:rsid w:val="00D46FAB"/>
    <w:rPr>
      <w:rFonts w:ascii="Tahoma" w:hAnsi="Tahoma" w:cs="Tahoma"/>
      <w:sz w:val="16"/>
      <w:szCs w:val="16"/>
    </w:rPr>
  </w:style>
  <w:style w:type="paragraph" w:styleId="ListParagraph">
    <w:name w:val="List Paragraph"/>
    <w:basedOn w:val="Normal"/>
    <w:uiPriority w:val="34"/>
    <w:qFormat/>
    <w:rsid w:val="00996808"/>
    <w:pPr>
      <w:ind w:left="720"/>
      <w:contextualSpacing/>
    </w:pPr>
  </w:style>
  <w:style w:type="table" w:styleId="TableGrid">
    <w:name w:val="Table Grid"/>
    <w:basedOn w:val="TableNormal"/>
    <w:uiPriority w:val="59"/>
    <w:rsid w:val="00A0292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FF18B0"/>
    <w:rPr>
      <w:sz w:val="16"/>
      <w:szCs w:val="16"/>
    </w:rPr>
  </w:style>
  <w:style w:type="paragraph" w:styleId="CommentText">
    <w:name w:val="annotation text"/>
    <w:basedOn w:val="Normal"/>
    <w:link w:val="CommentTextChar"/>
    <w:rsid w:val="00FF18B0"/>
    <w:rPr>
      <w:sz w:val="20"/>
      <w:szCs w:val="20"/>
    </w:rPr>
  </w:style>
  <w:style w:type="character" w:customStyle="1" w:styleId="CommentTextChar">
    <w:name w:val="Comment Text Char"/>
    <w:basedOn w:val="DefaultParagraphFont"/>
    <w:link w:val="CommentText"/>
    <w:rsid w:val="00FF18B0"/>
  </w:style>
  <w:style w:type="paragraph" w:styleId="CommentSubject">
    <w:name w:val="annotation subject"/>
    <w:basedOn w:val="CommentText"/>
    <w:next w:val="CommentText"/>
    <w:link w:val="CommentSubjectChar"/>
    <w:rsid w:val="00FF18B0"/>
    <w:rPr>
      <w:b/>
      <w:bCs/>
    </w:rPr>
  </w:style>
  <w:style w:type="character" w:customStyle="1" w:styleId="CommentSubjectChar">
    <w:name w:val="Comment Subject Char"/>
    <w:basedOn w:val="CommentTextChar"/>
    <w:link w:val="CommentSubject"/>
    <w:rsid w:val="00FF18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46FAB"/>
    <w:rPr>
      <w:rFonts w:ascii="Tahoma" w:hAnsi="Tahoma" w:cs="Tahoma"/>
      <w:sz w:val="16"/>
      <w:szCs w:val="16"/>
    </w:rPr>
  </w:style>
  <w:style w:type="character" w:customStyle="1" w:styleId="BalloonTextChar">
    <w:name w:val="Balloon Text Char"/>
    <w:basedOn w:val="DefaultParagraphFont"/>
    <w:link w:val="BalloonText"/>
    <w:rsid w:val="00D46FAB"/>
    <w:rPr>
      <w:rFonts w:ascii="Tahoma" w:hAnsi="Tahoma" w:cs="Tahoma"/>
      <w:sz w:val="16"/>
      <w:szCs w:val="16"/>
    </w:rPr>
  </w:style>
  <w:style w:type="paragraph" w:styleId="ListParagraph">
    <w:name w:val="List Paragraph"/>
    <w:basedOn w:val="Normal"/>
    <w:uiPriority w:val="34"/>
    <w:qFormat/>
    <w:rsid w:val="00996808"/>
    <w:pPr>
      <w:ind w:left="720"/>
      <w:contextualSpacing/>
    </w:pPr>
  </w:style>
  <w:style w:type="table" w:styleId="TableGrid">
    <w:name w:val="Table Grid"/>
    <w:basedOn w:val="TableNormal"/>
    <w:uiPriority w:val="59"/>
    <w:rsid w:val="00A0292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FF18B0"/>
    <w:rPr>
      <w:sz w:val="16"/>
      <w:szCs w:val="16"/>
    </w:rPr>
  </w:style>
  <w:style w:type="paragraph" w:styleId="CommentText">
    <w:name w:val="annotation text"/>
    <w:basedOn w:val="Normal"/>
    <w:link w:val="CommentTextChar"/>
    <w:rsid w:val="00FF18B0"/>
    <w:rPr>
      <w:sz w:val="20"/>
      <w:szCs w:val="20"/>
    </w:rPr>
  </w:style>
  <w:style w:type="character" w:customStyle="1" w:styleId="CommentTextChar">
    <w:name w:val="Comment Text Char"/>
    <w:basedOn w:val="DefaultParagraphFont"/>
    <w:link w:val="CommentText"/>
    <w:rsid w:val="00FF18B0"/>
  </w:style>
  <w:style w:type="paragraph" w:styleId="CommentSubject">
    <w:name w:val="annotation subject"/>
    <w:basedOn w:val="CommentText"/>
    <w:next w:val="CommentText"/>
    <w:link w:val="CommentSubjectChar"/>
    <w:rsid w:val="00FF18B0"/>
    <w:rPr>
      <w:b/>
      <w:bCs/>
    </w:rPr>
  </w:style>
  <w:style w:type="character" w:customStyle="1" w:styleId="CommentSubjectChar">
    <w:name w:val="Comment Subject Char"/>
    <w:basedOn w:val="CommentTextChar"/>
    <w:link w:val="CommentSubject"/>
    <w:rsid w:val="00FF18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224065">
      <w:bodyDiv w:val="1"/>
      <w:marLeft w:val="0"/>
      <w:marRight w:val="0"/>
      <w:marTop w:val="0"/>
      <w:marBottom w:val="0"/>
      <w:divBdr>
        <w:top w:val="none" w:sz="0" w:space="0" w:color="auto"/>
        <w:left w:val="none" w:sz="0" w:space="0" w:color="auto"/>
        <w:bottom w:val="none" w:sz="0" w:space="0" w:color="auto"/>
        <w:right w:val="none" w:sz="0" w:space="0" w:color="auto"/>
      </w:divBdr>
      <w:divsChild>
        <w:div w:id="1542285597">
          <w:marLeft w:val="0"/>
          <w:marRight w:val="0"/>
          <w:marTop w:val="0"/>
          <w:marBottom w:val="0"/>
          <w:divBdr>
            <w:top w:val="none" w:sz="0" w:space="0" w:color="auto"/>
            <w:left w:val="none" w:sz="0" w:space="0" w:color="auto"/>
            <w:bottom w:val="none" w:sz="0" w:space="0" w:color="auto"/>
            <w:right w:val="none" w:sz="0" w:space="0" w:color="auto"/>
          </w:divBdr>
        </w:div>
        <w:div w:id="313995837">
          <w:marLeft w:val="0"/>
          <w:marRight w:val="0"/>
          <w:marTop w:val="0"/>
          <w:marBottom w:val="0"/>
          <w:divBdr>
            <w:top w:val="none" w:sz="0" w:space="0" w:color="auto"/>
            <w:left w:val="none" w:sz="0" w:space="0" w:color="auto"/>
            <w:bottom w:val="none" w:sz="0" w:space="0" w:color="auto"/>
            <w:right w:val="none" w:sz="0" w:space="0" w:color="auto"/>
          </w:divBdr>
        </w:div>
        <w:div w:id="1966109069">
          <w:marLeft w:val="0"/>
          <w:marRight w:val="0"/>
          <w:marTop w:val="0"/>
          <w:marBottom w:val="0"/>
          <w:divBdr>
            <w:top w:val="none" w:sz="0" w:space="0" w:color="auto"/>
            <w:left w:val="none" w:sz="0" w:space="0" w:color="auto"/>
            <w:bottom w:val="none" w:sz="0" w:space="0" w:color="auto"/>
            <w:right w:val="none" w:sz="0" w:space="0" w:color="auto"/>
          </w:divBdr>
        </w:div>
        <w:div w:id="1769036616">
          <w:marLeft w:val="0"/>
          <w:marRight w:val="0"/>
          <w:marTop w:val="0"/>
          <w:marBottom w:val="0"/>
          <w:divBdr>
            <w:top w:val="none" w:sz="0" w:space="0" w:color="auto"/>
            <w:left w:val="none" w:sz="0" w:space="0" w:color="auto"/>
            <w:bottom w:val="none" w:sz="0" w:space="0" w:color="auto"/>
            <w:right w:val="none" w:sz="0" w:space="0" w:color="auto"/>
          </w:divBdr>
        </w:div>
        <w:div w:id="158663035">
          <w:marLeft w:val="0"/>
          <w:marRight w:val="0"/>
          <w:marTop w:val="0"/>
          <w:marBottom w:val="0"/>
          <w:divBdr>
            <w:top w:val="none" w:sz="0" w:space="0" w:color="auto"/>
            <w:left w:val="none" w:sz="0" w:space="0" w:color="auto"/>
            <w:bottom w:val="none" w:sz="0" w:space="0" w:color="auto"/>
            <w:right w:val="none" w:sz="0" w:space="0" w:color="auto"/>
          </w:divBdr>
        </w:div>
        <w:div w:id="1531723667">
          <w:marLeft w:val="0"/>
          <w:marRight w:val="0"/>
          <w:marTop w:val="0"/>
          <w:marBottom w:val="0"/>
          <w:divBdr>
            <w:top w:val="none" w:sz="0" w:space="0" w:color="auto"/>
            <w:left w:val="none" w:sz="0" w:space="0" w:color="auto"/>
            <w:bottom w:val="none" w:sz="0" w:space="0" w:color="auto"/>
            <w:right w:val="none" w:sz="0" w:space="0" w:color="auto"/>
          </w:divBdr>
        </w:div>
      </w:divsChild>
    </w:div>
    <w:div w:id="503016731">
      <w:bodyDiv w:val="1"/>
      <w:marLeft w:val="0"/>
      <w:marRight w:val="0"/>
      <w:marTop w:val="0"/>
      <w:marBottom w:val="0"/>
      <w:divBdr>
        <w:top w:val="none" w:sz="0" w:space="0" w:color="auto"/>
        <w:left w:val="none" w:sz="0" w:space="0" w:color="auto"/>
        <w:bottom w:val="none" w:sz="0" w:space="0" w:color="auto"/>
        <w:right w:val="none" w:sz="0" w:space="0" w:color="auto"/>
      </w:divBdr>
    </w:div>
    <w:div w:id="1752118385">
      <w:bodyDiv w:val="1"/>
      <w:marLeft w:val="0"/>
      <w:marRight w:val="0"/>
      <w:marTop w:val="0"/>
      <w:marBottom w:val="0"/>
      <w:divBdr>
        <w:top w:val="none" w:sz="0" w:space="0" w:color="auto"/>
        <w:left w:val="none" w:sz="0" w:space="0" w:color="auto"/>
        <w:bottom w:val="none" w:sz="0" w:space="0" w:color="auto"/>
        <w:right w:val="none" w:sz="0" w:space="0" w:color="auto"/>
      </w:divBdr>
      <w:divsChild>
        <w:div w:id="98573434">
          <w:marLeft w:val="0"/>
          <w:marRight w:val="0"/>
          <w:marTop w:val="0"/>
          <w:marBottom w:val="0"/>
          <w:divBdr>
            <w:top w:val="none" w:sz="0" w:space="0" w:color="auto"/>
            <w:left w:val="none" w:sz="0" w:space="0" w:color="auto"/>
            <w:bottom w:val="none" w:sz="0" w:space="0" w:color="auto"/>
            <w:right w:val="none" w:sz="0" w:space="0" w:color="auto"/>
          </w:divBdr>
        </w:div>
        <w:div w:id="243296207">
          <w:marLeft w:val="0"/>
          <w:marRight w:val="0"/>
          <w:marTop w:val="0"/>
          <w:marBottom w:val="0"/>
          <w:divBdr>
            <w:top w:val="none" w:sz="0" w:space="0" w:color="auto"/>
            <w:left w:val="none" w:sz="0" w:space="0" w:color="auto"/>
            <w:bottom w:val="none" w:sz="0" w:space="0" w:color="auto"/>
            <w:right w:val="none" w:sz="0" w:space="0" w:color="auto"/>
          </w:divBdr>
        </w:div>
        <w:div w:id="358165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D36D2-230A-42FE-B460-188F4B09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1577</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Michael.Palmer</dc:creator>
  <cp:lastModifiedBy>Michael.Palmer</cp:lastModifiedBy>
  <cp:revision>6</cp:revision>
  <dcterms:created xsi:type="dcterms:W3CDTF">2015-09-21T15:17:00Z</dcterms:created>
  <dcterms:modified xsi:type="dcterms:W3CDTF">2015-09-21T15:33:00Z</dcterms:modified>
</cp:coreProperties>
</file>