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4A13" w14:textId="77777777" w:rsidR="00E05654" w:rsidRDefault="00E05654">
      <w:pPr>
        <w:rPr>
          <w:rFonts w:ascii="Arial" w:hAnsi="Arial" w:cs="Arial"/>
          <w:b/>
          <w:bCs/>
          <w:color w:val="602162"/>
          <w:sz w:val="36"/>
          <w:szCs w:val="36"/>
        </w:rPr>
      </w:pPr>
      <w:r>
        <w:rPr>
          <w:rFonts w:ascii="Arial" w:hAnsi="Arial" w:cs="Arial"/>
          <w:b/>
          <w:bCs/>
          <w:color w:val="602162"/>
          <w:sz w:val="36"/>
          <w:szCs w:val="36"/>
        </w:rPr>
        <w:t>New Matches</w:t>
      </w:r>
    </w:p>
    <w:p w14:paraId="26BC6CBB"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 xml:space="preserve">When an IEVS match appears on DAIL, determine the type of match and if the match can be resolved using information already available in the case record. </w:t>
      </w:r>
    </w:p>
    <w:p w14:paraId="25A413C2"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p>
    <w:p w14:paraId="2296BA71" w14:textId="77777777" w:rsidR="00E05654" w:rsidRDefault="00E05654" w:rsidP="00E05654">
      <w:pPr>
        <w:rPr>
          <w:rFonts w:ascii="Arial" w:hAnsi="Arial" w:cs="Arial"/>
          <w:color w:val="000000"/>
          <w:sz w:val="24"/>
          <w:szCs w:val="24"/>
        </w:rPr>
      </w:pPr>
      <w:r>
        <w:rPr>
          <w:rFonts w:ascii="Arial" w:hAnsi="Arial" w:cs="Arial"/>
          <w:color w:val="000000"/>
          <w:sz w:val="24"/>
          <w:szCs w:val="24"/>
        </w:rPr>
        <w:t>Beginning at DAIL, go through the following steps to investigate the match:</w:t>
      </w: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640"/>
        <w:gridCol w:w="2697"/>
        <w:gridCol w:w="8219"/>
      </w:tblGrid>
      <w:tr w:rsidR="00E05654" w14:paraId="1EE3DD5C" w14:textId="77777777" w:rsidTr="009D1741">
        <w:tc>
          <w:tcPr>
            <w:tcW w:w="277" w:type="pct"/>
          </w:tcPr>
          <w:p w14:paraId="0B7B470A"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1.</w:t>
            </w:r>
          </w:p>
        </w:tc>
        <w:tc>
          <w:tcPr>
            <w:tcW w:w="4723" w:type="pct"/>
            <w:gridSpan w:val="2"/>
            <w:vAlign w:val="center"/>
          </w:tcPr>
          <w:p w14:paraId="1360F0C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Type </w:t>
            </w:r>
            <w:r>
              <w:rPr>
                <w:rFonts w:ascii="Arial" w:hAnsi="Arial" w:cs="Arial"/>
                <w:b/>
                <w:bCs/>
                <w:color w:val="000000"/>
                <w:sz w:val="24"/>
                <w:szCs w:val="24"/>
              </w:rPr>
              <w:t>I</w:t>
            </w:r>
            <w:r>
              <w:rPr>
                <w:rFonts w:ascii="Arial" w:hAnsi="Arial" w:cs="Arial"/>
                <w:color w:val="000000"/>
                <w:sz w:val="24"/>
                <w:szCs w:val="24"/>
              </w:rPr>
              <w:t xml:space="preserve"> in the selection field of the </w:t>
            </w:r>
            <w:r>
              <w:rPr>
                <w:rFonts w:ascii="Arial" w:hAnsi="Arial" w:cs="Arial"/>
                <w:b/>
                <w:bCs/>
                <w:color w:val="000000"/>
                <w:sz w:val="24"/>
                <w:szCs w:val="24"/>
              </w:rPr>
              <w:t>DAIL</w:t>
            </w:r>
            <w:r>
              <w:rPr>
                <w:rFonts w:ascii="Arial" w:hAnsi="Arial" w:cs="Arial"/>
                <w:color w:val="000000"/>
                <w:sz w:val="24"/>
                <w:szCs w:val="24"/>
              </w:rPr>
              <w:t xml:space="preserve"> message to go to the </w:t>
            </w:r>
            <w:r>
              <w:rPr>
                <w:rFonts w:ascii="Arial" w:hAnsi="Arial" w:cs="Arial"/>
                <w:b/>
                <w:bCs/>
                <w:color w:val="000000"/>
                <w:sz w:val="24"/>
                <w:szCs w:val="24"/>
              </w:rPr>
              <w:t>INFC</w:t>
            </w:r>
            <w:r>
              <w:rPr>
                <w:rFonts w:ascii="Arial" w:hAnsi="Arial" w:cs="Arial"/>
                <w:color w:val="000000"/>
                <w:sz w:val="24"/>
                <w:szCs w:val="24"/>
              </w:rPr>
              <w:t xml:space="preserve"> menu. </w:t>
            </w:r>
          </w:p>
          <w:p w14:paraId="0901A0DE"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807"/>
              <w:gridCol w:w="9929"/>
            </w:tblGrid>
            <w:tr w:rsidR="00E05654" w14:paraId="4E6B47E0" w14:textId="77777777" w:rsidTr="009D1741">
              <w:tc>
                <w:tcPr>
                  <w:tcW w:w="376" w:type="pct"/>
                  <w:tcBorders>
                    <w:top w:val="nil"/>
                    <w:left w:val="nil"/>
                    <w:bottom w:val="nil"/>
                    <w:right w:val="nil"/>
                  </w:tcBorders>
                </w:tcPr>
                <w:p w14:paraId="1E851C53"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6E07A393" wp14:editId="361B2A73">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623" w:type="pct"/>
                  <w:tcBorders>
                    <w:top w:val="nil"/>
                    <w:left w:val="nil"/>
                    <w:bottom w:val="nil"/>
                    <w:right w:val="nil"/>
                  </w:tcBorders>
                </w:tcPr>
                <w:p w14:paraId="739C4E0D"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person's SSN and appropriate footer month should carry over to INFC.</w:t>
                  </w:r>
                </w:p>
              </w:tc>
            </w:tr>
          </w:tbl>
          <w:p w14:paraId="04B13FA9"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55D00200" w14:textId="77777777" w:rsidTr="009D1741">
        <w:tc>
          <w:tcPr>
            <w:tcW w:w="277" w:type="pct"/>
          </w:tcPr>
          <w:p w14:paraId="26AFD748"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w:t>
            </w:r>
          </w:p>
        </w:tc>
        <w:tc>
          <w:tcPr>
            <w:tcW w:w="4723" w:type="pct"/>
            <w:gridSpan w:val="2"/>
            <w:vAlign w:val="center"/>
          </w:tcPr>
          <w:p w14:paraId="42E2BC39"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 xml:space="preserve">On the command line, type </w:t>
            </w:r>
            <w:r>
              <w:rPr>
                <w:rFonts w:ascii="Arial" w:hAnsi="Arial" w:cs="Arial"/>
                <w:b/>
                <w:bCs/>
                <w:color w:val="000000"/>
                <w:sz w:val="24"/>
                <w:szCs w:val="24"/>
              </w:rPr>
              <w:t>IEVP</w:t>
            </w:r>
            <w:r>
              <w:rPr>
                <w:rFonts w:ascii="Tms Rmn" w:hAnsi="Tms Rmn" w:cs="Tms Rmn"/>
                <w:color w:val="000000"/>
                <w:sz w:val="24"/>
                <w:szCs w:val="24"/>
              </w:rPr>
              <w:t xml:space="preserve"> </w:t>
            </w:r>
          </w:p>
          <w:p w14:paraId="0F5BB319"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550"/>
              <w:gridCol w:w="10186"/>
            </w:tblGrid>
            <w:tr w:rsidR="00E05654" w14:paraId="29924860" w14:textId="77777777" w:rsidTr="009D1741">
              <w:tc>
                <w:tcPr>
                  <w:tcW w:w="256" w:type="pct"/>
                  <w:tcBorders>
                    <w:top w:val="nil"/>
                    <w:left w:val="nil"/>
                    <w:bottom w:val="nil"/>
                    <w:right w:val="nil"/>
                  </w:tcBorders>
                </w:tcPr>
                <w:p w14:paraId="4BF27822"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4B3854EB" wp14:editId="4B1E9EBA">
                        <wp:extent cx="11430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43" w:type="pct"/>
                  <w:tcBorders>
                    <w:top w:val="nil"/>
                    <w:left w:val="nil"/>
                    <w:bottom w:val="nil"/>
                    <w:right w:val="nil"/>
                  </w:tcBorders>
                </w:tcPr>
                <w:p w14:paraId="2FF79714"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The IEVP panel will show all IEVS matches on this person/SSN.  </w:t>
                  </w:r>
                  <w:r>
                    <w:rPr>
                      <w:rFonts w:ascii="Tms Rmn" w:hAnsi="Tms Rmn" w:cs="Tms Rmn"/>
                      <w:color w:val="000000"/>
                      <w:sz w:val="24"/>
                      <w:szCs w:val="24"/>
                    </w:rPr>
                    <w:t xml:space="preserve"> </w:t>
                  </w:r>
                </w:p>
                <w:p w14:paraId="486BB53A"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548"/>
                    <w:gridCol w:w="9638"/>
                  </w:tblGrid>
                  <w:tr w:rsidR="00E05654" w14:paraId="4CB68B2B" w14:textId="77777777" w:rsidTr="009D1741">
                    <w:tc>
                      <w:tcPr>
                        <w:tcW w:w="269" w:type="pct"/>
                        <w:tcBorders>
                          <w:top w:val="nil"/>
                          <w:left w:val="nil"/>
                          <w:bottom w:val="nil"/>
                          <w:right w:val="nil"/>
                        </w:tcBorders>
                      </w:tcPr>
                      <w:p w14:paraId="67145F8A"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70BC19DD" wp14:editId="7B391A62">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30" w:type="pct"/>
                        <w:tcBorders>
                          <w:top w:val="nil"/>
                          <w:left w:val="nil"/>
                          <w:bottom w:val="nil"/>
                          <w:right w:val="nil"/>
                        </w:tcBorders>
                      </w:tcPr>
                      <w:p w14:paraId="13A21970"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Unresolved matches will show the number of days left before resolution is "due" on the right side of the screen</w:t>
                        </w:r>
                      </w:p>
                    </w:tc>
                  </w:tr>
                  <w:tr w:rsidR="00E05654" w14:paraId="0CEBD134" w14:textId="77777777" w:rsidTr="009D1741">
                    <w:tc>
                      <w:tcPr>
                        <w:tcW w:w="269" w:type="pct"/>
                        <w:tcBorders>
                          <w:top w:val="nil"/>
                          <w:left w:val="nil"/>
                          <w:bottom w:val="nil"/>
                          <w:right w:val="nil"/>
                        </w:tcBorders>
                      </w:tcPr>
                      <w:p w14:paraId="1205D44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58B61F68" wp14:editId="5DDFB1B8">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30" w:type="pct"/>
                        <w:tcBorders>
                          <w:top w:val="nil"/>
                          <w:left w:val="nil"/>
                          <w:bottom w:val="nil"/>
                          <w:right w:val="nil"/>
                        </w:tcBorders>
                      </w:tcPr>
                      <w:p w14:paraId="04AD719A"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Resolved matches will show the resolution code used</w:t>
                        </w:r>
                      </w:p>
                    </w:tc>
                  </w:tr>
                </w:tbl>
                <w:p w14:paraId="4DC56A77"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bl>
          <w:p w14:paraId="6BEF48FD"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4E4461DF" w14:textId="77777777" w:rsidTr="009D1741">
        <w:tc>
          <w:tcPr>
            <w:tcW w:w="277" w:type="pct"/>
          </w:tcPr>
          <w:p w14:paraId="27E9B004"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w:t>
            </w:r>
          </w:p>
        </w:tc>
        <w:tc>
          <w:tcPr>
            <w:tcW w:w="4723" w:type="pct"/>
            <w:gridSpan w:val="2"/>
            <w:vAlign w:val="center"/>
          </w:tcPr>
          <w:p w14:paraId="4B124027"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 xml:space="preserve">Type </w:t>
            </w:r>
            <w:r>
              <w:rPr>
                <w:rFonts w:ascii="Arial" w:hAnsi="Arial" w:cs="Arial"/>
                <w:b/>
                <w:bCs/>
                <w:color w:val="000000"/>
                <w:sz w:val="24"/>
                <w:szCs w:val="24"/>
              </w:rPr>
              <w:t>D</w:t>
            </w:r>
            <w:r>
              <w:rPr>
                <w:rFonts w:ascii="Arial" w:hAnsi="Arial" w:cs="Arial"/>
                <w:color w:val="000000"/>
                <w:sz w:val="24"/>
                <w:szCs w:val="24"/>
              </w:rPr>
              <w:t xml:space="preserve"> in the selection field to display a summary of an unresolved match</w:t>
            </w:r>
            <w:r>
              <w:rPr>
                <w:rFonts w:ascii="Tms Rmn" w:hAnsi="Tms Rmn" w:cs="Tms Rmn"/>
                <w:color w:val="000000"/>
                <w:sz w:val="24"/>
                <w:szCs w:val="24"/>
              </w:rPr>
              <w:t xml:space="preserve"> </w:t>
            </w:r>
          </w:p>
          <w:p w14:paraId="1633E293"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481"/>
              <w:gridCol w:w="10255"/>
            </w:tblGrid>
            <w:tr w:rsidR="00E05654" w14:paraId="427FFBDF" w14:textId="77777777" w:rsidTr="009D1741">
              <w:tc>
                <w:tcPr>
                  <w:tcW w:w="224" w:type="pct"/>
                  <w:tcBorders>
                    <w:top w:val="nil"/>
                    <w:left w:val="nil"/>
                    <w:bottom w:val="nil"/>
                    <w:right w:val="nil"/>
                  </w:tcBorders>
                </w:tcPr>
                <w:p w14:paraId="5F87E30A"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69B1D0FC" wp14:editId="65AB3806">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75" w:type="pct"/>
                  <w:tcBorders>
                    <w:top w:val="nil"/>
                    <w:left w:val="nil"/>
                    <w:bottom w:val="nil"/>
                    <w:right w:val="nil"/>
                  </w:tcBorders>
                </w:tcPr>
                <w:p w14:paraId="7B1DD4F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match summary will show the amount of income and the period received, plus the source of the income, and other pertinent information.</w:t>
                  </w:r>
                </w:p>
              </w:tc>
            </w:tr>
          </w:tbl>
          <w:p w14:paraId="42EE6278"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0C1A6C12" w14:textId="77777777" w:rsidTr="009D1741">
        <w:tc>
          <w:tcPr>
            <w:tcW w:w="277" w:type="pct"/>
          </w:tcPr>
          <w:p w14:paraId="306B7E68"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w:t>
            </w:r>
          </w:p>
        </w:tc>
        <w:tc>
          <w:tcPr>
            <w:tcW w:w="4723" w:type="pct"/>
            <w:gridSpan w:val="2"/>
            <w:vAlign w:val="center"/>
          </w:tcPr>
          <w:p w14:paraId="26DD1FD1" w14:textId="77777777" w:rsidR="00E05654" w:rsidRDefault="00E05654" w:rsidP="009D1741">
            <w:pPr>
              <w:keepNext/>
              <w:keepLines/>
              <w:autoSpaceDE w:val="0"/>
              <w:autoSpaceDN w:val="0"/>
              <w:adjustRightInd w:val="0"/>
              <w:spacing w:after="0" w:line="240" w:lineRule="auto"/>
              <w:ind w:left="720"/>
              <w:rPr>
                <w:rFonts w:ascii="Arial" w:hAnsi="Arial" w:cs="Arial"/>
                <w:color w:val="000061"/>
                <w:sz w:val="24"/>
                <w:szCs w:val="24"/>
              </w:rPr>
            </w:pPr>
            <w:r>
              <w:rPr>
                <w:rFonts w:ascii="Arial" w:hAnsi="Arial" w:cs="Arial"/>
                <w:b/>
                <w:bCs/>
                <w:color w:val="000061"/>
                <w:sz w:val="24"/>
                <w:szCs w:val="24"/>
              </w:rPr>
              <w:t xml:space="preserve">NOTE: </w:t>
            </w:r>
            <w:r>
              <w:rPr>
                <w:rFonts w:ascii="Arial" w:hAnsi="Arial" w:cs="Arial"/>
                <w:color w:val="000061"/>
                <w:sz w:val="24"/>
                <w:szCs w:val="24"/>
              </w:rPr>
              <w:t> Additional information (address of an employer, source of unearned income, etc.) can be obtained by requesting the panel for a specific match type from the INFC menu (WAGE, UBEN, etc.)</w:t>
            </w:r>
          </w:p>
        </w:tc>
      </w:tr>
      <w:tr w:rsidR="00E05654" w14:paraId="3E0B3E34" w14:textId="77777777" w:rsidTr="009D1741">
        <w:tc>
          <w:tcPr>
            <w:tcW w:w="277" w:type="pct"/>
          </w:tcPr>
          <w:p w14:paraId="6CB0AB8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w:t>
            </w:r>
          </w:p>
        </w:tc>
        <w:tc>
          <w:tcPr>
            <w:tcW w:w="4723" w:type="pct"/>
            <w:gridSpan w:val="2"/>
            <w:vAlign w:val="center"/>
          </w:tcPr>
          <w:p w14:paraId="50B154B3"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After viewing information about the match, investigate the case record</w:t>
            </w:r>
          </w:p>
        </w:tc>
      </w:tr>
      <w:tr w:rsidR="00E05654" w14:paraId="29BD9797" w14:textId="77777777" w:rsidTr="009D1741">
        <w:tc>
          <w:tcPr>
            <w:tcW w:w="277" w:type="pct"/>
          </w:tcPr>
          <w:p w14:paraId="505E2F4D"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p>
        </w:tc>
        <w:tc>
          <w:tcPr>
            <w:tcW w:w="1167" w:type="pct"/>
          </w:tcPr>
          <w:p w14:paraId="484971B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w:t>
            </w:r>
          </w:p>
        </w:tc>
        <w:tc>
          <w:tcPr>
            <w:tcW w:w="3556" w:type="pct"/>
            <w:vAlign w:val="center"/>
          </w:tcPr>
          <w:p w14:paraId="449C6407"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b/>
                <w:bCs/>
                <w:color w:val="000000"/>
                <w:sz w:val="24"/>
                <w:szCs w:val="24"/>
              </w:rPr>
              <w:t>Was the person on assistance during the match time period?</w:t>
            </w:r>
            <w:r>
              <w:rPr>
                <w:rFonts w:ascii="Tms Rmn" w:hAnsi="Tms Rmn" w:cs="Tms Rmn"/>
                <w:color w:val="000000"/>
                <w:sz w:val="24"/>
                <w:szCs w:val="24"/>
              </w:rPr>
              <w:t xml:space="preserve"> </w:t>
            </w:r>
          </w:p>
          <w:p w14:paraId="3EB6459F"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794"/>
              <w:gridCol w:w="7245"/>
            </w:tblGrid>
            <w:tr w:rsidR="00E05654" w14:paraId="12D5EE02" w14:textId="77777777" w:rsidTr="009D1741">
              <w:tc>
                <w:tcPr>
                  <w:tcW w:w="494" w:type="pct"/>
                  <w:tcBorders>
                    <w:top w:val="nil"/>
                    <w:left w:val="nil"/>
                    <w:bottom w:val="nil"/>
                    <w:right w:val="nil"/>
                  </w:tcBorders>
                </w:tcPr>
                <w:p w14:paraId="7199BFDF"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74912E45" wp14:editId="00A90315">
                        <wp:extent cx="11430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505" w:type="pct"/>
                  <w:tcBorders>
                    <w:top w:val="nil"/>
                    <w:left w:val="nil"/>
                    <w:bottom w:val="nil"/>
                    <w:right w:val="nil"/>
                  </w:tcBorders>
                </w:tcPr>
                <w:p w14:paraId="3262C96B"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View CASE/CURR, CASE/PERS and MMIS for MCRE</w:t>
                  </w:r>
                </w:p>
              </w:tc>
            </w:tr>
          </w:tbl>
          <w:p w14:paraId="341877ED"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1B5795FF" w14:textId="77777777" w:rsidTr="009D1741">
        <w:tc>
          <w:tcPr>
            <w:tcW w:w="277" w:type="pct"/>
          </w:tcPr>
          <w:p w14:paraId="696D432F"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p>
        </w:tc>
        <w:tc>
          <w:tcPr>
            <w:tcW w:w="1167" w:type="pct"/>
            <w:vAlign w:val="center"/>
          </w:tcPr>
          <w:p w14:paraId="1FB75F48"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p>
        </w:tc>
        <w:tc>
          <w:tcPr>
            <w:tcW w:w="3556" w:type="pct"/>
            <w:vAlign w:val="center"/>
          </w:tcPr>
          <w:p w14:paraId="58CF14A3" w14:textId="77777777" w:rsidR="00E05654" w:rsidRDefault="00E05654" w:rsidP="009D1741">
            <w:pPr>
              <w:keepNext/>
              <w:keepLines/>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 xml:space="preserve">If </w:t>
            </w:r>
            <w:r>
              <w:rPr>
                <w:rFonts w:ascii="Arial" w:hAnsi="Arial" w:cs="Arial"/>
                <w:b/>
                <w:bCs/>
                <w:color w:val="000000"/>
                <w:sz w:val="24"/>
                <w:szCs w:val="24"/>
              </w:rPr>
              <w:t>no</w:t>
            </w:r>
            <w:r>
              <w:rPr>
                <w:rFonts w:ascii="Arial" w:hAnsi="Arial" w:cs="Arial"/>
                <w:color w:val="000000"/>
                <w:sz w:val="24"/>
                <w:szCs w:val="24"/>
              </w:rPr>
              <w:t xml:space="preserve">, resolve the match by coding </w:t>
            </w:r>
            <w:r>
              <w:rPr>
                <w:rFonts w:ascii="Arial" w:hAnsi="Arial" w:cs="Arial"/>
                <w:b/>
                <w:bCs/>
                <w:color w:val="000000"/>
                <w:sz w:val="24"/>
                <w:szCs w:val="24"/>
              </w:rPr>
              <w:t>BE</w:t>
            </w:r>
            <w:r>
              <w:rPr>
                <w:rFonts w:ascii="Arial" w:hAnsi="Arial" w:cs="Arial"/>
                <w:color w:val="000000"/>
                <w:sz w:val="24"/>
                <w:szCs w:val="24"/>
              </w:rPr>
              <w:t xml:space="preserve"> or </w:t>
            </w:r>
            <w:r>
              <w:rPr>
                <w:rFonts w:ascii="Arial" w:hAnsi="Arial" w:cs="Arial"/>
                <w:b/>
                <w:bCs/>
                <w:color w:val="000000"/>
                <w:sz w:val="24"/>
                <w:szCs w:val="24"/>
              </w:rPr>
              <w:t>BO</w:t>
            </w:r>
          </w:p>
        </w:tc>
      </w:tr>
      <w:tr w:rsidR="00E05654" w14:paraId="2C3A4B01" w14:textId="77777777" w:rsidTr="009D1741">
        <w:tc>
          <w:tcPr>
            <w:tcW w:w="277" w:type="pct"/>
          </w:tcPr>
          <w:p w14:paraId="0A2216E1" w14:textId="77777777" w:rsidR="00E05654" w:rsidRDefault="00E05654" w:rsidP="009D1741">
            <w:pPr>
              <w:keepNext/>
              <w:keepLines/>
              <w:autoSpaceDE w:val="0"/>
              <w:autoSpaceDN w:val="0"/>
              <w:adjustRightInd w:val="0"/>
              <w:spacing w:after="0" w:line="240" w:lineRule="auto"/>
              <w:rPr>
                <w:rFonts w:ascii="Arial" w:hAnsi="Arial" w:cs="Arial"/>
                <w:b/>
                <w:bCs/>
                <w:color w:val="000000"/>
                <w:sz w:val="24"/>
                <w:szCs w:val="24"/>
              </w:rPr>
            </w:pPr>
          </w:p>
        </w:tc>
        <w:tc>
          <w:tcPr>
            <w:tcW w:w="1167" w:type="pct"/>
            <w:vAlign w:val="center"/>
          </w:tcPr>
          <w:p w14:paraId="58D474E7" w14:textId="77777777" w:rsidR="00E05654" w:rsidRDefault="00E05654" w:rsidP="009D1741">
            <w:pPr>
              <w:keepNext/>
              <w:keepLines/>
              <w:autoSpaceDE w:val="0"/>
              <w:autoSpaceDN w:val="0"/>
              <w:adjustRightInd w:val="0"/>
              <w:spacing w:after="0" w:line="240" w:lineRule="auto"/>
              <w:rPr>
                <w:rFonts w:ascii="Arial" w:hAnsi="Arial" w:cs="Arial"/>
                <w:b/>
                <w:bCs/>
                <w:color w:val="000000"/>
                <w:sz w:val="24"/>
                <w:szCs w:val="24"/>
              </w:rPr>
            </w:pPr>
          </w:p>
        </w:tc>
        <w:tc>
          <w:tcPr>
            <w:tcW w:w="3556" w:type="pct"/>
            <w:vAlign w:val="center"/>
          </w:tcPr>
          <w:p w14:paraId="6995A07A"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w:t>
            </w:r>
            <w:r>
              <w:rPr>
                <w:rFonts w:ascii="Arial" w:hAnsi="Arial" w:cs="Arial"/>
                <w:b/>
                <w:bCs/>
                <w:color w:val="000000"/>
                <w:sz w:val="24"/>
                <w:szCs w:val="24"/>
              </w:rPr>
              <w:t>yes</w:t>
            </w:r>
            <w:r>
              <w:rPr>
                <w:rFonts w:ascii="Arial" w:hAnsi="Arial" w:cs="Arial"/>
                <w:color w:val="000000"/>
                <w:sz w:val="24"/>
                <w:szCs w:val="24"/>
              </w:rPr>
              <w:t>, go to step B.</w:t>
            </w:r>
          </w:p>
        </w:tc>
      </w:tr>
      <w:tr w:rsidR="00E05654" w14:paraId="0D62F43A" w14:textId="77777777" w:rsidTr="009D1741">
        <w:tc>
          <w:tcPr>
            <w:tcW w:w="277" w:type="pct"/>
          </w:tcPr>
          <w:p w14:paraId="535C214E"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p>
        </w:tc>
        <w:tc>
          <w:tcPr>
            <w:tcW w:w="1167" w:type="pct"/>
          </w:tcPr>
          <w:p w14:paraId="1076932B"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w:t>
            </w:r>
          </w:p>
        </w:tc>
        <w:tc>
          <w:tcPr>
            <w:tcW w:w="3556" w:type="pct"/>
            <w:vAlign w:val="center"/>
          </w:tcPr>
          <w:p w14:paraId="2FF88654"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b/>
                <w:bCs/>
                <w:color w:val="000000"/>
                <w:sz w:val="24"/>
                <w:szCs w:val="24"/>
              </w:rPr>
              <w:t>Did the agency already know about the information?</w:t>
            </w:r>
            <w:r>
              <w:rPr>
                <w:rFonts w:ascii="Tms Rmn" w:hAnsi="Tms Rmn" w:cs="Tms Rmn"/>
                <w:color w:val="000000"/>
                <w:sz w:val="24"/>
                <w:szCs w:val="24"/>
              </w:rPr>
              <w:t xml:space="preserve"> </w:t>
            </w:r>
          </w:p>
          <w:p w14:paraId="6C4616B6"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439"/>
              <w:gridCol w:w="7600"/>
            </w:tblGrid>
            <w:tr w:rsidR="00E05654" w14:paraId="33DBF6B2" w14:textId="77777777" w:rsidTr="009D1741">
              <w:tc>
                <w:tcPr>
                  <w:tcW w:w="273" w:type="pct"/>
                  <w:tcBorders>
                    <w:top w:val="nil"/>
                    <w:left w:val="nil"/>
                    <w:bottom w:val="nil"/>
                    <w:right w:val="nil"/>
                  </w:tcBorders>
                </w:tcPr>
                <w:p w14:paraId="57E227EC"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6EE7F366" wp14:editId="537187CA">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26" w:type="pct"/>
                  <w:tcBorders>
                    <w:top w:val="nil"/>
                    <w:left w:val="nil"/>
                    <w:bottom w:val="nil"/>
                    <w:right w:val="nil"/>
                  </w:tcBorders>
                </w:tcPr>
                <w:p w14:paraId="1A22607A"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Investigate the DIAMOND case folder</w:t>
                  </w:r>
                </w:p>
              </w:tc>
            </w:tr>
            <w:tr w:rsidR="00E05654" w14:paraId="76585F60" w14:textId="77777777" w:rsidTr="009D1741">
              <w:tc>
                <w:tcPr>
                  <w:tcW w:w="273" w:type="pct"/>
                  <w:tcBorders>
                    <w:top w:val="nil"/>
                    <w:left w:val="nil"/>
                    <w:bottom w:val="nil"/>
                    <w:right w:val="nil"/>
                  </w:tcBorders>
                </w:tcPr>
                <w:p w14:paraId="1893E45B"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45733FCD" wp14:editId="71637921">
                        <wp:extent cx="11430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26" w:type="pct"/>
                  <w:tcBorders>
                    <w:top w:val="nil"/>
                    <w:left w:val="nil"/>
                    <w:bottom w:val="nil"/>
                    <w:right w:val="nil"/>
                  </w:tcBorders>
                </w:tcPr>
                <w:p w14:paraId="7CAC3ACA"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View information on MAXIS (STAT/JOBS, STAT/UNEA, STAT/BUSI, etc.) for the time period of the match.</w:t>
                  </w:r>
                </w:p>
              </w:tc>
            </w:tr>
          </w:tbl>
          <w:p w14:paraId="374FD9CA"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5A00A03B" w14:textId="77777777" w:rsidTr="009D1741">
        <w:tc>
          <w:tcPr>
            <w:tcW w:w="277" w:type="pct"/>
          </w:tcPr>
          <w:p w14:paraId="28400061"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p>
        </w:tc>
        <w:tc>
          <w:tcPr>
            <w:tcW w:w="1167" w:type="pct"/>
          </w:tcPr>
          <w:p w14:paraId="3A5B62A1"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p>
        </w:tc>
        <w:tc>
          <w:tcPr>
            <w:tcW w:w="3556" w:type="pct"/>
            <w:vAlign w:val="center"/>
          </w:tcPr>
          <w:p w14:paraId="5EE388B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w:t>
            </w:r>
            <w:r>
              <w:rPr>
                <w:rFonts w:ascii="Arial" w:hAnsi="Arial" w:cs="Arial"/>
                <w:b/>
                <w:bCs/>
                <w:color w:val="000000"/>
                <w:sz w:val="24"/>
                <w:szCs w:val="24"/>
              </w:rPr>
              <w:t>no</w:t>
            </w:r>
            <w:r>
              <w:rPr>
                <w:rFonts w:ascii="Arial" w:hAnsi="Arial" w:cs="Arial"/>
                <w:color w:val="000000"/>
                <w:sz w:val="24"/>
                <w:szCs w:val="24"/>
              </w:rPr>
              <w:t xml:space="preserve">, send a Difference Notice.  See </w:t>
            </w:r>
            <w:hyperlink r:id="rId6" w:history="1">
              <w:r>
                <w:rPr>
                  <w:rFonts w:ascii="Arial" w:hAnsi="Arial" w:cs="Arial"/>
                  <w:color w:val="4141FF"/>
                  <w:sz w:val="24"/>
                  <w:szCs w:val="24"/>
                  <w:u w:val="single"/>
                </w:rPr>
                <w:t>Sending IEVS Difference Notice</w:t>
              </w:r>
            </w:hyperlink>
          </w:p>
        </w:tc>
      </w:tr>
      <w:tr w:rsidR="00E05654" w14:paraId="52A46C82" w14:textId="77777777" w:rsidTr="009D1741">
        <w:tc>
          <w:tcPr>
            <w:tcW w:w="277" w:type="pct"/>
          </w:tcPr>
          <w:p w14:paraId="650FE9C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p>
        </w:tc>
        <w:tc>
          <w:tcPr>
            <w:tcW w:w="1167" w:type="pct"/>
          </w:tcPr>
          <w:p w14:paraId="2E8831D0"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p>
        </w:tc>
        <w:tc>
          <w:tcPr>
            <w:tcW w:w="3556" w:type="pct"/>
            <w:vAlign w:val="center"/>
          </w:tcPr>
          <w:p w14:paraId="39EBCD15"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w:t>
            </w:r>
            <w:r>
              <w:rPr>
                <w:rFonts w:ascii="Arial" w:hAnsi="Arial" w:cs="Arial"/>
                <w:b/>
                <w:bCs/>
                <w:color w:val="000000"/>
                <w:sz w:val="24"/>
                <w:szCs w:val="24"/>
              </w:rPr>
              <w:t>yes</w:t>
            </w:r>
            <w:r>
              <w:rPr>
                <w:rFonts w:ascii="Arial" w:hAnsi="Arial" w:cs="Arial"/>
                <w:color w:val="000000"/>
                <w:sz w:val="24"/>
                <w:szCs w:val="24"/>
              </w:rPr>
              <w:t xml:space="preserve">, determine if the income budgeted on MAXIS was correct.  </w:t>
            </w:r>
          </w:p>
          <w:p w14:paraId="26277446" w14:textId="77777777" w:rsidR="00E05654" w:rsidRDefault="00E05654" w:rsidP="009D1741">
            <w:pPr>
              <w:keepNext/>
              <w:keepLines/>
              <w:autoSpaceDE w:val="0"/>
              <w:autoSpaceDN w:val="0"/>
              <w:adjustRightInd w:val="0"/>
              <w:spacing w:before="240" w:after="0" w:line="240" w:lineRule="auto"/>
              <w:rPr>
                <w:rFonts w:ascii="Arial" w:hAnsi="Arial" w:cs="Arial"/>
                <w:b/>
                <w:bCs/>
                <w:color w:val="000000"/>
                <w:sz w:val="24"/>
                <w:szCs w:val="24"/>
              </w:rPr>
            </w:pPr>
            <w:r>
              <w:rPr>
                <w:rFonts w:ascii="Arial" w:hAnsi="Arial" w:cs="Arial"/>
                <w:color w:val="000000"/>
                <w:sz w:val="24"/>
                <w:szCs w:val="24"/>
              </w:rPr>
              <w:t xml:space="preserve">If the income amount from the match was known and was budgeted correctly on the case, resolve the match by coding </w:t>
            </w:r>
            <w:r>
              <w:rPr>
                <w:rFonts w:ascii="Arial" w:hAnsi="Arial" w:cs="Arial"/>
                <w:b/>
                <w:bCs/>
                <w:color w:val="000000"/>
                <w:sz w:val="24"/>
                <w:szCs w:val="24"/>
              </w:rPr>
              <w:t xml:space="preserve">BN </w:t>
            </w:r>
            <w:r>
              <w:rPr>
                <w:rFonts w:ascii="Arial" w:hAnsi="Arial" w:cs="Arial"/>
                <w:color w:val="000000"/>
                <w:sz w:val="24"/>
                <w:szCs w:val="24"/>
              </w:rPr>
              <w:t xml:space="preserve">or </w:t>
            </w:r>
            <w:r>
              <w:rPr>
                <w:rFonts w:ascii="Arial" w:hAnsi="Arial" w:cs="Arial"/>
                <w:b/>
                <w:bCs/>
                <w:color w:val="000000"/>
                <w:sz w:val="24"/>
                <w:szCs w:val="24"/>
              </w:rPr>
              <w:t>BE</w:t>
            </w:r>
          </w:p>
        </w:tc>
      </w:tr>
    </w:tbl>
    <w:p w14:paraId="08E39138" w14:textId="77777777" w:rsidR="00E05654" w:rsidRDefault="00E05654" w:rsidP="00E05654">
      <w:pPr>
        <w:autoSpaceDE w:val="0"/>
        <w:autoSpaceDN w:val="0"/>
        <w:adjustRightInd w:val="0"/>
        <w:spacing w:after="0" w:line="240" w:lineRule="auto"/>
        <w:rPr>
          <w:rFonts w:ascii="Arial" w:hAnsi="Arial" w:cs="Arial"/>
          <w:b/>
          <w:bCs/>
          <w:color w:val="000000"/>
          <w:sz w:val="24"/>
          <w:szCs w:val="24"/>
        </w:rPr>
      </w:pPr>
    </w:p>
    <w:p w14:paraId="1D46CA97" w14:textId="77777777" w:rsidR="00E05654" w:rsidRDefault="00E05654" w:rsidP="00E05654">
      <w:pPr>
        <w:autoSpaceDE w:val="0"/>
        <w:autoSpaceDN w:val="0"/>
        <w:adjustRightInd w:val="0"/>
        <w:spacing w:before="240" w:after="0" w:line="240" w:lineRule="auto"/>
        <w:rPr>
          <w:rFonts w:ascii="Trebuchet MS" w:hAnsi="Trebuchet MS" w:cs="Trebuchet MS"/>
          <w:b/>
          <w:bCs/>
          <w:color w:val="602162"/>
          <w:sz w:val="36"/>
          <w:szCs w:val="36"/>
        </w:rPr>
      </w:pPr>
    </w:p>
    <w:p w14:paraId="3FD6D401" w14:textId="77777777" w:rsidR="00E05654" w:rsidRDefault="00E05654" w:rsidP="00E05654">
      <w:pPr>
        <w:autoSpaceDE w:val="0"/>
        <w:autoSpaceDN w:val="0"/>
        <w:adjustRightInd w:val="0"/>
        <w:spacing w:before="240" w:after="0" w:line="240" w:lineRule="auto"/>
        <w:rPr>
          <w:rFonts w:ascii="Trebuchet MS" w:hAnsi="Trebuchet MS" w:cs="Trebuchet MS"/>
          <w:b/>
          <w:bCs/>
          <w:color w:val="602162"/>
          <w:sz w:val="36"/>
          <w:szCs w:val="36"/>
        </w:rPr>
      </w:pPr>
      <w:r>
        <w:rPr>
          <w:rFonts w:ascii="Trebuchet MS" w:hAnsi="Trebuchet MS" w:cs="Trebuchet MS"/>
          <w:b/>
          <w:bCs/>
          <w:color w:val="602162"/>
          <w:sz w:val="36"/>
          <w:szCs w:val="36"/>
        </w:rPr>
        <w:lastRenderedPageBreak/>
        <w:t>Pending Cases</w:t>
      </w:r>
    </w:p>
    <w:p w14:paraId="2F8FF957"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HSR Teams may receive IEVS matches on their pending cases. The Team is expected to resolve these matches, if possible, before processing the case.  Do not delay opening a case because of the IEVS match as long as the client is cooperating (CM 5.12.15.03).</w:t>
      </w:r>
    </w:p>
    <w:p w14:paraId="415D4351"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When an HSR Team discovers an IEVS match on a pending case, take the following action:</w:t>
      </w:r>
    </w:p>
    <w:p w14:paraId="31EC438F"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p>
    <w:p w14:paraId="4FE88337" w14:textId="77777777" w:rsidR="00E05654" w:rsidRDefault="00E05654" w:rsidP="00E05654">
      <w:pPr>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518"/>
        <w:gridCol w:w="11038"/>
      </w:tblGrid>
      <w:tr w:rsidR="00E05654" w14:paraId="2BE93FCB" w14:textId="77777777" w:rsidTr="009D1741">
        <w:tc>
          <w:tcPr>
            <w:tcW w:w="224" w:type="pct"/>
          </w:tcPr>
          <w:p w14:paraId="25FEACA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1.</w:t>
            </w:r>
          </w:p>
        </w:tc>
        <w:tc>
          <w:tcPr>
            <w:tcW w:w="4775" w:type="pct"/>
            <w:vAlign w:val="center"/>
          </w:tcPr>
          <w:p w14:paraId="363223B6"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Resolve the match without pursuing information if:</w:t>
            </w:r>
            <w:r>
              <w:rPr>
                <w:rFonts w:ascii="Tms Rmn" w:hAnsi="Tms Rmn" w:cs="Tms Rmn"/>
                <w:color w:val="000000"/>
                <w:sz w:val="24"/>
                <w:szCs w:val="24"/>
              </w:rPr>
              <w:t xml:space="preserve"> </w:t>
            </w:r>
          </w:p>
          <w:p w14:paraId="3C90DAEE"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560"/>
              <w:gridCol w:w="10298"/>
            </w:tblGrid>
            <w:tr w:rsidR="00E05654" w14:paraId="03AC7123" w14:textId="77777777" w:rsidTr="009D1741">
              <w:tc>
                <w:tcPr>
                  <w:tcW w:w="258" w:type="pct"/>
                  <w:tcBorders>
                    <w:top w:val="nil"/>
                    <w:left w:val="nil"/>
                    <w:bottom w:val="nil"/>
                    <w:right w:val="nil"/>
                  </w:tcBorders>
                </w:tcPr>
                <w:p w14:paraId="1C2B9FD3"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102AE924" wp14:editId="593ED12F">
                        <wp:extent cx="1143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41" w:type="pct"/>
                  <w:tcBorders>
                    <w:top w:val="nil"/>
                    <w:left w:val="nil"/>
                    <w:bottom w:val="nil"/>
                    <w:right w:val="nil"/>
                  </w:tcBorders>
                </w:tcPr>
                <w:p w14:paraId="509F207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 reported income is already verified.  </w:t>
                  </w:r>
                </w:p>
              </w:tc>
            </w:tr>
            <w:tr w:rsidR="00E05654" w14:paraId="2933DE5C" w14:textId="77777777" w:rsidTr="009D1741">
              <w:tc>
                <w:tcPr>
                  <w:tcW w:w="258" w:type="pct"/>
                  <w:tcBorders>
                    <w:top w:val="nil"/>
                    <w:left w:val="nil"/>
                    <w:bottom w:val="nil"/>
                    <w:right w:val="nil"/>
                  </w:tcBorders>
                </w:tcPr>
                <w:p w14:paraId="097CF64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59EBE060" wp14:editId="490B96B8">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741" w:type="pct"/>
                  <w:tcBorders>
                    <w:top w:val="nil"/>
                    <w:left w:val="nil"/>
                    <w:bottom w:val="nil"/>
                    <w:right w:val="nil"/>
                  </w:tcBorders>
                </w:tcPr>
                <w:p w14:paraId="1A00BBDD"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No verification of income is needed for the IEVS time period (i.e., match was for a period when case was closed.)  </w:t>
                  </w:r>
                </w:p>
              </w:tc>
            </w:tr>
          </w:tbl>
          <w:p w14:paraId="45E6376E"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37D8C93E" w14:textId="77777777" w:rsidTr="009D1741">
        <w:tc>
          <w:tcPr>
            <w:tcW w:w="224" w:type="pct"/>
          </w:tcPr>
          <w:p w14:paraId="2E41178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w:t>
            </w:r>
          </w:p>
        </w:tc>
        <w:tc>
          <w:tcPr>
            <w:tcW w:w="4775" w:type="pct"/>
            <w:vAlign w:val="center"/>
          </w:tcPr>
          <w:p w14:paraId="122F71A7"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If verification of income is needed,</w:t>
            </w:r>
            <w:r>
              <w:rPr>
                <w:rFonts w:ascii="Tms Rmn" w:hAnsi="Tms Rmn" w:cs="Tms Rmn"/>
                <w:color w:val="000000"/>
                <w:sz w:val="24"/>
                <w:szCs w:val="24"/>
              </w:rPr>
              <w:t xml:space="preserve"> </w:t>
            </w:r>
          </w:p>
          <w:p w14:paraId="4127D994"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725"/>
              <w:gridCol w:w="10133"/>
            </w:tblGrid>
            <w:tr w:rsidR="00E05654" w14:paraId="3A5D1934" w14:textId="77777777" w:rsidTr="009D1741">
              <w:tc>
                <w:tcPr>
                  <w:tcW w:w="334" w:type="pct"/>
                  <w:tcBorders>
                    <w:top w:val="nil"/>
                    <w:left w:val="nil"/>
                    <w:bottom w:val="nil"/>
                    <w:right w:val="nil"/>
                  </w:tcBorders>
                </w:tcPr>
                <w:p w14:paraId="30D2C84D"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5CA1F47F" wp14:editId="4C2D9C4E">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665" w:type="pct"/>
                  <w:tcBorders>
                    <w:top w:val="nil"/>
                    <w:left w:val="nil"/>
                    <w:bottom w:val="nil"/>
                    <w:right w:val="nil"/>
                  </w:tcBorders>
                </w:tcPr>
                <w:p w14:paraId="215AFB08"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Promptly</w:t>
                  </w:r>
                  <w:r>
                    <w:rPr>
                      <w:rFonts w:ascii="Arial" w:hAnsi="Arial" w:cs="Arial"/>
                      <w:color w:val="000000"/>
                      <w:sz w:val="24"/>
                      <w:szCs w:val="24"/>
                    </w:rPr>
                    <w:t xml:space="preserve"> send the client a Difference Notice.  See </w:t>
                  </w:r>
                  <w:hyperlink r:id="rId7" w:history="1">
                    <w:r>
                      <w:rPr>
                        <w:rFonts w:ascii="Arial" w:hAnsi="Arial" w:cs="Arial"/>
                        <w:color w:val="4141FF"/>
                        <w:sz w:val="24"/>
                        <w:szCs w:val="24"/>
                        <w:u w:val="single"/>
                      </w:rPr>
                      <w:t>Sending IEVS Difference Notice</w:t>
                    </w:r>
                  </w:hyperlink>
                  <w:r>
                    <w:rPr>
                      <w:rFonts w:ascii="Arial" w:hAnsi="Arial" w:cs="Arial"/>
                      <w:color w:val="000000"/>
                      <w:sz w:val="24"/>
                      <w:szCs w:val="24"/>
                    </w:rPr>
                    <w:t>.</w:t>
                  </w:r>
                </w:p>
              </w:tc>
            </w:tr>
          </w:tbl>
          <w:p w14:paraId="209CBBAE"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53BE0AF4" w14:textId="77777777" w:rsidTr="009D1741">
        <w:tc>
          <w:tcPr>
            <w:tcW w:w="224" w:type="pct"/>
          </w:tcPr>
          <w:p w14:paraId="12AD30DC"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w:t>
            </w:r>
          </w:p>
        </w:tc>
        <w:tc>
          <w:tcPr>
            <w:tcW w:w="4775" w:type="pct"/>
            <w:vAlign w:val="center"/>
          </w:tcPr>
          <w:p w14:paraId="1938198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the client does not respond within 10 days, </w:t>
            </w:r>
          </w:p>
          <w:p w14:paraId="18380CF6"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895"/>
              <w:gridCol w:w="9963"/>
            </w:tblGrid>
            <w:tr w:rsidR="00E05654" w14:paraId="5433AEBF" w14:textId="77777777" w:rsidTr="009D1741">
              <w:tc>
                <w:tcPr>
                  <w:tcW w:w="412" w:type="pct"/>
                  <w:tcBorders>
                    <w:top w:val="nil"/>
                    <w:left w:val="nil"/>
                    <w:bottom w:val="nil"/>
                    <w:right w:val="nil"/>
                  </w:tcBorders>
                </w:tcPr>
                <w:p w14:paraId="395606B2"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0CD232F5" wp14:editId="76F99394">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587" w:type="pct"/>
                  <w:tcBorders>
                    <w:top w:val="nil"/>
                    <w:left w:val="nil"/>
                    <w:bottom w:val="nil"/>
                    <w:right w:val="nil"/>
                  </w:tcBorders>
                </w:tcPr>
                <w:p w14:paraId="344B9F8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Deny any IEVS-related programs that are still pending</w:t>
                  </w:r>
                </w:p>
              </w:tc>
            </w:tr>
            <w:tr w:rsidR="00E05654" w14:paraId="707703B1" w14:textId="77777777" w:rsidTr="009D1741">
              <w:tc>
                <w:tcPr>
                  <w:tcW w:w="412" w:type="pct"/>
                  <w:tcBorders>
                    <w:top w:val="nil"/>
                    <w:left w:val="nil"/>
                    <w:bottom w:val="nil"/>
                    <w:right w:val="nil"/>
                  </w:tcBorders>
                </w:tcPr>
                <w:p w14:paraId="5DC3B1C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5F9F85E8" wp14:editId="05E0F9EA">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587" w:type="pct"/>
                  <w:tcBorders>
                    <w:top w:val="nil"/>
                    <w:left w:val="nil"/>
                    <w:bottom w:val="nil"/>
                    <w:right w:val="nil"/>
                  </w:tcBorders>
                </w:tcPr>
                <w:p w14:paraId="3787D159"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Close any active IEVS-related programs for the next possible month</w:t>
                  </w:r>
                </w:p>
              </w:tc>
            </w:tr>
            <w:tr w:rsidR="00E05654" w14:paraId="513A6842" w14:textId="77777777" w:rsidTr="009D1741">
              <w:tc>
                <w:tcPr>
                  <w:tcW w:w="412" w:type="pct"/>
                  <w:tcBorders>
                    <w:top w:val="nil"/>
                    <w:left w:val="nil"/>
                    <w:bottom w:val="nil"/>
                    <w:right w:val="nil"/>
                  </w:tcBorders>
                </w:tcPr>
                <w:p w14:paraId="20D59EA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22E03750" wp14:editId="0EB6BF79">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587" w:type="pct"/>
                  <w:tcBorders>
                    <w:top w:val="nil"/>
                    <w:left w:val="nil"/>
                    <w:bottom w:val="nil"/>
                    <w:right w:val="nil"/>
                  </w:tcBorders>
                </w:tcPr>
                <w:p w14:paraId="3E334DBF"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Resolve the IEVS match with code </w:t>
                  </w:r>
                  <w:r>
                    <w:rPr>
                      <w:rFonts w:ascii="Arial" w:hAnsi="Arial" w:cs="Arial"/>
                      <w:b/>
                      <w:bCs/>
                      <w:color w:val="000000"/>
                      <w:sz w:val="24"/>
                      <w:szCs w:val="24"/>
                    </w:rPr>
                    <w:t>NC</w:t>
                  </w:r>
                  <w:r>
                    <w:rPr>
                      <w:rFonts w:ascii="Arial" w:hAnsi="Arial" w:cs="Arial"/>
                      <w:color w:val="000000"/>
                      <w:sz w:val="24"/>
                      <w:szCs w:val="24"/>
                    </w:rPr>
                    <w:t xml:space="preserve"> (Non-cooperation).</w:t>
                  </w:r>
                </w:p>
              </w:tc>
            </w:tr>
          </w:tbl>
          <w:p w14:paraId="48BE9DF1"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12D1B48E" w14:textId="77777777" w:rsidTr="009D1741">
        <w:tc>
          <w:tcPr>
            <w:tcW w:w="224" w:type="pct"/>
          </w:tcPr>
          <w:p w14:paraId="3CB71BC4"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w:t>
            </w:r>
          </w:p>
        </w:tc>
        <w:tc>
          <w:tcPr>
            <w:tcW w:w="4775" w:type="pct"/>
            <w:vAlign w:val="center"/>
          </w:tcPr>
          <w:p w14:paraId="57B101F9"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the client responds to the Difference Notice by turning in a signed Authorization to Release Information </w:t>
            </w:r>
          </w:p>
          <w:p w14:paraId="3CA58A25"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997"/>
              <w:gridCol w:w="9861"/>
            </w:tblGrid>
            <w:tr w:rsidR="00E05654" w14:paraId="681427CA" w14:textId="77777777" w:rsidTr="009D1741">
              <w:tc>
                <w:tcPr>
                  <w:tcW w:w="459" w:type="pct"/>
                  <w:tcBorders>
                    <w:top w:val="nil"/>
                    <w:left w:val="nil"/>
                    <w:bottom w:val="nil"/>
                    <w:right w:val="nil"/>
                  </w:tcBorders>
                </w:tcPr>
                <w:p w14:paraId="35B17B5E"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13DC3C68" wp14:editId="03062525">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540" w:type="pct"/>
                  <w:tcBorders>
                    <w:top w:val="nil"/>
                    <w:left w:val="nil"/>
                    <w:bottom w:val="nil"/>
                    <w:right w:val="nil"/>
                  </w:tcBorders>
                </w:tcPr>
                <w:p w14:paraId="74D69B63"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Send a request for income verification to the income source.</w:t>
                  </w:r>
                </w:p>
              </w:tc>
            </w:tr>
          </w:tbl>
          <w:p w14:paraId="68474FEA"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510D7E0C" w14:textId="77777777" w:rsidTr="009D1741">
        <w:tc>
          <w:tcPr>
            <w:tcW w:w="224" w:type="pct"/>
          </w:tcPr>
          <w:p w14:paraId="12085852"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5.</w:t>
            </w:r>
          </w:p>
        </w:tc>
        <w:tc>
          <w:tcPr>
            <w:tcW w:w="4775" w:type="pct"/>
            <w:vAlign w:val="center"/>
          </w:tcPr>
          <w:p w14:paraId="6531061F"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When verification of income is received,</w:t>
            </w:r>
            <w:r>
              <w:rPr>
                <w:rFonts w:ascii="Tms Rmn" w:hAnsi="Tms Rmn" w:cs="Tms Rmn"/>
                <w:color w:val="000000"/>
                <w:sz w:val="24"/>
                <w:szCs w:val="24"/>
              </w:rPr>
              <w:t xml:space="preserve"> </w:t>
            </w:r>
          </w:p>
          <w:p w14:paraId="24C4C647"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1472"/>
              <w:gridCol w:w="9386"/>
            </w:tblGrid>
            <w:tr w:rsidR="00E05654" w14:paraId="6DD8313C" w14:textId="77777777" w:rsidTr="009D1741">
              <w:tc>
                <w:tcPr>
                  <w:tcW w:w="678" w:type="pct"/>
                  <w:tcBorders>
                    <w:top w:val="nil"/>
                    <w:left w:val="nil"/>
                    <w:bottom w:val="nil"/>
                    <w:right w:val="nil"/>
                  </w:tcBorders>
                </w:tcPr>
                <w:p w14:paraId="2BF764AA"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1DCBBB3C" wp14:editId="2BDAA885">
                        <wp:extent cx="1143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321" w:type="pct"/>
                  <w:tcBorders>
                    <w:top w:val="nil"/>
                    <w:left w:val="nil"/>
                    <w:bottom w:val="nil"/>
                    <w:right w:val="nil"/>
                  </w:tcBorders>
                </w:tcPr>
                <w:p w14:paraId="4CDDA38D"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Calculate overpayments, as applicable</w:t>
                  </w:r>
                </w:p>
              </w:tc>
            </w:tr>
            <w:tr w:rsidR="00E05654" w14:paraId="416E238E" w14:textId="77777777" w:rsidTr="009D1741">
              <w:tc>
                <w:tcPr>
                  <w:tcW w:w="678" w:type="pct"/>
                  <w:tcBorders>
                    <w:top w:val="nil"/>
                    <w:left w:val="nil"/>
                    <w:bottom w:val="nil"/>
                    <w:right w:val="nil"/>
                  </w:tcBorders>
                </w:tcPr>
                <w:p w14:paraId="19E5C2E9"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7E7FB7E0" wp14:editId="04BE0A1C">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321" w:type="pct"/>
                  <w:tcBorders>
                    <w:top w:val="nil"/>
                    <w:left w:val="nil"/>
                    <w:bottom w:val="nil"/>
                    <w:right w:val="nil"/>
                  </w:tcBorders>
                </w:tcPr>
                <w:p w14:paraId="1E731EB7"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Resolve the IEVS match</w:t>
                  </w:r>
                </w:p>
              </w:tc>
            </w:tr>
          </w:tbl>
          <w:p w14:paraId="3956C698"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bl>
    <w:p w14:paraId="0DA9817B" w14:textId="77777777" w:rsidR="00E05654" w:rsidRDefault="00E05654" w:rsidP="00E05654">
      <w:pPr>
        <w:autoSpaceDE w:val="0"/>
        <w:autoSpaceDN w:val="0"/>
        <w:adjustRightInd w:val="0"/>
        <w:spacing w:after="0" w:line="240" w:lineRule="auto"/>
        <w:rPr>
          <w:rFonts w:ascii="Helv" w:hAnsi="Helv" w:cs="Helv"/>
          <w:color w:val="000000"/>
          <w:sz w:val="20"/>
          <w:szCs w:val="20"/>
        </w:rPr>
      </w:pPr>
    </w:p>
    <w:p w14:paraId="3AD90D79" w14:textId="77777777" w:rsidR="00E05654" w:rsidRDefault="00E05654" w:rsidP="00E05654">
      <w:pPr>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p w14:paraId="33E6A0DE" w14:textId="77777777" w:rsidR="00E05654" w:rsidRDefault="00E05654" w:rsidP="00E05654">
      <w:pPr>
        <w:autoSpaceDE w:val="0"/>
        <w:autoSpaceDN w:val="0"/>
        <w:adjustRightInd w:val="0"/>
        <w:spacing w:after="0" w:line="240" w:lineRule="auto"/>
        <w:rPr>
          <w:rFonts w:ascii="Tms Rmn" w:hAnsi="Tms Rmn" w:cs="Tms Rmn"/>
          <w:color w:val="000000"/>
          <w:sz w:val="4"/>
          <w:szCs w:val="4"/>
        </w:rPr>
      </w:pPr>
    </w:p>
    <w:p w14:paraId="31B62A2F" w14:textId="77777777" w:rsidR="00E05654" w:rsidRDefault="00E05654" w:rsidP="00E05654">
      <w:pPr>
        <w:autoSpaceDE w:val="0"/>
        <w:autoSpaceDN w:val="0"/>
        <w:adjustRightInd w:val="0"/>
        <w:spacing w:after="0" w:line="240" w:lineRule="auto"/>
        <w:rPr>
          <w:rFonts w:ascii="Trebuchet MS" w:hAnsi="Trebuchet MS" w:cs="Trebuchet MS"/>
          <w:b/>
          <w:bCs/>
          <w:color w:val="602162"/>
          <w:sz w:val="36"/>
          <w:szCs w:val="36"/>
        </w:rPr>
      </w:pPr>
      <w:r>
        <w:rPr>
          <w:rFonts w:ascii="Trebuchet MS" w:hAnsi="Trebuchet MS" w:cs="Trebuchet MS"/>
          <w:b/>
          <w:bCs/>
          <w:color w:val="602162"/>
          <w:sz w:val="36"/>
          <w:szCs w:val="36"/>
        </w:rPr>
        <w:t>Closed Cases</w:t>
      </w:r>
    </w:p>
    <w:p w14:paraId="347D1621"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IEVS Match – BC Resolution Code on a Closed Case</w:t>
      </w:r>
    </w:p>
    <w:p w14:paraId="3DC6CDA6"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IEVS matches may sometimes appear on cases that are about to close and cases that are closed. IEVS matches may be generated for MFIP, MA, or SNAP programs even if those programs are not currently active (but were active during the match period).</w:t>
      </w:r>
    </w:p>
    <w:p w14:paraId="0ECC3518"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If a program included in a match is inactive at the time the match is generated it is acceptable to use resolution code BC for an IEVS match on a closed case. However, there are some important things to note if you should choose to do so.</w:t>
      </w:r>
    </w:p>
    <w:p w14:paraId="4B1DA0C0"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 xml:space="preserve">If BC is used, it is essential to add a CASE/NOTE that clearly states that BC was used for the IEVS match and the match MUST be resolved BEFORE the </w:t>
      </w:r>
      <w:r>
        <w:rPr>
          <w:rFonts w:ascii="Arial" w:hAnsi="Arial" w:cs="Arial"/>
          <w:b/>
          <w:bCs/>
          <w:color w:val="000000"/>
          <w:sz w:val="24"/>
          <w:szCs w:val="24"/>
        </w:rPr>
        <w:t>client</w:t>
      </w:r>
      <w:r>
        <w:rPr>
          <w:rFonts w:ascii="Arial" w:hAnsi="Arial" w:cs="Arial"/>
          <w:color w:val="000000"/>
          <w:sz w:val="24"/>
          <w:szCs w:val="24"/>
        </w:rPr>
        <w:t xml:space="preserve"> is eligible to receive ANY assistance that they apply for in the future. The IEVS Match will not pop up again if the client applies for assistance in the future so that is why it is important to flag the case using a CASE/NOTE. (Please note that this applies to any program the client applies for regardless what program actually displayed the IEVS match.)</w:t>
      </w:r>
    </w:p>
    <w:p w14:paraId="4AACC715"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lastRenderedPageBreak/>
        <w:t>Using the BC resolution code WILL make the IEVS match drop off the IEVS due/overdue lists.</w:t>
      </w:r>
    </w:p>
    <w:p w14:paraId="615E4898" w14:textId="77777777" w:rsidR="00E05654" w:rsidRDefault="00E05654" w:rsidP="00E05654">
      <w:pPr>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Listed below are three common "closed program" situations, and the procedures involved in each.</w:t>
      </w:r>
    </w:p>
    <w:p w14:paraId="7913D27F" w14:textId="77777777" w:rsidR="00E05654" w:rsidRDefault="00E05654" w:rsidP="00E05654">
      <w:pPr>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11556"/>
      </w:tblGrid>
      <w:tr w:rsidR="00E05654" w14:paraId="15A69AE1" w14:textId="77777777" w:rsidTr="009D1741">
        <w:tc>
          <w:tcPr>
            <w:tcW w:w="5000" w:type="pct"/>
          </w:tcPr>
          <w:p w14:paraId="087F45D4"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1.</w:t>
            </w:r>
          </w:p>
        </w:tc>
      </w:tr>
      <w:tr w:rsidR="00E05654" w14:paraId="43EA7D70" w14:textId="77777777" w:rsidTr="009D1741">
        <w:tc>
          <w:tcPr>
            <w:tcW w:w="5000" w:type="pct"/>
            <w:vAlign w:val="center"/>
          </w:tcPr>
          <w:p w14:paraId="33905A7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IEVS match appears on worker's DAIL/DAIL prior to the effective date of termination:</w:t>
            </w:r>
          </w:p>
        </w:tc>
      </w:tr>
    </w:tbl>
    <w:p w14:paraId="15DB0A1B" w14:textId="77777777" w:rsidR="00E05654" w:rsidRDefault="00E05654" w:rsidP="00E05654">
      <w:pPr>
        <w:autoSpaceDE w:val="0"/>
        <w:autoSpaceDN w:val="0"/>
        <w:adjustRightInd w:val="0"/>
        <w:spacing w:after="0" w:line="240" w:lineRule="auto"/>
        <w:rPr>
          <w:rFonts w:ascii="Arial" w:hAnsi="Arial" w:cs="Arial"/>
          <w:color w:val="000000"/>
          <w:sz w:val="24"/>
          <w:szCs w:val="24"/>
        </w:rPr>
      </w:pPr>
    </w:p>
    <w:p w14:paraId="0F1F6E2D" w14:textId="77777777" w:rsidR="00E05654" w:rsidRDefault="00E05654" w:rsidP="00E05654">
      <w:pPr>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451"/>
        <w:gridCol w:w="550"/>
        <w:gridCol w:w="10555"/>
      </w:tblGrid>
      <w:tr w:rsidR="00E05654" w14:paraId="27B08754" w14:textId="77777777" w:rsidTr="009D1741">
        <w:tc>
          <w:tcPr>
            <w:tcW w:w="195" w:type="pct"/>
            <w:vAlign w:val="center"/>
          </w:tcPr>
          <w:p w14:paraId="43D268F3"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p>
        </w:tc>
        <w:tc>
          <w:tcPr>
            <w:tcW w:w="238" w:type="pct"/>
          </w:tcPr>
          <w:p w14:paraId="7A10F962" w14:textId="77777777" w:rsidR="00E05654" w:rsidRDefault="00E05654" w:rsidP="009D1741">
            <w:pPr>
              <w:keepNext/>
              <w:keepLines/>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A.</w:t>
            </w:r>
          </w:p>
        </w:tc>
        <w:tc>
          <w:tcPr>
            <w:tcW w:w="4565" w:type="pct"/>
            <w:vAlign w:val="center"/>
          </w:tcPr>
          <w:p w14:paraId="783C0CE6"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If any program is remaining open, process the match:</w:t>
            </w:r>
            <w:r>
              <w:rPr>
                <w:rFonts w:ascii="Tms Rmn" w:hAnsi="Tms Rmn" w:cs="Tms Rmn"/>
                <w:color w:val="000000"/>
                <w:sz w:val="24"/>
                <w:szCs w:val="24"/>
              </w:rPr>
              <w:t xml:space="preserve"> </w:t>
            </w:r>
          </w:p>
          <w:p w14:paraId="32C7CDC4"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305"/>
              <w:gridCol w:w="10070"/>
            </w:tblGrid>
            <w:tr w:rsidR="00E05654" w14:paraId="78D7480E" w14:textId="77777777" w:rsidTr="009D1741">
              <w:tc>
                <w:tcPr>
                  <w:tcW w:w="147" w:type="pct"/>
                  <w:tcBorders>
                    <w:top w:val="nil"/>
                    <w:left w:val="nil"/>
                    <w:bottom w:val="nil"/>
                    <w:right w:val="nil"/>
                  </w:tcBorders>
                </w:tcPr>
                <w:p w14:paraId="362D9592"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09967FDC" wp14:editId="6DB3CA6D">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852" w:type="pct"/>
                  <w:tcBorders>
                    <w:top w:val="nil"/>
                    <w:left w:val="nil"/>
                    <w:bottom w:val="nil"/>
                    <w:right w:val="nil"/>
                  </w:tcBorders>
                </w:tcPr>
                <w:p w14:paraId="0DCFD2D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Initiate verification process and send Difference Notice if appropriate.</w:t>
                  </w:r>
                </w:p>
              </w:tc>
            </w:tr>
            <w:tr w:rsidR="00E05654" w14:paraId="6B188CD0" w14:textId="77777777" w:rsidTr="009D1741">
              <w:tc>
                <w:tcPr>
                  <w:tcW w:w="147" w:type="pct"/>
                  <w:tcBorders>
                    <w:top w:val="nil"/>
                    <w:left w:val="nil"/>
                    <w:bottom w:val="nil"/>
                    <w:right w:val="nil"/>
                  </w:tcBorders>
                </w:tcPr>
                <w:p w14:paraId="75F440C3"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25699795" wp14:editId="5EE8FCD4">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852" w:type="pct"/>
                  <w:tcBorders>
                    <w:top w:val="nil"/>
                    <w:left w:val="nil"/>
                    <w:bottom w:val="nil"/>
                    <w:right w:val="nil"/>
                  </w:tcBorders>
                </w:tcPr>
                <w:p w14:paraId="36656676"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Transfer the case if needed, but you must start the process before transferring (i.e., research match on MAXIS and send Difference Notice if appropriate).</w:t>
                  </w:r>
                </w:p>
              </w:tc>
            </w:tr>
            <w:tr w:rsidR="00E05654" w14:paraId="2340FA1D" w14:textId="77777777" w:rsidTr="009D1741">
              <w:tc>
                <w:tcPr>
                  <w:tcW w:w="147" w:type="pct"/>
                  <w:tcBorders>
                    <w:top w:val="nil"/>
                    <w:left w:val="nil"/>
                    <w:bottom w:val="nil"/>
                    <w:right w:val="nil"/>
                  </w:tcBorders>
                </w:tcPr>
                <w:p w14:paraId="27DF0080"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2B3838B8" wp14:editId="26E4AD4F">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852" w:type="pct"/>
                  <w:tcBorders>
                    <w:top w:val="nil"/>
                    <w:left w:val="nil"/>
                    <w:bottom w:val="nil"/>
                    <w:right w:val="nil"/>
                  </w:tcBorders>
                </w:tcPr>
                <w:p w14:paraId="3122E892"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worker who has the case at the time verification of the income is received should complete the IEVS process (resolve the match, enter claims, etc.). If verification is not received, the worker who has the case at the time the verifications are due must initiate the closing process for affected programs.</w:t>
                  </w:r>
                </w:p>
              </w:tc>
            </w:tr>
          </w:tbl>
          <w:p w14:paraId="0EC7F28B"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E05654" w14:paraId="75739C70" w14:textId="77777777" w:rsidTr="009D1741">
        <w:tc>
          <w:tcPr>
            <w:tcW w:w="195" w:type="pct"/>
            <w:vAlign w:val="center"/>
          </w:tcPr>
          <w:p w14:paraId="3A446A46"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p>
        </w:tc>
        <w:tc>
          <w:tcPr>
            <w:tcW w:w="238" w:type="pct"/>
          </w:tcPr>
          <w:p w14:paraId="6DADC137" w14:textId="77777777" w:rsidR="00E05654" w:rsidRDefault="00E05654" w:rsidP="009D1741">
            <w:pPr>
              <w:keepNext/>
              <w:keepLines/>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B.</w:t>
            </w:r>
          </w:p>
        </w:tc>
        <w:tc>
          <w:tcPr>
            <w:tcW w:w="4565" w:type="pct"/>
            <w:vAlign w:val="center"/>
          </w:tcPr>
          <w:p w14:paraId="3DDA4741" w14:textId="77777777" w:rsidR="00E05654" w:rsidRDefault="00E05654" w:rsidP="009D1741">
            <w:pPr>
              <w:keepNext/>
              <w:keepLines/>
              <w:autoSpaceDE w:val="0"/>
              <w:autoSpaceDN w:val="0"/>
              <w:adjustRightInd w:val="0"/>
              <w:spacing w:after="0" w:line="240" w:lineRule="auto"/>
              <w:rPr>
                <w:rFonts w:ascii="Tms Rmn" w:hAnsi="Tms Rmn" w:cs="Tms Rmn"/>
                <w:color w:val="000000"/>
                <w:sz w:val="24"/>
                <w:szCs w:val="24"/>
              </w:rPr>
            </w:pPr>
            <w:r>
              <w:rPr>
                <w:rFonts w:ascii="Arial" w:hAnsi="Arial" w:cs="Arial"/>
                <w:color w:val="000000"/>
                <w:sz w:val="24"/>
                <w:szCs w:val="24"/>
              </w:rPr>
              <w:t xml:space="preserve">If </w:t>
            </w:r>
            <w:r>
              <w:rPr>
                <w:rFonts w:ascii="Arial" w:hAnsi="Arial" w:cs="Arial"/>
                <w:color w:val="000000"/>
                <w:sz w:val="24"/>
                <w:szCs w:val="24"/>
                <w:u w:val="single"/>
              </w:rPr>
              <w:t>all</w:t>
            </w:r>
            <w:r>
              <w:rPr>
                <w:rFonts w:ascii="Arial" w:hAnsi="Arial" w:cs="Arial"/>
                <w:color w:val="000000"/>
                <w:sz w:val="24"/>
                <w:szCs w:val="24"/>
              </w:rPr>
              <w:t xml:space="preserve"> programs are closing, wait to see if the case remains closed before taking any action (i.e., wait a few days after the effective date of closing before taking any action).</w:t>
            </w:r>
            <w:r>
              <w:rPr>
                <w:rFonts w:ascii="Tms Rmn" w:hAnsi="Tms Rmn" w:cs="Tms Rmn"/>
                <w:color w:val="000000"/>
                <w:sz w:val="24"/>
                <w:szCs w:val="24"/>
              </w:rPr>
              <w:t xml:space="preserve"> </w:t>
            </w:r>
          </w:p>
          <w:p w14:paraId="79EC4E38"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A0" w:firstRow="1" w:lastRow="0" w:firstColumn="1" w:lastColumn="0" w:noHBand="0" w:noVBand="0"/>
            </w:tblPr>
            <w:tblGrid>
              <w:gridCol w:w="629"/>
              <w:gridCol w:w="9746"/>
            </w:tblGrid>
            <w:tr w:rsidR="00E05654" w14:paraId="7FD53131" w14:textId="77777777" w:rsidTr="009D1741">
              <w:tc>
                <w:tcPr>
                  <w:tcW w:w="303" w:type="pct"/>
                  <w:tcBorders>
                    <w:top w:val="nil"/>
                    <w:left w:val="nil"/>
                    <w:bottom w:val="nil"/>
                    <w:right w:val="nil"/>
                  </w:tcBorders>
                </w:tcPr>
                <w:p w14:paraId="7981B0BA"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noProof/>
                      <w:color w:val="000000"/>
                      <w:sz w:val="4"/>
                      <w:szCs w:val="4"/>
                    </w:rPr>
                    <w:drawing>
                      <wp:inline distT="0" distB="0" distL="0" distR="0" wp14:anchorId="2DD96799" wp14:editId="08681F65">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696" w:type="pct"/>
                  <w:tcBorders>
                    <w:top w:val="nil"/>
                    <w:left w:val="nil"/>
                    <w:bottom w:val="nil"/>
                    <w:right w:val="nil"/>
                  </w:tcBorders>
                </w:tcPr>
                <w:p w14:paraId="7F65CF78"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If the case reopens, begin the IEVS process and resolve the match.</w:t>
                  </w:r>
                </w:p>
              </w:tc>
            </w:tr>
            <w:tr w:rsidR="00E05654" w14:paraId="5BDDD5D5" w14:textId="77777777" w:rsidTr="009D1741">
              <w:tc>
                <w:tcPr>
                  <w:tcW w:w="303" w:type="pct"/>
                  <w:tcBorders>
                    <w:top w:val="nil"/>
                    <w:left w:val="nil"/>
                    <w:bottom w:val="nil"/>
                    <w:right w:val="nil"/>
                  </w:tcBorders>
                </w:tcPr>
                <w:p w14:paraId="30CD15B8"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1D890BC2" wp14:editId="2D94CF72">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4696" w:type="pct"/>
                  <w:tcBorders>
                    <w:top w:val="nil"/>
                    <w:left w:val="nil"/>
                    <w:bottom w:val="nil"/>
                    <w:right w:val="nil"/>
                  </w:tcBorders>
                </w:tcPr>
                <w:p w14:paraId="46C7037E"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If the case remains closed, resolve the match with code </w:t>
                  </w:r>
                  <w:r>
                    <w:rPr>
                      <w:rFonts w:ascii="Arial" w:hAnsi="Arial" w:cs="Arial"/>
                      <w:b/>
                      <w:bCs/>
                      <w:color w:val="000000"/>
                      <w:sz w:val="24"/>
                      <w:szCs w:val="24"/>
                    </w:rPr>
                    <w:t>BC</w:t>
                  </w:r>
                  <w:r>
                    <w:rPr>
                      <w:rFonts w:ascii="Arial" w:hAnsi="Arial" w:cs="Arial"/>
                      <w:color w:val="000000"/>
                      <w:sz w:val="24"/>
                      <w:szCs w:val="24"/>
                    </w:rPr>
                    <w:t xml:space="preserve"> and enter appropriate case notes.</w:t>
                  </w:r>
                </w:p>
              </w:tc>
            </w:tr>
          </w:tbl>
          <w:p w14:paraId="68613D25" w14:textId="77777777" w:rsidR="00E05654" w:rsidRDefault="00E05654" w:rsidP="009D1741">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bl>
    <w:p w14:paraId="6F457962" w14:textId="77777777" w:rsidR="00E05654" w:rsidRDefault="00E05654" w:rsidP="00E05654">
      <w:pPr>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518"/>
        <w:gridCol w:w="11038"/>
      </w:tblGrid>
      <w:tr w:rsidR="00E05654" w14:paraId="57D5AD38" w14:textId="77777777" w:rsidTr="009D1741">
        <w:tc>
          <w:tcPr>
            <w:tcW w:w="224" w:type="pct"/>
          </w:tcPr>
          <w:p w14:paraId="574E98D0"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w:t>
            </w:r>
          </w:p>
        </w:tc>
        <w:tc>
          <w:tcPr>
            <w:tcW w:w="4775" w:type="pct"/>
            <w:vAlign w:val="center"/>
          </w:tcPr>
          <w:p w14:paraId="7D495945"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IEVS match received for active programs; match also includes program that was active during match period but is currently inactive. (For example, MFIP/MA open from 1/98 through 4/98, MFIP closed, MA/FS have continued; match is for a quarter MFIP was open). </w:t>
            </w:r>
          </w:p>
          <w:p w14:paraId="01F2B9FC" w14:textId="77777777" w:rsidR="00E05654" w:rsidRDefault="00E05654" w:rsidP="009D1741">
            <w:pPr>
              <w:keepNext/>
              <w:keepLines/>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Worker who has the case at the time the match is received should process the match as follows:</w:t>
            </w:r>
          </w:p>
        </w:tc>
      </w:tr>
    </w:tbl>
    <w:p w14:paraId="3B6331C9" w14:textId="77777777" w:rsidR="00E05654" w:rsidRDefault="00E05654" w:rsidP="00E05654">
      <w:pPr>
        <w:autoSpaceDE w:val="0"/>
        <w:autoSpaceDN w:val="0"/>
        <w:adjustRightInd w:val="0"/>
        <w:spacing w:after="0" w:line="240" w:lineRule="auto"/>
        <w:rPr>
          <w:rFonts w:ascii="Arial" w:hAnsi="Arial" w:cs="Arial"/>
          <w:color w:val="000000"/>
          <w:sz w:val="24"/>
          <w:szCs w:val="24"/>
        </w:rPr>
      </w:pPr>
    </w:p>
    <w:p w14:paraId="6779C0D6" w14:textId="77777777" w:rsidR="00E05654" w:rsidRDefault="00E05654" w:rsidP="00E05654">
      <w:pPr>
        <w:autoSpaceDE w:val="0"/>
        <w:autoSpaceDN w:val="0"/>
        <w:adjustRightInd w:val="0"/>
        <w:spacing w:after="0" w:line="240" w:lineRule="auto"/>
        <w:rPr>
          <w:rFonts w:ascii="Tms Rmn" w:hAnsi="Tms Rmn" w:cs="Tms Rmn"/>
          <w:color w:val="000000"/>
          <w:sz w:val="4"/>
          <w:szCs w:val="4"/>
        </w:rPr>
      </w:pPr>
    </w:p>
    <w:tbl>
      <w:tblPr>
        <w:tblW w:w="5000" w:type="pct"/>
        <w:tblLayout w:type="fixed"/>
        <w:tblCellMar>
          <w:top w:w="90" w:type="dxa"/>
          <w:left w:w="90" w:type="dxa"/>
          <w:bottom w:w="90" w:type="dxa"/>
          <w:right w:w="90" w:type="dxa"/>
        </w:tblCellMar>
        <w:tblLook w:val="00A0" w:firstRow="1" w:lastRow="0" w:firstColumn="1" w:lastColumn="0" w:noHBand="0" w:noVBand="0"/>
      </w:tblPr>
      <w:tblGrid>
        <w:gridCol w:w="451"/>
        <w:gridCol w:w="67"/>
        <w:gridCol w:w="483"/>
        <w:gridCol w:w="10555"/>
      </w:tblGrid>
      <w:tr w:rsidR="00E05654" w14:paraId="26C1FD96" w14:textId="77777777" w:rsidTr="00E05654">
        <w:tc>
          <w:tcPr>
            <w:tcW w:w="195" w:type="pct"/>
            <w:vAlign w:val="center"/>
          </w:tcPr>
          <w:p w14:paraId="44E7C342" w14:textId="77777777" w:rsidR="00E05654" w:rsidRDefault="00E05654" w:rsidP="009D1741">
            <w:pPr>
              <w:keepNext/>
              <w:keepLines/>
              <w:autoSpaceDE w:val="0"/>
              <w:autoSpaceDN w:val="0"/>
              <w:adjustRightInd w:val="0"/>
              <w:spacing w:after="0" w:line="240" w:lineRule="auto"/>
              <w:rPr>
                <w:rFonts w:ascii="Tms Rmn" w:hAnsi="Tms Rmn" w:cs="Tms Rmn"/>
                <w:color w:val="000000"/>
                <w:sz w:val="4"/>
                <w:szCs w:val="4"/>
              </w:rPr>
            </w:pPr>
          </w:p>
        </w:tc>
        <w:tc>
          <w:tcPr>
            <w:tcW w:w="238" w:type="pct"/>
            <w:gridSpan w:val="2"/>
          </w:tcPr>
          <w:p w14:paraId="0A3A9BF0" w14:textId="77777777" w:rsidR="00E05654" w:rsidRDefault="00E05654" w:rsidP="009D1741">
            <w:pPr>
              <w:keepNext/>
              <w:keepLines/>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A.</w:t>
            </w:r>
          </w:p>
        </w:tc>
        <w:tc>
          <w:tcPr>
            <w:tcW w:w="4567" w:type="pct"/>
            <w:vAlign w:val="center"/>
          </w:tcPr>
          <w:p w14:paraId="057CFB5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For the currently active program(s), process the match according to the program's requirements and resolve it using the appropriate code.</w:t>
            </w:r>
          </w:p>
        </w:tc>
      </w:tr>
      <w:tr w:rsidR="00E05654" w14:paraId="4DC36F12" w14:textId="77777777" w:rsidTr="00E05654">
        <w:tc>
          <w:tcPr>
            <w:tcW w:w="195" w:type="pct"/>
            <w:vAlign w:val="center"/>
          </w:tcPr>
          <w:p w14:paraId="7B2A2EF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p>
        </w:tc>
        <w:tc>
          <w:tcPr>
            <w:tcW w:w="238" w:type="pct"/>
            <w:gridSpan w:val="2"/>
          </w:tcPr>
          <w:p w14:paraId="1C57D062" w14:textId="77777777" w:rsidR="00E05654" w:rsidRDefault="00E05654" w:rsidP="009D1741">
            <w:pPr>
              <w:keepNext/>
              <w:keepLines/>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B.</w:t>
            </w:r>
          </w:p>
        </w:tc>
        <w:tc>
          <w:tcPr>
            <w:tcW w:w="4567" w:type="pct"/>
            <w:vAlign w:val="center"/>
          </w:tcPr>
          <w:p w14:paraId="6FE20AC1"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For the currently inactive program, code the match as resolved with code </w:t>
            </w:r>
            <w:r>
              <w:rPr>
                <w:rFonts w:ascii="Arial" w:hAnsi="Arial" w:cs="Arial"/>
                <w:b/>
                <w:bCs/>
                <w:color w:val="000000"/>
                <w:sz w:val="24"/>
                <w:szCs w:val="24"/>
              </w:rPr>
              <w:t>BC</w:t>
            </w:r>
            <w:r>
              <w:rPr>
                <w:rFonts w:ascii="Arial" w:hAnsi="Arial" w:cs="Arial"/>
                <w:color w:val="000000"/>
                <w:sz w:val="24"/>
                <w:szCs w:val="24"/>
              </w:rPr>
              <w:t xml:space="preserve"> and enter a case note explaining the action.</w:t>
            </w:r>
          </w:p>
        </w:tc>
      </w:tr>
      <w:tr w:rsidR="00E05654" w14:paraId="6706AC6C" w14:textId="77777777" w:rsidTr="00E05654">
        <w:tc>
          <w:tcPr>
            <w:tcW w:w="224" w:type="pct"/>
            <w:gridSpan w:val="2"/>
          </w:tcPr>
          <w:p w14:paraId="5D88E12D"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w:t>
            </w:r>
          </w:p>
        </w:tc>
        <w:tc>
          <w:tcPr>
            <w:tcW w:w="4776" w:type="pct"/>
            <w:gridSpan w:val="2"/>
            <w:vAlign w:val="center"/>
          </w:tcPr>
          <w:p w14:paraId="67335ACE" w14:textId="77777777" w:rsidR="00E05654" w:rsidRDefault="00E05654" w:rsidP="009D1741">
            <w:pPr>
              <w:keepNext/>
              <w:keepLine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Match is for period of time when case was active in FAD but case is now active in another division; </w:t>
            </w:r>
          </w:p>
          <w:p w14:paraId="382F7A69" w14:textId="77777777" w:rsidR="00E05654" w:rsidRDefault="00E05654" w:rsidP="009D1741">
            <w:pPr>
              <w:keepNext/>
              <w:keepLines/>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or...</w:t>
            </w:r>
          </w:p>
          <w:p w14:paraId="1077E55D" w14:textId="77777777" w:rsidR="00E05654" w:rsidRDefault="00E05654" w:rsidP="009D1741">
            <w:pPr>
              <w:keepNext/>
              <w:keepLines/>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Case is currently active in FAD but match is for period of time when case was open in another division.</w:t>
            </w:r>
          </w:p>
          <w:p w14:paraId="62A6E4BE" w14:textId="77777777" w:rsidR="00E05654" w:rsidRDefault="00E05654" w:rsidP="009D1741">
            <w:pPr>
              <w:keepNext/>
              <w:keepLines/>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 xml:space="preserve">Current division worker (at the time the match is received) should code the match as resolved with no savings (using code </w:t>
            </w:r>
            <w:r>
              <w:rPr>
                <w:rFonts w:ascii="Arial" w:hAnsi="Arial" w:cs="Arial"/>
                <w:b/>
                <w:bCs/>
                <w:color w:val="000000"/>
                <w:sz w:val="24"/>
                <w:szCs w:val="24"/>
              </w:rPr>
              <w:t>BC</w:t>
            </w:r>
            <w:r>
              <w:rPr>
                <w:rFonts w:ascii="Arial" w:hAnsi="Arial" w:cs="Arial"/>
                <w:color w:val="000000"/>
                <w:sz w:val="24"/>
                <w:szCs w:val="24"/>
              </w:rPr>
              <w:t>) on programs that are currently inactive, leaving a case note for the other division to be aware of possible overpayments if the client reapplies for that program.</w:t>
            </w:r>
          </w:p>
          <w:p w14:paraId="37A24390" w14:textId="77777777" w:rsidR="00E05654" w:rsidRDefault="00E05654" w:rsidP="009D1741">
            <w:pPr>
              <w:keepNext/>
              <w:keepLines/>
              <w:autoSpaceDE w:val="0"/>
              <w:autoSpaceDN w:val="0"/>
              <w:adjustRightInd w:val="0"/>
              <w:spacing w:before="240" w:after="0" w:line="240" w:lineRule="auto"/>
              <w:rPr>
                <w:rFonts w:ascii="Arial" w:hAnsi="Arial" w:cs="Arial"/>
                <w:color w:val="000000"/>
                <w:sz w:val="24"/>
                <w:szCs w:val="24"/>
              </w:rPr>
            </w:pPr>
            <w:r>
              <w:rPr>
                <w:rFonts w:ascii="Arial" w:hAnsi="Arial" w:cs="Arial"/>
                <w:color w:val="000000"/>
                <w:sz w:val="24"/>
                <w:szCs w:val="24"/>
              </w:rPr>
              <w:t>For programs that are still active (most likely FS or MA), the current worker should investigate the match and resolve the match based on the outcome of the investigation.</w:t>
            </w:r>
          </w:p>
        </w:tc>
      </w:tr>
    </w:tbl>
    <w:p w14:paraId="0611A585" w14:textId="77777777" w:rsidR="00CA6DF6" w:rsidRDefault="00692C4C"/>
    <w:sectPr w:rsidR="00CA6DF6" w:rsidSect="00E0565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654"/>
    <w:rsid w:val="0047521D"/>
    <w:rsid w:val="00692C4C"/>
    <w:rsid w:val="00B90F91"/>
    <w:rsid w:val="00E0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3D24"/>
  <w15:docId w15:val="{BA5825A9-AB51-4D37-9EA9-53192630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www1/eaadad/files/ievs/ievs_difference_noti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www1/eaadad/files/ievs/ievs_difference_notice.ht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2</cp:revision>
  <dcterms:created xsi:type="dcterms:W3CDTF">2022-01-25T19:46:00Z</dcterms:created>
  <dcterms:modified xsi:type="dcterms:W3CDTF">2022-01-25T19:46:00Z</dcterms:modified>
</cp:coreProperties>
</file>