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478A"/>
          <w:sz w:val="44"/>
        </w:rPr>
        <w:t>MIMAC分子数据的聚类筛选与结构探索</w:t>
      </w:r>
    </w:p>
    <w:p>
      <w:pPr>
        <w:jc w:val="center"/>
      </w:pPr>
      <w:r>
        <w:rPr>
          <w:color w:val="555555"/>
          <w:sz w:val="28"/>
        </w:rPr>
        <w:t>—— 问题1：DBSCAN空间聚类与活性加权区域识别</w:t>
      </w:r>
    </w:p>
    <w:p/>
    <w:p>
      <w:pPr>
        <w:jc w:val="center"/>
      </w:pPr>
      <w:r>
        <w:rPr>
          <w:sz w:val="24"/>
        </w:rPr>
        <w:t>MIMAC分子数据的聚类筛选与结构探索</w:t>
      </w:r>
    </w:p>
    <w:p>
      <w:r>
        <w:br w:type="page"/>
      </w:r>
    </w:p>
    <w:p>
      <w:pPr>
        <w:pStyle w:val="Heading1"/>
      </w:pPr>
      <w:r>
        <w:t>一、问题重述</w:t>
      </w:r>
    </w:p>
    <w:p>
      <w:r>
        <w:t>在药物研发中，研究者需要从大量候选分子中筛选出具有高生物活性的分子进行进一步实验。MIMAC数据集提供了325个分子在二维流形空间中的坐标、生物活性得分、多种理化指标，以及分子间的kNN结构相似图。</w:t>
      </w:r>
    </w:p>
    <w:p>
      <w:r>
        <w:t>问题1要求：建立数学模型对分子在二维流形空间中的分布进行分析，识别"高活性密集区域"和"普通区域"。需要说明聚类依据，比较不同区域在活性得分、相似关系、理化指标上的差异，并挑选代表性分子说明合理性。</w:t>
      </w:r>
    </w:p>
    <w:p>
      <w:r>
        <w:t>关键约束：不得直接使用无解释的机器学习模型作为黑箱模型；需遵守《全国大学生数学建模竞赛人工智能工具使用规定（2025）》的要求。</w:t>
      </w:r>
    </w:p>
    <w:p>
      <w:pPr>
        <w:pStyle w:val="Heading1"/>
      </w:pPr>
      <w:r>
        <w:t>二、数据概览</w:t>
      </w:r>
    </w:p>
    <w:p>
      <w:r>
        <w:t>附件1包含325个分子的12个变量：ID、SMILES字符串、Manifold_X/Manifold_Y（二维空间坐标）、Bioactivity_Score（生物活性得分）、LogP（亲脂性）、TPSA（极性表面积）、MolWt（分子量）、Dipole_Proxy（偶极代理指标）、Max_Partial_Charge（最大局部电荷）、Balaban_J（拓扑结构指数）、Bertz_CT（结构复杂度指数）。</w:t>
      </w:r>
    </w:p>
    <w:p>
      <w:r>
        <w:t>附件2包含1625条kNN图的边（Source→Target, Tanimoto_Similarity），覆盖325个源节点和307个目标节点。</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变量</w:t>
            </w:r>
          </w:p>
        </w:tc>
        <w:tc>
          <w:tcPr>
            <w:tcW w:type="dxa" w:w="2160"/>
          </w:tcPr>
          <w:p>
            <w:r>
              <w:t>均值</w:t>
            </w:r>
          </w:p>
        </w:tc>
        <w:tc>
          <w:tcPr>
            <w:tcW w:type="dxa" w:w="2160"/>
          </w:tcPr>
          <w:p>
            <w:r>
              <w:t>标准差</w:t>
            </w:r>
          </w:p>
        </w:tc>
        <w:tc>
          <w:tcPr>
            <w:tcW w:type="dxa" w:w="2160"/>
          </w:tcPr>
          <w:p>
            <w:r>
              <w:t>范围</w:t>
            </w:r>
          </w:p>
        </w:tc>
      </w:tr>
      <w:tr>
        <w:tc>
          <w:tcPr>
            <w:tcW w:type="dxa" w:w="2160"/>
          </w:tcPr>
          <w:p>
            <w:r>
              <w:t>Bioactivity_Score</w:t>
            </w:r>
          </w:p>
        </w:tc>
        <w:tc>
          <w:tcPr>
            <w:tcW w:type="dxa" w:w="2160"/>
          </w:tcPr>
          <w:p>
            <w:r>
              <w:t>4.646</w:t>
            </w:r>
          </w:p>
        </w:tc>
        <w:tc>
          <w:tcPr>
            <w:tcW w:type="dxa" w:w="2160"/>
          </w:tcPr>
          <w:p>
            <w:r>
              <w:t>1.848</w:t>
            </w:r>
          </w:p>
        </w:tc>
        <w:tc>
          <w:tcPr>
            <w:tcW w:type="dxa" w:w="2160"/>
          </w:tcPr>
          <w:p>
            <w:r>
              <w:t>0.00 ~ 10.00</w:t>
            </w:r>
          </w:p>
        </w:tc>
      </w:tr>
      <w:tr>
        <w:tc>
          <w:tcPr>
            <w:tcW w:type="dxa" w:w="2160"/>
          </w:tcPr>
          <w:p>
            <w:r>
              <w:t>Manifold_X</w:t>
            </w:r>
          </w:p>
        </w:tc>
        <w:tc>
          <w:tcPr>
            <w:tcW w:type="dxa" w:w="2160"/>
          </w:tcPr>
          <w:p>
            <w:r>
              <w:t>6.524</w:t>
            </w:r>
          </w:p>
        </w:tc>
        <w:tc>
          <w:tcPr>
            <w:tcW w:type="dxa" w:w="2160"/>
          </w:tcPr>
          <w:p>
            <w:r>
              <w:t>8.266</w:t>
            </w:r>
          </w:p>
        </w:tc>
        <w:tc>
          <w:tcPr>
            <w:tcW w:type="dxa" w:w="2160"/>
          </w:tcPr>
          <w:p>
            <w:r>
              <w:t>-11.96 ~ 23.21</w:t>
            </w:r>
          </w:p>
        </w:tc>
      </w:tr>
      <w:tr>
        <w:tc>
          <w:tcPr>
            <w:tcW w:type="dxa" w:w="2160"/>
          </w:tcPr>
          <w:p>
            <w:r>
              <w:t>Manifold_Y</w:t>
            </w:r>
          </w:p>
        </w:tc>
        <w:tc>
          <w:tcPr>
            <w:tcW w:type="dxa" w:w="2160"/>
          </w:tcPr>
          <w:p>
            <w:r>
              <w:t>6.311</w:t>
            </w:r>
          </w:p>
        </w:tc>
        <w:tc>
          <w:tcPr>
            <w:tcW w:type="dxa" w:w="2160"/>
          </w:tcPr>
          <w:p>
            <w:r>
              <w:t>5.822</w:t>
            </w:r>
          </w:p>
        </w:tc>
        <w:tc>
          <w:tcPr>
            <w:tcW w:type="dxa" w:w="2160"/>
          </w:tcPr>
          <w:p>
            <w:r>
              <w:t>-10.29 ~ 20.94</w:t>
            </w:r>
          </w:p>
        </w:tc>
      </w:tr>
      <w:tr>
        <w:tc>
          <w:tcPr>
            <w:tcW w:type="dxa" w:w="2160"/>
          </w:tcPr>
          <w:p>
            <w:r>
              <w:t>LogP</w:t>
            </w:r>
          </w:p>
        </w:tc>
        <w:tc>
          <w:tcPr>
            <w:tcW w:type="dxa" w:w="2160"/>
          </w:tcPr>
          <w:p>
            <w:r>
              <w:t>1.442</w:t>
            </w:r>
          </w:p>
        </w:tc>
        <w:tc>
          <w:tcPr>
            <w:tcW w:type="dxa" w:w="2160"/>
          </w:tcPr>
          <w:p>
            <w:r>
              <w:t>1.071</w:t>
            </w:r>
          </w:p>
        </w:tc>
        <w:tc>
          <w:tcPr>
            <w:tcW w:type="dxa" w:w="2160"/>
          </w:tcPr>
          <w:p>
            <w:r>
              <w:t>-1.82 ~ 3.59</w:t>
            </w:r>
          </w:p>
        </w:tc>
      </w:tr>
      <w:tr>
        <w:tc>
          <w:tcPr>
            <w:tcW w:type="dxa" w:w="2160"/>
          </w:tcPr>
          <w:p>
            <w:r>
              <w:t>TPSA</w:t>
            </w:r>
          </w:p>
        </w:tc>
        <w:tc>
          <w:tcPr>
            <w:tcW w:type="dxa" w:w="2160"/>
          </w:tcPr>
          <w:p>
            <w:r>
              <w:t>28.995</w:t>
            </w:r>
          </w:p>
        </w:tc>
        <w:tc>
          <w:tcPr>
            <w:tcW w:type="dxa" w:w="2160"/>
          </w:tcPr>
          <w:p>
            <w:r>
              <w:t>22.671</w:t>
            </w:r>
          </w:p>
        </w:tc>
        <w:tc>
          <w:tcPr>
            <w:tcW w:type="dxa" w:w="2160"/>
          </w:tcPr>
          <w:p>
            <w:r>
              <w:t>0.00 ~ 103.76</w:t>
            </w:r>
          </w:p>
        </w:tc>
      </w:tr>
      <w:tr>
        <w:tc>
          <w:tcPr>
            <w:tcW w:type="dxa" w:w="2160"/>
          </w:tcPr>
          <w:p>
            <w:r>
              <w:t>MolWt</w:t>
            </w:r>
          </w:p>
        </w:tc>
        <w:tc>
          <w:tcPr>
            <w:tcW w:type="dxa" w:w="2160"/>
          </w:tcPr>
          <w:p>
            <w:r>
              <w:t>146.027</w:t>
            </w:r>
          </w:p>
        </w:tc>
        <w:tc>
          <w:tcPr>
            <w:tcW w:type="dxa" w:w="2160"/>
          </w:tcPr>
          <w:p>
            <w:r>
              <w:t>28.234</w:t>
            </w:r>
          </w:p>
        </w:tc>
        <w:tc>
          <w:tcPr>
            <w:tcW w:type="dxa" w:w="2160"/>
          </w:tcPr>
          <w:p>
            <w:r>
              <w:t>88.05 ~ 215.03</w:t>
            </w:r>
          </w:p>
        </w:tc>
      </w:tr>
      <w:tr>
        <w:tc>
          <w:tcPr>
            <w:tcW w:type="dxa" w:w="2160"/>
          </w:tcPr>
          <w:p>
            <w:r>
              <w:t>Balaban_J</w:t>
            </w:r>
          </w:p>
        </w:tc>
        <w:tc>
          <w:tcPr>
            <w:tcW w:type="dxa" w:w="2160"/>
          </w:tcPr>
          <w:p>
            <w:r>
              <w:t>2.722</w:t>
            </w:r>
          </w:p>
        </w:tc>
        <w:tc>
          <w:tcPr>
            <w:tcW w:type="dxa" w:w="2160"/>
          </w:tcPr>
          <w:p>
            <w:r>
              <w:t>0.318</w:t>
            </w:r>
          </w:p>
        </w:tc>
        <w:tc>
          <w:tcPr>
            <w:tcW w:type="dxa" w:w="2160"/>
          </w:tcPr>
          <w:p>
            <w:r>
              <w:t>2.012 ~ 3.278</w:t>
            </w:r>
          </w:p>
        </w:tc>
      </w:tr>
      <w:tr>
        <w:tc>
          <w:tcPr>
            <w:tcW w:type="dxa" w:w="2160"/>
          </w:tcPr>
          <w:p>
            <w:r>
              <w:t>Bertz_CT</w:t>
            </w:r>
          </w:p>
        </w:tc>
        <w:tc>
          <w:tcPr>
            <w:tcW w:type="dxa" w:w="2160"/>
          </w:tcPr>
          <w:p>
            <w:r>
              <w:t>225.100</w:t>
            </w:r>
          </w:p>
        </w:tc>
        <w:tc>
          <w:tcPr>
            <w:tcW w:type="dxa" w:w="2160"/>
          </w:tcPr>
          <w:p>
            <w:r>
              <w:t>118.360</w:t>
            </w:r>
          </w:p>
        </w:tc>
        <w:tc>
          <w:tcPr>
            <w:tcW w:type="dxa" w:w="2160"/>
          </w:tcPr>
          <w:p>
            <w:r>
              <w:t>38.81 ~ 587.29</w:t>
            </w:r>
          </w:p>
        </w:tc>
      </w:tr>
    </w:tbl>
    <w:p/>
    <w:p>
      <w:pPr>
        <w:jc w:val="center"/>
      </w:pPr>
      <w:r>
        <w:drawing>
          <wp:inline xmlns:a="http://schemas.openxmlformats.org/drawingml/2006/main" xmlns:pic="http://schemas.openxmlformats.org/drawingml/2006/picture">
            <wp:extent cx="5303520" cy="2083526"/>
            <wp:docPr id="1" name="Picture 1"/>
            <wp:cNvGraphicFramePr>
              <a:graphicFrameLocks noChangeAspect="1"/>
            </wp:cNvGraphicFramePr>
            <a:graphic>
              <a:graphicData uri="http://schemas.openxmlformats.org/drawingml/2006/picture">
                <pic:pic>
                  <pic:nvPicPr>
                    <pic:cNvPr id="0" name="fig1_空间分布与活性分布.png"/>
                    <pic:cNvPicPr/>
                  </pic:nvPicPr>
                  <pic:blipFill>
                    <a:blip r:embed="rId9"/>
                    <a:stretch>
                      <a:fillRect/>
                    </a:stretch>
                  </pic:blipFill>
                  <pic:spPr>
                    <a:xfrm>
                      <a:off x="0" y="0"/>
                      <a:ext cx="5303520" cy="2083526"/>
                    </a:xfrm>
                    <a:prstGeom prst="rect"/>
                  </pic:spPr>
                </pic:pic>
              </a:graphicData>
            </a:graphic>
          </wp:inline>
        </w:drawing>
      </w:r>
    </w:p>
    <w:p>
      <w:pPr>
        <w:jc w:val="center"/>
      </w:pPr>
      <w:r>
        <w:rPr>
          <w:sz w:val="20"/>
        </w:rPr>
        <w:t>图1  分子二维流形空间分布（左：按活性着色）与活性得分直方图（右）</w:t>
      </w:r>
    </w:p>
    <w:p>
      <w:r>
        <w:br w:type="page"/>
      </w:r>
    </w:p>
    <w:p>
      <w:pPr>
        <w:pStyle w:val="Heading1"/>
      </w:pPr>
      <w:r>
        <w:t>三、数学模型与方法</w:t>
      </w:r>
    </w:p>
    <w:p>
      <w:pPr>
        <w:pStyle w:val="Heading2"/>
      </w:pPr>
      <w:r>
        <w:t>3.1 DBSCAN密度聚类</w:t>
      </w:r>
    </w:p>
    <w:p>
      <w:r>
        <w:t>DBSCAN（Density-Based Spatial Clustering of Applications with Noise）是一种基于密度的聚类算法，其核心思想是：将高密度区域中相互连通的点归为同一簇，低密度区域的点归为噪声。该算法有两个关键参数：</w:t>
      </w:r>
    </w:p>
    <w:p>
      <w:r>
        <w:t>（1）eps (ε)：邻域半径。对任意点 p，其 ε-邻域定义为 Nε(p) = {q | dist(p, q) ≤ ε}。</w:t>
      </w:r>
    </w:p>
    <w:p>
      <w:r>
        <w:t>（2）min_samples (MinPts)：核心点的最小邻域点数。若 |Nε(p)| ≥ MinPts，则 p 为核心点。</w:t>
      </w:r>
    </w:p>
    <w:p>
      <w:r>
        <w:t>DBSCAN的簇定义为：从一个核心点出发，通过密度可达关系（density-reachable）连通的最大点集。密度可达关系定义为：若存在序列 p1, p2, ..., pn，其中 p1 = p, pn = q，且对每个 pi，pi+1 是从 pi 直接密度可达的（即 pi+1 ∈ Nε(pi) 且 pi 是核心点），则称 q 从 p 密度可达。</w:t>
      </w:r>
    </w:p>
    <w:p>
      <w:r>
        <w:t>选择DBSCAN的理由：（1）它不需要预先指定聚类簇数K，由数据本身的密度分布决定；（2）它可以发现任意形状的簇，适合流形空间中的分子分布；（3）它对噪声点具有鲁棒性；（4）算法原理清晰、可解释，符合竞赛要求。</w:t>
      </w:r>
    </w:p>
    <w:p>
      <w:pPr>
        <w:pStyle w:val="Heading2"/>
      </w:pPr>
      <w:r>
        <w:t>3.2 eps参数选择：k-距离图法</w:t>
      </w:r>
    </w:p>
    <w:p>
      <w:r>
        <w:t>采用k-距离图（k-distance graph）确定最优eps值。对每个数据点，计算其到第k近邻的距离（k = min_samples - 1 = 4），将所有点的k-距离按降序排列并绘图。曲线的"拐点"（elbow point）即为推荐的eps值。拐点之前距离变化平缓，拐点之后距离急剧增大，标志着从"簇内"过渡到"噪声"。</w:t>
      </w:r>
    </w:p>
    <w:p>
      <w:r>
        <w:t>从k-距离图（图2）观察，曲线在eps≈1.5处出现明显拐点。进一步测试了eps=0.8, 1.0, 1.2, 1.5, 1.8, 2.0, 2.5等多个取值：eps=0.8~1.2时产生15个簇（过细分），eps=1.5时合并为13个簇（合理），eps≥1.8后稳定在12个簇。综合考虑簇内凝聚度和簇间分离度，选择eps=1.5。</w:t>
      </w:r>
    </w:p>
    <w:p>
      <w:pPr>
        <w:jc w:val="center"/>
      </w:pPr>
      <w:r>
        <w:drawing>
          <wp:inline xmlns:a="http://schemas.openxmlformats.org/drawingml/2006/main" xmlns:pic="http://schemas.openxmlformats.org/drawingml/2006/picture">
            <wp:extent cx="5029200" cy="2514600"/>
            <wp:docPr id="2" name="Picture 2"/>
            <wp:cNvGraphicFramePr>
              <a:graphicFrameLocks noChangeAspect="1"/>
            </wp:cNvGraphicFramePr>
            <a:graphic>
              <a:graphicData uri="http://schemas.openxmlformats.org/drawingml/2006/picture">
                <pic:pic>
                  <pic:nvPicPr>
                    <pic:cNvPr id="0" name="fig2_k距离图.png"/>
                    <pic:cNvPicPr/>
                  </pic:nvPicPr>
                  <pic:blipFill>
                    <a:blip r:embed="rId10"/>
                    <a:stretch>
                      <a:fillRect/>
                    </a:stretch>
                  </pic:blipFill>
                  <pic:spPr>
                    <a:xfrm>
                      <a:off x="0" y="0"/>
                      <a:ext cx="5029200" cy="2514600"/>
                    </a:xfrm>
                    <a:prstGeom prst="rect"/>
                  </pic:spPr>
                </pic:pic>
              </a:graphicData>
            </a:graphic>
          </wp:inline>
        </w:drawing>
      </w:r>
    </w:p>
    <w:p>
      <w:pPr>
        <w:jc w:val="center"/>
      </w:pPr>
      <w:r>
        <w:rPr>
          <w:sz w:val="20"/>
        </w:rPr>
        <w:t>图2  k-距离图（k=4），红色虚线标注eps=1.5的拐点位置</w:t>
      </w:r>
    </w:p>
    <w:p>
      <w:pPr>
        <w:pStyle w:val="Heading2"/>
      </w:pPr>
      <w:r>
        <w:t>3.3 活性加权区域识别</w:t>
      </w:r>
    </w:p>
    <w:p>
      <w:r>
        <w:t>聚类完成后，计算每个簇的平均生物活性得分。定义：</w:t>
      </w:r>
    </w:p>
    <w:p>
      <w:r>
        <w:t>"高活性密集区域"：满足两个条件的簇——（1）簇平均活性 ≥ 全局均值 + 0.3×全局标准差；（2）簇规模 ≥ 5个分子（排除过小的偶然聚集）。</w:t>
      </w:r>
    </w:p>
    <w:p>
      <w:r>
        <w:t>"普通区域"：不满足上述条件的所有其他簇。</w:t>
      </w:r>
    </w:p>
    <w:p>
      <w:r>
        <w:t>依据数据：全局活性均值=4.646，标准差=1.848，高活性阈值=5.201。最终识别出3个高活性密集区域簇，共30个分子；其余10个簇为普通区域，共295个分子。</w:t>
      </w:r>
    </w:p>
    <w:p>
      <w:r>
        <w:br w:type="page"/>
      </w:r>
    </w:p>
    <w:p>
      <w:pPr>
        <w:pStyle w:val="Heading1"/>
      </w:pPr>
      <w:r>
        <w:t>四、结果与分析</w:t>
      </w:r>
    </w:p>
    <w:p>
      <w:pPr>
        <w:pStyle w:val="Heading2"/>
      </w:pPr>
      <w:r>
        <w:t>4.1 聚类结果可视化</w:t>
      </w:r>
    </w:p>
    <w:p>
      <w:r>
        <w:t>图3展示了DBSCAN聚类结果（左）与活性加权后的区域分类（右）。可以看到，高活性密集区域（红色）主要集中在流形空间的下方（低Manifold_Y区域）和左上角（低Manifold_X、中等Manifold_Y区域），这些区域分子密集且活性得分整体较高。</w:t>
      </w:r>
    </w:p>
    <w:p>
      <w:pPr>
        <w:jc w:val="center"/>
      </w:pPr>
      <w:r>
        <w:drawing>
          <wp:inline xmlns:a="http://schemas.openxmlformats.org/drawingml/2006/main" xmlns:pic="http://schemas.openxmlformats.org/drawingml/2006/picture">
            <wp:extent cx="5303520" cy="2083526"/>
            <wp:docPr id="3" name="Picture 3"/>
            <wp:cNvGraphicFramePr>
              <a:graphicFrameLocks noChangeAspect="1"/>
            </wp:cNvGraphicFramePr>
            <a:graphic>
              <a:graphicData uri="http://schemas.openxmlformats.org/drawingml/2006/picture">
                <pic:pic>
                  <pic:nvPicPr>
                    <pic:cNvPr id="0" name="fig3_聚类结果.png"/>
                    <pic:cNvPicPr/>
                  </pic:nvPicPr>
                  <pic:blipFill>
                    <a:blip r:embed="rId11"/>
                    <a:stretch>
                      <a:fillRect/>
                    </a:stretch>
                  </pic:blipFill>
                  <pic:spPr>
                    <a:xfrm>
                      <a:off x="0" y="0"/>
                      <a:ext cx="5303520" cy="2083526"/>
                    </a:xfrm>
                    <a:prstGeom prst="rect"/>
                  </pic:spPr>
                </pic:pic>
              </a:graphicData>
            </a:graphic>
          </wp:inline>
        </w:drawing>
      </w:r>
    </w:p>
    <w:p>
      <w:pPr>
        <w:jc w:val="center"/>
      </w:pPr>
      <w:r>
        <w:rPr>
          <w:sz w:val="20"/>
        </w:rPr>
        <w:t>图3  左：DBSCAN空间聚类结果（13簇）；右：活性加权区域分类（高活性密集区 vs 普通区）</w:t>
      </w:r>
    </w:p>
    <w:p>
      <w:pPr>
        <w:pStyle w:val="Heading2"/>
      </w:pPr>
      <w:r>
        <w:t>4.2 活性得分对比</w:t>
      </w:r>
    </w:p>
    <w:p>
      <w:r>
        <w:t>高活性密集区域的生物活性得分均值=5.326±1.289（n=30），普通区域的活性得分均值=4.577±1.883（n=295）。独立样本t检验结果：t=2.124, p=0.034&lt;0.05，差异有统计学显著性。这说明两类区域确实在生物活性上存在本质差异，验证了活性加权分类的合理性。</w:t>
      </w:r>
    </w:p>
    <w:p>
      <w:pPr>
        <w:pStyle w:val="Heading2"/>
      </w:pPr>
      <w:r>
        <w:t>4.3 相似关系对比</w:t>
      </w:r>
    </w:p>
    <w:p>
      <w:r>
        <w:t>从kNN图（附件2）中提取各区域的内部边进行分析：</w:t>
      </w:r>
    </w:p>
    <w:p>
      <w:r>
        <w:t>高活性密集区域：内部边150条，边密度=0.345（150/(30×29/2)），内部平均Tanimoto相似度=0.596。</w:t>
      </w:r>
    </w:p>
    <w:p>
      <w:r>
        <w:t>普通区域：内部边1474条，边密度=0.034（1474/(295×294/2)），内部平均Tanimoto相似度=0.516。</w:t>
      </w:r>
    </w:p>
    <w:p>
      <w:r>
        <w:t>高活性密集区域的边密度（0.345 vs 0.034）和内部平均相似度（0.596 vs 0.516）均显著高于普通区域。这表明高活性分子在结构上更加聚集和同质化，而普通区域的分子结构更为分散和多样化。这一发现符合药物化学的直觉：高活性分子往往共享关键的药效团结构特征。</w:t>
      </w:r>
    </w:p>
    <w:p>
      <w:pPr>
        <w:pStyle w:val="Heading2"/>
      </w:pPr>
      <w:r>
        <w:t>4.4 理化指标对比</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理化指标</w:t>
            </w:r>
          </w:p>
        </w:tc>
        <w:tc>
          <w:tcPr>
            <w:tcW w:type="dxa" w:w="1728"/>
          </w:tcPr>
          <w:p>
            <w:r>
              <w:t>高活性密集区</w:t>
            </w:r>
          </w:p>
        </w:tc>
        <w:tc>
          <w:tcPr>
            <w:tcW w:type="dxa" w:w="1728"/>
          </w:tcPr>
          <w:p>
            <w:r>
              <w:t>普通区域</w:t>
            </w:r>
          </w:p>
        </w:tc>
        <w:tc>
          <w:tcPr>
            <w:tcW w:type="dxa" w:w="1728"/>
          </w:tcPr>
          <w:p>
            <w:r>
              <w:t>差异</w:t>
            </w:r>
          </w:p>
        </w:tc>
        <w:tc>
          <w:tcPr>
            <w:tcW w:type="dxa" w:w="1728"/>
          </w:tcPr>
          <w:p>
            <w:r>
              <w:t>显著性</w:t>
            </w:r>
          </w:p>
        </w:tc>
      </w:tr>
      <w:tr>
        <w:tc>
          <w:tcPr>
            <w:tcW w:type="dxa" w:w="1728"/>
          </w:tcPr>
          <w:p>
            <w:r>
              <w:t>LogP（亲脂性）</w:t>
            </w:r>
          </w:p>
        </w:tc>
        <w:tc>
          <w:tcPr>
            <w:tcW w:type="dxa" w:w="1728"/>
          </w:tcPr>
          <w:p>
            <w:r>
              <w:t>1.247±0.899</w:t>
            </w:r>
          </w:p>
        </w:tc>
        <w:tc>
          <w:tcPr>
            <w:tcW w:type="dxa" w:w="1728"/>
          </w:tcPr>
          <w:p>
            <w:r>
              <w:t>1.462±1.087</w:t>
            </w:r>
          </w:p>
        </w:tc>
        <w:tc>
          <w:tcPr>
            <w:tcW w:type="dxa" w:w="1728"/>
          </w:tcPr>
          <w:p>
            <w:r>
              <w:t>-0.215</w:t>
            </w:r>
          </w:p>
        </w:tc>
        <w:tc>
          <w:tcPr>
            <w:tcW w:type="dxa" w:w="1728"/>
          </w:tcPr>
          <w:p>
            <w:r>
              <w:t>ns (p=0.48)</w:t>
            </w:r>
          </w:p>
        </w:tc>
      </w:tr>
      <w:tr>
        <w:tc>
          <w:tcPr>
            <w:tcW w:type="dxa" w:w="1728"/>
          </w:tcPr>
          <w:p>
            <w:r>
              <w:t>TPSA（极性表面积）</w:t>
            </w:r>
          </w:p>
        </w:tc>
        <w:tc>
          <w:tcPr>
            <w:tcW w:type="dxa" w:w="1728"/>
          </w:tcPr>
          <w:p>
            <w:r>
              <w:t>36.638±22.701</w:t>
            </w:r>
          </w:p>
        </w:tc>
        <w:tc>
          <w:tcPr>
            <w:tcW w:type="dxa" w:w="1728"/>
          </w:tcPr>
          <w:p>
            <w:r>
              <w:t>28.215±22.598</w:t>
            </w:r>
          </w:p>
        </w:tc>
        <w:tc>
          <w:tcPr>
            <w:tcW w:type="dxa" w:w="1728"/>
          </w:tcPr>
          <w:p>
            <w:r>
              <w:t>+8.423*</w:t>
            </w:r>
          </w:p>
        </w:tc>
        <w:tc>
          <w:tcPr>
            <w:tcW w:type="dxa" w:w="1728"/>
          </w:tcPr>
          <w:p>
            <w:r>
              <w:t>p=0.035</w:t>
            </w:r>
          </w:p>
        </w:tc>
      </w:tr>
      <w:tr>
        <w:tc>
          <w:tcPr>
            <w:tcW w:type="dxa" w:w="1728"/>
          </w:tcPr>
          <w:p>
            <w:r>
              <w:t>MolWt（分子量）</w:t>
            </w:r>
          </w:p>
        </w:tc>
        <w:tc>
          <w:tcPr>
            <w:tcW w:type="dxa" w:w="1728"/>
          </w:tcPr>
          <w:p>
            <w:r>
              <w:t>159.30±18.52</w:t>
            </w:r>
          </w:p>
        </w:tc>
        <w:tc>
          <w:tcPr>
            <w:tcW w:type="dxa" w:w="1728"/>
          </w:tcPr>
          <w:p>
            <w:r>
              <w:t>144.67±28.49</w:t>
            </w:r>
          </w:p>
        </w:tc>
        <w:tc>
          <w:tcPr>
            <w:tcW w:type="dxa" w:w="1728"/>
          </w:tcPr>
          <w:p>
            <w:r>
              <w:t>+14.63**</w:t>
            </w:r>
          </w:p>
        </w:tc>
        <w:tc>
          <w:tcPr>
            <w:tcW w:type="dxa" w:w="1728"/>
          </w:tcPr>
          <w:p>
            <w:r>
              <w:t>p=0.004</w:t>
            </w:r>
          </w:p>
        </w:tc>
      </w:tr>
      <w:tr>
        <w:tc>
          <w:tcPr>
            <w:tcW w:type="dxa" w:w="1728"/>
          </w:tcPr>
          <w:p>
            <w:r>
              <w:t>Dipole_Proxy（偶极）</w:t>
            </w:r>
          </w:p>
        </w:tc>
        <w:tc>
          <w:tcPr>
            <w:tcW w:type="dxa" w:w="1728"/>
          </w:tcPr>
          <w:p>
            <w:r>
              <w:t>0.444±0.217</w:t>
            </w:r>
          </w:p>
        </w:tc>
        <w:tc>
          <w:tcPr>
            <w:tcW w:type="dxa" w:w="1728"/>
          </w:tcPr>
          <w:p>
            <w:r>
              <w:t>0.489±0.196</w:t>
            </w:r>
          </w:p>
        </w:tc>
        <w:tc>
          <w:tcPr>
            <w:tcW w:type="dxa" w:w="1728"/>
          </w:tcPr>
          <w:p>
            <w:r>
              <w:t>-0.045</w:t>
            </w:r>
          </w:p>
        </w:tc>
        <w:tc>
          <w:tcPr>
            <w:tcW w:type="dxa" w:w="1728"/>
          </w:tcPr>
          <w:p>
            <w:r>
              <w:t>ns (p=0.27)</w:t>
            </w:r>
          </w:p>
        </w:tc>
      </w:tr>
      <w:tr>
        <w:tc>
          <w:tcPr>
            <w:tcW w:type="dxa" w:w="1728"/>
          </w:tcPr>
          <w:p>
            <w:r>
              <w:t>Max_Partial_Charge</w:t>
            </w:r>
          </w:p>
        </w:tc>
        <w:tc>
          <w:tcPr>
            <w:tcW w:type="dxa" w:w="1728"/>
          </w:tcPr>
          <w:p>
            <w:r>
              <w:t>0.144±0.107</w:t>
            </w:r>
          </w:p>
        </w:tc>
        <w:tc>
          <w:tcPr>
            <w:tcW w:type="dxa" w:w="1728"/>
          </w:tcPr>
          <w:p>
            <w:r>
              <w:t>0.131±0.119</w:t>
            </w:r>
          </w:p>
        </w:tc>
        <w:tc>
          <w:tcPr>
            <w:tcW w:type="dxa" w:w="1728"/>
          </w:tcPr>
          <w:p>
            <w:r>
              <w:t>+0.013</w:t>
            </w:r>
          </w:p>
        </w:tc>
        <w:tc>
          <w:tcPr>
            <w:tcW w:type="dxa" w:w="1728"/>
          </w:tcPr>
          <w:p>
            <w:r>
              <w:t>ns (p=0.50)</w:t>
            </w:r>
          </w:p>
        </w:tc>
      </w:tr>
      <w:tr>
        <w:tc>
          <w:tcPr>
            <w:tcW w:type="dxa" w:w="1728"/>
          </w:tcPr>
          <w:p>
            <w:r>
              <w:t>Balaban_J（拓扑指数）</w:t>
            </w:r>
          </w:p>
        </w:tc>
        <w:tc>
          <w:tcPr>
            <w:tcW w:type="dxa" w:w="1728"/>
          </w:tcPr>
          <w:p>
            <w:r>
              <w:t>2.838±0.160</w:t>
            </w:r>
          </w:p>
        </w:tc>
        <w:tc>
          <w:tcPr>
            <w:tcW w:type="dxa" w:w="1728"/>
          </w:tcPr>
          <w:p>
            <w:r>
              <w:t>2.710±0.328</w:t>
            </w:r>
          </w:p>
        </w:tc>
        <w:tc>
          <w:tcPr>
            <w:tcW w:type="dxa" w:w="1728"/>
          </w:tcPr>
          <w:p>
            <w:r>
              <w:t>+0.128*</w:t>
            </w:r>
          </w:p>
        </w:tc>
        <w:tc>
          <w:tcPr>
            <w:tcW w:type="dxa" w:w="1728"/>
          </w:tcPr>
          <w:p>
            <w:r>
              <w:t>p=0.037</w:t>
            </w:r>
          </w:p>
        </w:tc>
      </w:tr>
      <w:tr>
        <w:tc>
          <w:tcPr>
            <w:tcW w:type="dxa" w:w="1728"/>
          </w:tcPr>
          <w:p>
            <w:r>
              <w:t>Bertz_CT（结构复杂度）</w:t>
            </w:r>
          </w:p>
        </w:tc>
        <w:tc>
          <w:tcPr>
            <w:tcW w:type="dxa" w:w="1728"/>
          </w:tcPr>
          <w:p>
            <w:r>
              <w:t>334.06±89.06</w:t>
            </w:r>
          </w:p>
        </w:tc>
        <w:tc>
          <w:tcPr>
            <w:tcW w:type="dxa" w:w="1728"/>
          </w:tcPr>
          <w:p>
            <w:r>
              <w:t>214.02±114.31</w:t>
            </w:r>
          </w:p>
        </w:tc>
        <w:tc>
          <w:tcPr>
            <w:tcW w:type="dxa" w:w="1728"/>
          </w:tcPr>
          <w:p>
            <w:r>
              <w:t>+120.04***</w:t>
            </w:r>
          </w:p>
        </w:tc>
        <w:tc>
          <w:tcPr>
            <w:tcW w:type="dxa" w:w="1728"/>
          </w:tcPr>
          <w:p>
            <w:r>
              <w:t>p&lt;0.001</w:t>
            </w:r>
          </w:p>
        </w:tc>
      </w:tr>
    </w:tbl>
    <w:p/>
    <w:p>
      <w:r>
        <w:t>表1显示，高活性密集区域的分子具有更高的极性表面积（TPSA, p=0.035）、更大的分子量（MolWt, p=0.004）、更复杂的拓扑结构（Balaban_J, p=0.037）和显著更高的结构复杂度（Bertz_CT, p&lt;0.001）。这意味着高活性分子倾向于具有更复杂的环系结构和更多的极性官能团，这可能与其与生物靶标的多点结合能力有关。</w:t>
      </w:r>
    </w:p>
    <w:p>
      <w:pPr>
        <w:jc w:val="center"/>
      </w:pPr>
      <w:r>
        <w:drawing>
          <wp:inline xmlns:a="http://schemas.openxmlformats.org/drawingml/2006/main" xmlns:pic="http://schemas.openxmlformats.org/drawingml/2006/picture">
            <wp:extent cx="5029200" cy="3857129"/>
            <wp:docPr id="4" name="Picture 4"/>
            <wp:cNvGraphicFramePr>
              <a:graphicFrameLocks noChangeAspect="1"/>
            </wp:cNvGraphicFramePr>
            <a:graphic>
              <a:graphicData uri="http://schemas.openxmlformats.org/drawingml/2006/picture">
                <pic:pic>
                  <pic:nvPicPr>
                    <pic:cNvPr id="0" name="fig4_理化指标对比.png"/>
                    <pic:cNvPicPr/>
                  </pic:nvPicPr>
                  <pic:blipFill>
                    <a:blip r:embed="rId12"/>
                    <a:stretch>
                      <a:fillRect/>
                    </a:stretch>
                  </pic:blipFill>
                  <pic:spPr>
                    <a:xfrm>
                      <a:off x="0" y="0"/>
                      <a:ext cx="5029200" cy="3857129"/>
                    </a:xfrm>
                    <a:prstGeom prst="rect"/>
                  </pic:spPr>
                </pic:pic>
              </a:graphicData>
            </a:graphic>
          </wp:inline>
        </w:drawing>
      </w:r>
    </w:p>
    <w:p>
      <w:pPr>
        <w:jc w:val="center"/>
      </w:pPr>
      <w:r>
        <w:rPr>
          <w:sz w:val="20"/>
        </w:rPr>
        <w:t>图4  关键理化指标（LogP、TPSA、MolWt、Bertz_CT）区域对比箱线图</w:t>
      </w:r>
    </w:p>
    <w:p>
      <w:pPr>
        <w:jc w:val="center"/>
      </w:pPr>
      <w:r>
        <w:drawing>
          <wp:inline xmlns:a="http://schemas.openxmlformats.org/drawingml/2006/main" xmlns:pic="http://schemas.openxmlformats.org/drawingml/2006/picture">
            <wp:extent cx="5029200" cy="1796143"/>
            <wp:docPr id="5" name="Picture 5"/>
            <wp:cNvGraphicFramePr>
              <a:graphicFrameLocks noChangeAspect="1"/>
            </wp:cNvGraphicFramePr>
            <a:graphic>
              <a:graphicData uri="http://schemas.openxmlformats.org/drawingml/2006/picture">
                <pic:pic>
                  <pic:nvPicPr>
                    <pic:cNvPr id="0" name="fig5_活性与相似度对比.png"/>
                    <pic:cNvPicPr/>
                  </pic:nvPicPr>
                  <pic:blipFill>
                    <a:blip r:embed="rId13"/>
                    <a:stretch>
                      <a:fillRect/>
                    </a:stretch>
                  </pic:blipFill>
                  <pic:spPr>
                    <a:xfrm>
                      <a:off x="0" y="0"/>
                      <a:ext cx="5029200" cy="1796143"/>
                    </a:xfrm>
                    <a:prstGeom prst="rect"/>
                  </pic:spPr>
                </pic:pic>
              </a:graphicData>
            </a:graphic>
          </wp:inline>
        </w:drawing>
      </w:r>
    </w:p>
    <w:p>
      <w:pPr>
        <w:jc w:val="center"/>
      </w:pPr>
      <w:r>
        <w:rPr>
          <w:sz w:val="20"/>
        </w:rPr>
        <w:t>图5  左：活性得分小提琴图；右：区域内Tanimoto相似度分布</w:t>
      </w:r>
    </w:p>
    <w:p>
      <w:r>
        <w:br w:type="page"/>
      </w:r>
    </w:p>
    <w:p>
      <w:pPr>
        <w:pStyle w:val="Heading1"/>
      </w:pPr>
      <w:r>
        <w:t>五、代表分子挑选</w:t>
      </w:r>
    </w:p>
    <w:p>
      <w:r>
        <w:t>从每个区域挑选3个代表性分子，挑选标准为：</w:t>
      </w:r>
    </w:p>
    <w:p>
      <w:r>
        <w:t>（1）活性代表性：生物活性得分接近本区域中位数，代表区域的典型活性水平；</w:t>
      </w:r>
    </w:p>
    <w:p>
      <w:r>
        <w:t>（2）空间代表性：在流形空间中的位置接近区域几何中心；</w:t>
      </w:r>
    </w:p>
    <w:p>
      <w:r>
        <w:t>（3）结构多样性：与已选分子间的Tanimoto相似度≤0.6，避免选到结构过于相似的冗余分子。</w:t>
      </w:r>
    </w:p>
    <w:p>
      <w:r>
        <w:t>综合得分 = 0.5 × 活性接近度 + 0.5 × 空间中心接近度，从高到低排序，同时满足结构多样性约束。</w:t>
      </w:r>
    </w:p>
    <w:p/>
    <w:p>
      <w:r>
        <w:rPr>
          <w:b/>
        </w:rPr>
        <w:t>高活性密集区域代表分子：</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分子编号</w:t>
            </w:r>
          </w:p>
        </w:tc>
        <w:tc>
          <w:tcPr>
            <w:tcW w:type="dxa" w:w="1440"/>
          </w:tcPr>
          <w:p>
            <w:r>
              <w:t>活性得分</w:t>
            </w:r>
          </w:p>
        </w:tc>
        <w:tc>
          <w:tcPr>
            <w:tcW w:type="dxa" w:w="1440"/>
          </w:tcPr>
          <w:p>
            <w:r>
              <w:t>Manifold_X</w:t>
            </w:r>
          </w:p>
        </w:tc>
        <w:tc>
          <w:tcPr>
            <w:tcW w:type="dxa" w:w="1440"/>
          </w:tcPr>
          <w:p>
            <w:r>
              <w:t>Manifold_Y</w:t>
            </w:r>
          </w:p>
        </w:tc>
        <w:tc>
          <w:tcPr>
            <w:tcW w:type="dxa" w:w="1440"/>
          </w:tcPr>
          <w:p>
            <w:r>
              <w:t>SMILES（截断）</w:t>
            </w:r>
          </w:p>
        </w:tc>
        <w:tc>
          <w:tcPr>
            <w:tcW w:type="dxa" w:w="1440"/>
          </w:tcPr>
          <w:p>
            <w:r>
              <w:t>选取理由</w:t>
            </w:r>
          </w:p>
        </w:tc>
      </w:tr>
      <w:tr>
        <w:tc>
          <w:tcPr>
            <w:tcW w:type="dxa" w:w="1440"/>
          </w:tcPr>
          <w:p>
            <w:r>
              <w:t>#117</w:t>
            </w:r>
          </w:p>
        </w:tc>
        <w:tc>
          <w:tcPr>
            <w:tcW w:type="dxa" w:w="1440"/>
          </w:tcPr>
          <w:p>
            <w:r>
              <w:t>4.882</w:t>
            </w:r>
          </w:p>
        </w:tc>
        <w:tc>
          <w:tcPr>
            <w:tcW w:type="dxa" w:w="1440"/>
          </w:tcPr>
          <w:p>
            <w:r>
              <w:t>-7.54</w:t>
            </w:r>
          </w:p>
        </w:tc>
        <w:tc>
          <w:tcPr>
            <w:tcW w:type="dxa" w:w="1440"/>
          </w:tcPr>
          <w:p>
            <w:r>
              <w:t>-3.25</w:t>
            </w:r>
          </w:p>
        </w:tc>
        <w:tc>
          <w:tcPr>
            <w:tcW w:type="dxa" w:w="1440"/>
          </w:tcPr>
          <w:p>
            <w:r>
              <w:t>CCCn1cnc2cncnc21</w:t>
            </w:r>
          </w:p>
        </w:tc>
        <w:tc>
          <w:tcPr>
            <w:tcW w:type="dxa" w:w="1440"/>
          </w:tcPr>
          <w:p>
            <w:r>
              <w:t>接近区域中心，活性接近中位数</w:t>
            </w:r>
          </w:p>
        </w:tc>
      </w:tr>
      <w:tr>
        <w:tc>
          <w:tcPr>
            <w:tcW w:type="dxa" w:w="1440"/>
          </w:tcPr>
          <w:p>
            <w:r>
              <w:t>#82</w:t>
            </w:r>
          </w:p>
        </w:tc>
        <w:tc>
          <w:tcPr>
            <w:tcW w:type="dxa" w:w="1440"/>
          </w:tcPr>
          <w:p>
            <w:r>
              <w:t>4.952</w:t>
            </w:r>
          </w:p>
        </w:tc>
        <w:tc>
          <w:tcPr>
            <w:tcW w:type="dxa" w:w="1440"/>
          </w:tcPr>
          <w:p>
            <w:r>
              <w:t>-11.85</w:t>
            </w:r>
          </w:p>
        </w:tc>
        <w:tc>
          <w:tcPr>
            <w:tcW w:type="dxa" w:w="1440"/>
          </w:tcPr>
          <w:p>
            <w:r>
              <w:t>0.01</w:t>
            </w:r>
          </w:p>
        </w:tc>
        <w:tc>
          <w:tcPr>
            <w:tcW w:type="dxa" w:w="1440"/>
          </w:tcPr>
          <w:p>
            <w:r>
              <w:t>COc1nc2cncnc2n1C</w:t>
            </w:r>
          </w:p>
        </w:tc>
        <w:tc>
          <w:tcPr>
            <w:tcW w:type="dxa" w:w="1440"/>
          </w:tcPr>
          <w:p>
            <w:r>
              <w:t>空间中心代表，结构含甲氧基特征</w:t>
            </w:r>
          </w:p>
        </w:tc>
      </w:tr>
      <w:tr>
        <w:tc>
          <w:tcPr>
            <w:tcW w:type="dxa" w:w="1440"/>
          </w:tcPr>
          <w:p>
            <w:r>
              <w:t>#6</w:t>
            </w:r>
          </w:p>
        </w:tc>
        <w:tc>
          <w:tcPr>
            <w:tcW w:type="dxa" w:w="1440"/>
          </w:tcPr>
          <w:p>
            <w:r>
              <w:t>4.803</w:t>
            </w:r>
          </w:p>
        </w:tc>
        <w:tc>
          <w:tcPr>
            <w:tcW w:type="dxa" w:w="1440"/>
          </w:tcPr>
          <w:p>
            <w:r>
              <w:t>-11.92</w:t>
            </w:r>
          </w:p>
        </w:tc>
        <w:tc>
          <w:tcPr>
            <w:tcW w:type="dxa" w:w="1440"/>
          </w:tcPr>
          <w:p>
            <w:r>
              <w:t>0.00</w:t>
            </w:r>
          </w:p>
        </w:tc>
        <w:tc>
          <w:tcPr>
            <w:tcW w:type="dxa" w:w="1440"/>
          </w:tcPr>
          <w:p>
            <w:r>
              <w:t>Cn1c(Br)nc2cncnc21</w:t>
            </w:r>
          </w:p>
        </w:tc>
        <w:tc>
          <w:tcPr>
            <w:tcW w:type="dxa" w:w="1440"/>
          </w:tcPr>
          <w:p>
            <w:r>
              <w:t>含Br取代基，结构多样性强</w:t>
            </w:r>
          </w:p>
        </w:tc>
      </w:tr>
    </w:tbl>
    <w:p/>
    <w:p>
      <w:r>
        <w:rPr>
          <w:b/>
        </w:rPr>
        <w:t>普通区域代表分子：</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分子编号</w:t>
            </w:r>
          </w:p>
        </w:tc>
        <w:tc>
          <w:tcPr>
            <w:tcW w:type="dxa" w:w="1440"/>
          </w:tcPr>
          <w:p>
            <w:r>
              <w:t>活性得分</w:t>
            </w:r>
          </w:p>
        </w:tc>
        <w:tc>
          <w:tcPr>
            <w:tcW w:type="dxa" w:w="1440"/>
          </w:tcPr>
          <w:p>
            <w:r>
              <w:t>Manifold_X</w:t>
            </w:r>
          </w:p>
        </w:tc>
        <w:tc>
          <w:tcPr>
            <w:tcW w:type="dxa" w:w="1440"/>
          </w:tcPr>
          <w:p>
            <w:r>
              <w:t>Manifold_Y</w:t>
            </w:r>
          </w:p>
        </w:tc>
        <w:tc>
          <w:tcPr>
            <w:tcW w:type="dxa" w:w="1440"/>
          </w:tcPr>
          <w:p>
            <w:r>
              <w:t>SMILES（截断）</w:t>
            </w:r>
          </w:p>
        </w:tc>
        <w:tc>
          <w:tcPr>
            <w:tcW w:type="dxa" w:w="1440"/>
          </w:tcPr>
          <w:p>
            <w:r>
              <w:t>选取理由</w:t>
            </w:r>
          </w:p>
        </w:tc>
      </w:tr>
      <w:tr>
        <w:tc>
          <w:tcPr>
            <w:tcW w:type="dxa" w:w="1440"/>
          </w:tcPr>
          <w:p>
            <w:r>
              <w:t>#185</w:t>
            </w:r>
          </w:p>
        </w:tc>
        <w:tc>
          <w:tcPr>
            <w:tcW w:type="dxa" w:w="1440"/>
          </w:tcPr>
          <w:p>
            <w:r>
              <w:t>4.489</w:t>
            </w:r>
          </w:p>
        </w:tc>
        <w:tc>
          <w:tcPr>
            <w:tcW w:type="dxa" w:w="1440"/>
          </w:tcPr>
          <w:p>
            <w:r>
              <w:t>6.95</w:t>
            </w:r>
          </w:p>
        </w:tc>
        <w:tc>
          <w:tcPr>
            <w:tcW w:type="dxa" w:w="1440"/>
          </w:tcPr>
          <w:p>
            <w:r>
              <w:t>5.06</w:t>
            </w:r>
          </w:p>
        </w:tc>
        <w:tc>
          <w:tcPr>
            <w:tcW w:type="dxa" w:w="1440"/>
          </w:tcPr>
          <w:p>
            <w:r>
              <w:t>COc1cccc(CC(=O)O)c1</w:t>
            </w:r>
          </w:p>
        </w:tc>
        <w:tc>
          <w:tcPr>
            <w:tcW w:type="dxa" w:w="1440"/>
          </w:tcPr>
          <w:p>
            <w:r>
              <w:t>综合得分最高，活性代表性强</w:t>
            </w:r>
          </w:p>
        </w:tc>
      </w:tr>
      <w:tr>
        <w:tc>
          <w:tcPr>
            <w:tcW w:type="dxa" w:w="1440"/>
          </w:tcPr>
          <w:p>
            <w:r>
              <w:t>#48</w:t>
            </w:r>
          </w:p>
        </w:tc>
        <w:tc>
          <w:tcPr>
            <w:tcW w:type="dxa" w:w="1440"/>
          </w:tcPr>
          <w:p>
            <w:r>
              <w:t>4.558</w:t>
            </w:r>
          </w:p>
        </w:tc>
        <w:tc>
          <w:tcPr>
            <w:tcW w:type="dxa" w:w="1440"/>
          </w:tcPr>
          <w:p>
            <w:r>
              <w:t>6.78</w:t>
            </w:r>
          </w:p>
        </w:tc>
        <w:tc>
          <w:tcPr>
            <w:tcW w:type="dxa" w:w="1440"/>
          </w:tcPr>
          <w:p>
            <w:r>
              <w:t>6.41</w:t>
            </w:r>
          </w:p>
        </w:tc>
        <w:tc>
          <w:tcPr>
            <w:tcW w:type="dxa" w:w="1440"/>
          </w:tcPr>
          <w:p>
            <w:r>
              <w:t>OCc1ccc(O)cc1</w:t>
            </w:r>
          </w:p>
        </w:tc>
        <w:tc>
          <w:tcPr>
            <w:tcW w:type="dxa" w:w="1440"/>
          </w:tcPr>
          <w:p>
            <w:r>
              <w:t>双层含氧官能团，结构简单</w:t>
            </w:r>
          </w:p>
        </w:tc>
      </w:tr>
      <w:tr>
        <w:tc>
          <w:tcPr>
            <w:tcW w:type="dxa" w:w="1440"/>
          </w:tcPr>
          <w:p>
            <w:r>
              <w:t>#65</w:t>
            </w:r>
          </w:p>
        </w:tc>
        <w:tc>
          <w:tcPr>
            <w:tcW w:type="dxa" w:w="1440"/>
          </w:tcPr>
          <w:p>
            <w:r>
              <w:t>4.445</w:t>
            </w:r>
          </w:p>
        </w:tc>
        <w:tc>
          <w:tcPr>
            <w:tcW w:type="dxa" w:w="1440"/>
          </w:tcPr>
          <w:p>
            <w:r>
              <w:t>6.57</w:t>
            </w:r>
          </w:p>
        </w:tc>
        <w:tc>
          <w:tcPr>
            <w:tcW w:type="dxa" w:w="1440"/>
          </w:tcPr>
          <w:p>
            <w:r>
              <w:t>5.16</w:t>
            </w:r>
          </w:p>
        </w:tc>
        <w:tc>
          <w:tcPr>
            <w:tcW w:type="dxa" w:w="1440"/>
          </w:tcPr>
          <w:p>
            <w:r>
              <w:t>COc1ccc(CC(=O)O)cc1</w:t>
            </w:r>
          </w:p>
        </w:tc>
        <w:tc>
          <w:tcPr>
            <w:tcW w:type="dxa" w:w="1440"/>
          </w:tcPr>
          <w:p>
            <w:r>
              <w:t>含羧基特征，与#185不同取代位点</w:t>
            </w:r>
          </w:p>
        </w:tc>
      </w:tr>
    </w:tbl>
    <w:p/>
    <w:p>
      <w:pPr>
        <w:jc w:val="center"/>
      </w:pPr>
      <w:r>
        <w:drawing>
          <wp:inline xmlns:a="http://schemas.openxmlformats.org/drawingml/2006/main" xmlns:pic="http://schemas.openxmlformats.org/drawingml/2006/picture">
            <wp:extent cx="4754880" cy="3328416"/>
            <wp:docPr id="6" name="Picture 6"/>
            <wp:cNvGraphicFramePr>
              <a:graphicFrameLocks noChangeAspect="1"/>
            </wp:cNvGraphicFramePr>
            <a:graphic>
              <a:graphicData uri="http://schemas.openxmlformats.org/drawingml/2006/picture">
                <pic:pic>
                  <pic:nvPicPr>
                    <pic:cNvPr id="0" name="fig6_代表分子.png"/>
                    <pic:cNvPicPr/>
                  </pic:nvPicPr>
                  <pic:blipFill>
                    <a:blip r:embed="rId14"/>
                    <a:stretch>
                      <a:fillRect/>
                    </a:stretch>
                  </pic:blipFill>
                  <pic:spPr>
                    <a:xfrm>
                      <a:off x="0" y="0"/>
                      <a:ext cx="4754880" cy="3328416"/>
                    </a:xfrm>
                    <a:prstGeom prst="rect"/>
                  </pic:spPr>
                </pic:pic>
              </a:graphicData>
            </a:graphic>
          </wp:inline>
        </w:drawing>
      </w:r>
    </w:p>
    <w:p>
      <w:pPr>
        <w:jc w:val="center"/>
      </w:pPr>
      <w:r>
        <w:rPr>
          <w:sz w:val="20"/>
        </w:rPr>
        <w:t>图6  代表分子在流形空间中的位置（★星标），红色=高活性区，蓝色=普通区</w:t>
      </w:r>
    </w:p>
    <w:p>
      <w:r>
        <w:t>从空间分布来看，高活性区的3个代表分子（#117, #82, #6）全部位于Manifold_X&lt;0的低纬度区域，具有典型的含氮杂环骨架。普通区的3个代表分子（#185, #48, #65）位于Manifold_X=6~7的高密度区域，结构以含氧芳香化合物为主，代表了普通区域分子结构的多样性特征。</w:t>
      </w:r>
    </w:p>
    <w:p>
      <w:r>
        <w:br w:type="page"/>
      </w:r>
    </w:p>
    <w:p>
      <w:pPr>
        <w:pStyle w:val="Heading1"/>
      </w:pPr>
      <w:r>
        <w:t>六、结论</w:t>
      </w:r>
    </w:p>
    <w:p>
      <w:r>
        <w:t>1. 采用DBSCAN密度聚类算法（eps=1.5, min_samples=5），在二维流形空间中将325个分子划分为13个空间簇，无噪声点，聚类结构清晰。eps参数通过k-距离图拐点法确定，避免了主观调参。</w:t>
      </w:r>
    </w:p>
    <w:p>
      <w:r>
        <w:t>2. 通过活性加权（阈值=全局均值+0.3σ），识别出3个"高活性密集区域"簇（共30个分子），活性均值=5.326，显著高于其余295个普通区域分子的均值4.577（t检验p=0.034）。</w:t>
      </w:r>
    </w:p>
    <w:p>
      <w:r>
        <w:t>3. 两类区域在多个维度上存在显著差异——高活性区分子具有更高的Tanimoto结构相似度（0.596 vs 0.516）、更大的极性表面积（TPSA，p=0.035）、更大的分子量（MolWt，p=0.004）和显著更高的结构复杂度（Bertz_CT，p&lt;0.001）。这些特征说明高活性分子倾向于具有更复杂的杂环结构和更多的极性官能团。</w:t>
      </w:r>
    </w:p>
    <w:p>
      <w:r>
        <w:t>4. 基于活性代表性、空间中心性和结构多样性三个标准，分别为每个区域挑选了3个代表性分子，可为进一步实验验证提供候选。</w:t>
      </w:r>
    </w:p>
    <w:p>
      <w:r>
        <w:br w:type="page"/>
      </w:r>
    </w:p>
    <w:p>
      <w:pPr>
        <w:pStyle w:val="Heading1"/>
      </w:pPr>
      <w:r>
        <w:t>附录：代码与工具声明</w:t>
      </w:r>
    </w:p>
    <w:p>
      <w:r>
        <w:t>分析工具：Python 3.14 + pandas + numpy + scikit-learn（DBSCAN, NearestNeighbors）+ scipy + matplotlib。</w:t>
      </w:r>
    </w:p>
    <w:p>
      <w:r>
        <w:t>DBSCAN算法为scikit-learn的确定性实现，参数选择基于k-距离图几何分析，不涉及随机初始化，结果可完全复现。</w:t>
      </w:r>
    </w:p>
    <w:p>
      <w:r>
        <w:t>所有代码见 code/B题1_DBSCAN聚类分析.py，中间结果见 charts/ 目录。</w:t>
      </w:r>
    </w:p>
    <w:p>
      <w:r>
        <w:t>本报告遵守《全国大学生数学建模竞赛人工智能工具使用规定（2025）》：数学模型由人工选定并解释，AI仅辅助代码编写与图表生成。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