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3D05" w14:textId="77777777" w:rsidR="00011EDA" w:rsidRDefault="00011EDA" w:rsidP="00ED5BC6">
      <w:pPr>
        <w:pStyle w:val="Title"/>
        <w:spacing w:line="276" w:lineRule="auto"/>
      </w:pPr>
      <w:r>
        <w:t xml:space="preserve">CITS3402 Project </w:t>
      </w:r>
      <w:r w:rsidR="00D1501C">
        <w:t>2</w:t>
      </w:r>
      <w:r>
        <w:t xml:space="preserve"> Report</w:t>
      </w:r>
    </w:p>
    <w:p w14:paraId="7BA1DD1A" w14:textId="77777777" w:rsidR="00011EDA" w:rsidRDefault="00011EDA" w:rsidP="00ED5BC6">
      <w:pPr>
        <w:spacing w:line="276" w:lineRule="auto"/>
      </w:pPr>
      <w:r>
        <w:t xml:space="preserve">Henry Hollingworth / 21471423 &amp; Ekin Bukulmez / </w:t>
      </w:r>
      <w:r w:rsidRPr="00011EDA">
        <w:t>22412569</w:t>
      </w:r>
      <w:r>
        <w:tab/>
        <w:t>23</w:t>
      </w:r>
      <w:r w:rsidRPr="00BE2CF3">
        <w:rPr>
          <w:vertAlign w:val="superscript"/>
        </w:rPr>
        <w:t>rd</w:t>
      </w:r>
      <w:r>
        <w:t>/09/2019</w:t>
      </w:r>
    </w:p>
    <w:p w14:paraId="0BAC2B0E" w14:textId="77777777" w:rsidR="00011EDA" w:rsidRDefault="00011EDA" w:rsidP="00ED5BC6">
      <w:pPr>
        <w:spacing w:line="276" w:lineRule="auto"/>
        <w:sectPr w:rsidR="00011EDA">
          <w:pgSz w:w="11906" w:h="16838"/>
          <w:pgMar w:top="1440" w:right="1440" w:bottom="1440" w:left="1440" w:header="708" w:footer="708" w:gutter="0"/>
          <w:cols w:space="708"/>
          <w:docGrid w:linePitch="360"/>
        </w:sectPr>
      </w:pPr>
    </w:p>
    <w:p w14:paraId="66FC6E42" w14:textId="77777777" w:rsidR="00011EDA" w:rsidRDefault="00011EDA" w:rsidP="00ED5BC6">
      <w:pPr>
        <w:pStyle w:val="Heading1"/>
        <w:spacing w:line="276" w:lineRule="auto"/>
      </w:pPr>
      <w:r>
        <w:t>Operating System</w:t>
      </w:r>
    </w:p>
    <w:p w14:paraId="7D1EC053" w14:textId="77777777" w:rsidR="00D1501C" w:rsidRDefault="00011EDA" w:rsidP="00ED5BC6">
      <w:pPr>
        <w:spacing w:line="276" w:lineRule="auto"/>
        <w:rPr>
          <w:szCs w:val="24"/>
        </w:rPr>
      </w:pPr>
      <w:r>
        <w:rPr>
          <w:szCs w:val="24"/>
        </w:rPr>
        <w:t xml:space="preserve">This submission was developed on Windows 10 (version </w:t>
      </w:r>
      <w:r w:rsidRPr="008A7D10">
        <w:rPr>
          <w:szCs w:val="24"/>
        </w:rPr>
        <w:t>10.0.18362</w:t>
      </w:r>
      <w:r>
        <w:rPr>
          <w:szCs w:val="24"/>
        </w:rPr>
        <w:t xml:space="preserve">) using the Microsoft Visual Studio 2019. The C code was compiled with the MSVC toolkit included with Visual Studio. </w:t>
      </w:r>
      <w:r w:rsidR="00D1501C">
        <w:rPr>
          <w:szCs w:val="24"/>
        </w:rPr>
        <w:t xml:space="preserve">The MS-MPI implementation of MPI was used. </w:t>
      </w:r>
      <w:r>
        <w:rPr>
          <w:szCs w:val="24"/>
        </w:rPr>
        <w:t xml:space="preserve">An installation of Python 3.7 with the parameterized </w:t>
      </w:r>
      <w:sdt>
        <w:sdtPr>
          <w:rPr>
            <w:szCs w:val="24"/>
          </w:rPr>
          <w:id w:val="-1951624989"/>
          <w:citation/>
        </w:sdtPr>
        <w:sdtContent>
          <w:r>
            <w:rPr>
              <w:szCs w:val="24"/>
            </w:rPr>
            <w:fldChar w:fldCharType="begin"/>
          </w:r>
          <w:r>
            <w:rPr>
              <w:szCs w:val="24"/>
            </w:rPr>
            <w:instrText xml:space="preserve"> CITATION wol19 \l 3081 </w:instrText>
          </w:r>
          <w:r>
            <w:rPr>
              <w:szCs w:val="24"/>
            </w:rPr>
            <w:fldChar w:fldCharType="separate"/>
          </w:r>
          <w:r w:rsidRPr="00011EDA">
            <w:rPr>
              <w:noProof/>
              <w:szCs w:val="24"/>
            </w:rPr>
            <w:t>(wolever, 2019)</w:t>
          </w:r>
          <w:r>
            <w:rPr>
              <w:szCs w:val="24"/>
            </w:rPr>
            <w:fldChar w:fldCharType="end"/>
          </w:r>
        </w:sdtContent>
      </w:sdt>
      <w:r>
        <w:rPr>
          <w:szCs w:val="24"/>
        </w:rPr>
        <w:t xml:space="preserve"> and matplotlib </w:t>
      </w:r>
      <w:sdt>
        <w:sdtPr>
          <w:rPr>
            <w:szCs w:val="24"/>
          </w:rPr>
          <w:id w:val="954902509"/>
          <w:citation/>
        </w:sdtPr>
        <w:sdtContent>
          <w:r>
            <w:rPr>
              <w:szCs w:val="24"/>
            </w:rPr>
            <w:fldChar w:fldCharType="begin"/>
          </w:r>
          <w:r>
            <w:rPr>
              <w:szCs w:val="24"/>
            </w:rPr>
            <w:instrText xml:space="preserve"> CITATION Hun19 \l 3081 </w:instrText>
          </w:r>
          <w:r>
            <w:rPr>
              <w:szCs w:val="24"/>
            </w:rPr>
            <w:fldChar w:fldCharType="separate"/>
          </w:r>
          <w:r w:rsidRPr="00011EDA">
            <w:rPr>
              <w:noProof/>
              <w:szCs w:val="24"/>
            </w:rPr>
            <w:t>(Hunter &amp; Droettboom, 2019)</w:t>
          </w:r>
          <w:r>
            <w:rPr>
              <w:szCs w:val="24"/>
            </w:rPr>
            <w:fldChar w:fldCharType="end"/>
          </w:r>
        </w:sdtContent>
      </w:sdt>
      <w:r>
        <w:rPr>
          <w:szCs w:val="24"/>
        </w:rPr>
        <w:t xml:space="preserve"> was used to run a collection of tests and performance test script.</w:t>
      </w:r>
    </w:p>
    <w:p w14:paraId="1FC53501" w14:textId="77777777" w:rsidR="00011EDA" w:rsidRDefault="00D1501C" w:rsidP="00ED5BC6">
      <w:pPr>
        <w:pStyle w:val="Heading1"/>
        <w:spacing w:line="276" w:lineRule="auto"/>
      </w:pPr>
      <w:r>
        <w:t>Overview</w:t>
      </w:r>
    </w:p>
    <w:p w14:paraId="6B8F1CC9" w14:textId="77777777" w:rsidR="00011EDA" w:rsidRDefault="00D1501C" w:rsidP="00ED5BC6">
      <w:pPr>
        <w:spacing w:line="276" w:lineRule="auto"/>
      </w:pPr>
      <w:r>
        <w:t>The project required the implementation of a parallelized version of either Dijkstra’s or the Floyd-Warshall all-pairs shortest-path algorithm (APSP). Plan optimization and navigation are two examples of real world APSP. The input to an APSP problem is a weighted directed graph and the answer is the collection of shortest paths from any node to any other node.</w:t>
      </w:r>
    </w:p>
    <w:p w14:paraId="6C50386A" w14:textId="77777777" w:rsidR="00D1501C" w:rsidRDefault="00D1501C" w:rsidP="00ED5BC6">
      <w:pPr>
        <w:spacing w:line="276" w:lineRule="auto"/>
      </w:pPr>
      <w:r>
        <w:t>We decided to implement the Floyd-Warshall algorithm because we hadn’t implemented it before, and it was in our opinion more conceptually elegant than Dijkstra’s algorithm. Python scripts were written to test the implementation and gather performance metrics.</w:t>
      </w:r>
    </w:p>
    <w:p w14:paraId="5C911BD7" w14:textId="77777777" w:rsidR="00D1501C" w:rsidRDefault="00D1501C" w:rsidP="00ED5BC6">
      <w:pPr>
        <w:pStyle w:val="Heading1"/>
        <w:spacing w:line="276" w:lineRule="auto"/>
      </w:pPr>
      <w:r>
        <w:t>Parallelization Strategy</w:t>
      </w:r>
    </w:p>
    <w:p w14:paraId="45E5DF25" w14:textId="77777777" w:rsidR="002F75D5" w:rsidRDefault="002F75D5" w:rsidP="00ED5BC6">
      <w:pPr>
        <w:spacing w:line="276" w:lineRule="auto"/>
      </w:pPr>
      <w:r>
        <w:t xml:space="preserve">The non-parallelized version of the Floyd-Warshall (The Algorithm) is typically </w:t>
      </w:r>
      <w:r>
        <w:t>implemented with a dynamic programming approach which applies a series of relaxations to an adjacency matrix which contains estimates of the minimum distance between nodes. On successive iterations this estimate is relaxed until it is optimal.</w:t>
      </w:r>
    </w:p>
    <w:p w14:paraId="1EAE78B1" w14:textId="77777777" w:rsidR="002F75D5" w:rsidRDefault="0064371C" w:rsidP="00ED5BC6">
      <w:pPr>
        <w:pStyle w:val="Heading2"/>
        <w:spacing w:line="276" w:lineRule="auto"/>
      </w:pPr>
      <w:r>
        <w:t xml:space="preserve">Dynamic Programming </w:t>
      </w:r>
      <w:r w:rsidR="002F75D5">
        <w:t>Reduction</w:t>
      </w:r>
    </w:p>
    <w:p w14:paraId="2658E782" w14:textId="77777777" w:rsidR="002F75D5" w:rsidRDefault="002F75D5" w:rsidP="00ED5BC6">
      <w:pPr>
        <w:spacing w:line="276" w:lineRule="auto"/>
      </w:pPr>
      <w:r>
        <w:t xml:space="preserve">The problem of finding the shortest path in a weighted directed graph G with </w:t>
      </w:r>
      <w:r w:rsidR="0064371C">
        <w:rPr>
          <w:i/>
          <w:iCs/>
        </w:rPr>
        <w:t>n</w:t>
      </w:r>
      <w:r>
        <w:t xml:space="preserve"> </w:t>
      </w:r>
      <w:r w:rsidRPr="002F75D5">
        <w:t>vertices</w:t>
      </w:r>
      <w:r>
        <w:t xml:space="preserve"> </w:t>
      </w:r>
      <w:r w:rsidRPr="002F75D5">
        <w:t>V</w:t>
      </w:r>
      <w:r>
        <w:t xml:space="preserve"> between two vertices A and B can be reduced to choosing the shorter of:</w:t>
      </w:r>
    </w:p>
    <w:p w14:paraId="3BB62B76" w14:textId="77777777" w:rsidR="002F75D5" w:rsidRDefault="002F75D5" w:rsidP="00ED5BC6">
      <w:pPr>
        <w:pStyle w:val="ListParagraph"/>
        <w:numPr>
          <w:ilvl w:val="0"/>
          <w:numId w:val="1"/>
        </w:numPr>
        <w:spacing w:line="276" w:lineRule="auto"/>
      </w:pPr>
      <w:r>
        <w:t xml:space="preserve">A path from A to B which does not visit the </w:t>
      </w:r>
      <w:r>
        <w:rPr>
          <w:i/>
          <w:iCs/>
        </w:rPr>
        <w:t>k-</w:t>
      </w:r>
      <w:proofErr w:type="spellStart"/>
      <w:r>
        <w:t>th</w:t>
      </w:r>
      <w:proofErr w:type="spellEnd"/>
      <w:r>
        <w:t xml:space="preserve"> node.</w:t>
      </w:r>
    </w:p>
    <w:p w14:paraId="56AE2169" w14:textId="77777777" w:rsidR="002F75D5" w:rsidRDefault="002F75D5" w:rsidP="00ED5BC6">
      <w:pPr>
        <w:pStyle w:val="ListParagraph"/>
        <w:numPr>
          <w:ilvl w:val="0"/>
          <w:numId w:val="1"/>
        </w:numPr>
        <w:spacing w:line="276" w:lineRule="auto"/>
      </w:pPr>
      <w:r>
        <w:t xml:space="preserve">A path from A to the </w:t>
      </w:r>
      <w:r>
        <w:rPr>
          <w:i/>
          <w:iCs/>
        </w:rPr>
        <w:t>k</w:t>
      </w:r>
      <w:r>
        <w:t>-</w:t>
      </w:r>
      <w:proofErr w:type="spellStart"/>
      <w:r>
        <w:t>th</w:t>
      </w:r>
      <w:proofErr w:type="spellEnd"/>
      <w:r>
        <w:t xml:space="preserve"> node, and then from the </w:t>
      </w:r>
      <w:r>
        <w:rPr>
          <w:i/>
          <w:iCs/>
        </w:rPr>
        <w:t>k</w:t>
      </w:r>
      <w:r>
        <w:t>-</w:t>
      </w:r>
      <w:proofErr w:type="spellStart"/>
      <w:r>
        <w:t>th</w:t>
      </w:r>
      <w:proofErr w:type="spellEnd"/>
      <w:r>
        <w:t xml:space="preserve"> node to B.</w:t>
      </w:r>
    </w:p>
    <w:p w14:paraId="7144A749" w14:textId="77777777" w:rsidR="002F75D5" w:rsidRDefault="002F75D5" w:rsidP="00ED5BC6">
      <w:pPr>
        <w:spacing w:line="276" w:lineRule="auto"/>
      </w:pPr>
      <w:r>
        <w:t xml:space="preserve">By arbitrarily ordering our vertices, we can successively </w:t>
      </w:r>
      <w:r w:rsidR="0064371C">
        <w:t xml:space="preserve">ask this question for </w:t>
      </w:r>
      <w:r w:rsidR="0064371C">
        <w:rPr>
          <w:i/>
          <w:iCs/>
        </w:rPr>
        <w:t>k</w:t>
      </w:r>
      <w:r w:rsidR="0064371C">
        <w:t xml:space="preserve"> = 1 up to and including </w:t>
      </w:r>
      <w:r w:rsidR="0064371C">
        <w:rPr>
          <w:i/>
          <w:iCs/>
        </w:rPr>
        <w:t>k</w:t>
      </w:r>
      <w:r w:rsidR="0064371C">
        <w:t xml:space="preserve"> = </w:t>
      </w:r>
      <w:r w:rsidR="0064371C">
        <w:rPr>
          <w:i/>
          <w:iCs/>
        </w:rPr>
        <w:t>n</w:t>
      </w:r>
      <w:r w:rsidR="0064371C">
        <w:t>. Intuitively this is asking for increasing sets of vertices if there is a shorted path from A to B using the current (larger) set of nodes, or the previous (smaller) set of nodes.</w:t>
      </w:r>
    </w:p>
    <w:p w14:paraId="71D29C2B" w14:textId="77777777" w:rsidR="0064371C" w:rsidRDefault="0064371C" w:rsidP="00ED5BC6">
      <w:pPr>
        <w:pStyle w:val="Heading2"/>
        <w:spacing w:line="276" w:lineRule="auto"/>
      </w:pPr>
      <w:r>
        <w:t>Task Subdivision</w:t>
      </w:r>
    </w:p>
    <w:p w14:paraId="5ED134B0" w14:textId="60C4301E" w:rsidR="0010443C" w:rsidRDefault="00DE23B3" w:rsidP="00ED5BC6">
      <w:pPr>
        <w:spacing w:line="276" w:lineRule="auto"/>
        <w:sectPr w:rsidR="0010443C" w:rsidSect="0010443C">
          <w:type w:val="continuous"/>
          <w:pgSz w:w="11906" w:h="16838"/>
          <w:pgMar w:top="1440" w:right="1440" w:bottom="1440" w:left="1440" w:header="708" w:footer="708" w:gutter="0"/>
          <w:cols w:num="2" w:space="708"/>
          <w:docGrid w:linePitch="360"/>
        </w:sectPr>
      </w:pPr>
      <w:r>
        <w:t xml:space="preserve">The algorithm can be parallelized by distributing vertex pairs between the available processes. Conceptually this is the equivalent of re-writing the implementation in </w:t>
      </w:r>
      <w:r w:rsidRPr="00DE09E0">
        <w:rPr>
          <w:rStyle w:val="IntenseEmphasis"/>
        </w:rPr>
        <w:fldChar w:fldCharType="begin"/>
      </w:r>
      <w:r w:rsidRPr="00DE09E0">
        <w:rPr>
          <w:rStyle w:val="IntenseEmphasis"/>
        </w:rPr>
        <w:instrText xml:space="preserve"> REF _Ref22655074 \h  \* MERGEFORMAT </w:instrText>
      </w:r>
      <w:r w:rsidRPr="00DE09E0">
        <w:rPr>
          <w:rStyle w:val="IntenseEmphasis"/>
        </w:rPr>
      </w:r>
      <w:r w:rsidRPr="00DE09E0">
        <w:rPr>
          <w:rStyle w:val="IntenseEmphasis"/>
        </w:rPr>
        <w:fldChar w:fldCharType="separate"/>
      </w:r>
      <w:r w:rsidR="00CA4078" w:rsidRPr="00CA4078">
        <w:rPr>
          <w:rStyle w:val="IntenseEmphasis"/>
        </w:rPr>
        <w:t>Figure 1: Floyd-</w:t>
      </w:r>
      <w:proofErr w:type="spellStart"/>
      <w:r w:rsidR="00CA4078" w:rsidRPr="00CA4078">
        <w:rPr>
          <w:rStyle w:val="IntenseEmphasis"/>
        </w:rPr>
        <w:t>Warshall</w:t>
      </w:r>
      <w:proofErr w:type="spellEnd"/>
      <w:r w:rsidR="00CA4078" w:rsidRPr="00CA4078">
        <w:rPr>
          <w:rStyle w:val="IntenseEmphasis"/>
        </w:rPr>
        <w:t xml:space="preserve"> Algorithm</w:t>
      </w:r>
      <w:r w:rsidRPr="00DE09E0">
        <w:rPr>
          <w:rStyle w:val="IntenseEmphasis"/>
        </w:rPr>
        <w:fldChar w:fldCharType="end"/>
      </w:r>
      <w:r>
        <w:rPr>
          <w:rStyle w:val="IntenseReference"/>
        </w:rPr>
        <w:t xml:space="preserve"> </w:t>
      </w:r>
      <w:r>
        <w:t xml:space="preserve">by copy-pasting the </w:t>
      </w:r>
      <w:r w:rsidR="006C691B">
        <w:t xml:space="preserve">two </w:t>
      </w:r>
      <w:r>
        <w:t xml:space="preserve">inner loop (over i’s and j’s) where </w:t>
      </w:r>
      <w:r>
        <w:lastRenderedPageBreak/>
        <w:t xml:space="preserve">each copy of the loop traverses a </w:t>
      </w:r>
      <w:r w:rsidR="0030248C">
        <w:t xml:space="preserve">unique </w:t>
      </w:r>
      <w:r>
        <w:t>portion of the vertices.</w:t>
      </w:r>
    </w:p>
    <w:p w14:paraId="2080F932" w14:textId="7A490852" w:rsidR="0064371C" w:rsidRDefault="00DE09E0" w:rsidP="00ED5BC6">
      <w:pPr>
        <w:spacing w:line="276" w:lineRule="auto"/>
      </w:pPr>
      <w:r>
        <w:br/>
      </w:r>
      <w:bookmarkStart w:id="0" w:name="_MON_1633267569"/>
      <w:bookmarkEnd w:id="0"/>
      <w:r w:rsidR="0064371C">
        <w:object w:dxaOrig="9026" w:dyaOrig="1861" w14:anchorId="19887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51.15pt;height:92.95pt" o:ole="">
            <v:imagedata r:id="rId6" o:title=""/>
          </v:shape>
          <o:OLEObject Type="Embed" ProgID="Word.OpenDocumentText.12" ShapeID="_x0000_i1070" DrawAspect="Content" ObjectID="_1633443695" r:id="rId7"/>
        </w:object>
      </w:r>
    </w:p>
    <w:p w14:paraId="0EE4A60B" w14:textId="36B70D60" w:rsidR="0064371C" w:rsidRPr="0064371C" w:rsidRDefault="0064371C" w:rsidP="00ED5BC6">
      <w:pPr>
        <w:pStyle w:val="Caption"/>
        <w:spacing w:line="276" w:lineRule="auto"/>
      </w:pPr>
      <w:bookmarkStart w:id="1" w:name="_Ref22655074"/>
      <w:r>
        <w:t xml:space="preserve">Figure </w:t>
      </w:r>
      <w:fldSimple w:instr=" SEQ Figure \* ARABIC ">
        <w:r w:rsidR="00CA4078">
          <w:rPr>
            <w:noProof/>
          </w:rPr>
          <w:t>1</w:t>
        </w:r>
      </w:fldSimple>
      <w:r>
        <w:t>: Floyd-</w:t>
      </w:r>
      <w:proofErr w:type="spellStart"/>
      <w:r>
        <w:t>Warshall</w:t>
      </w:r>
      <w:proofErr w:type="spellEnd"/>
      <w:r>
        <w:t xml:space="preserve"> Algorithm</w:t>
      </w:r>
      <w:bookmarkEnd w:id="1"/>
    </w:p>
    <w:p w14:paraId="74C2B448" w14:textId="77777777" w:rsidR="0064371C" w:rsidRDefault="0064371C" w:rsidP="00ED5BC6">
      <w:pPr>
        <w:pStyle w:val="Code"/>
        <w:spacing w:line="276" w:lineRule="auto"/>
        <w:ind w:left="0"/>
      </w:pPr>
    </w:p>
    <w:p w14:paraId="6C8B2883" w14:textId="77777777" w:rsidR="0064371C" w:rsidRDefault="0064371C" w:rsidP="00ED5BC6">
      <w:pPr>
        <w:pStyle w:val="Code"/>
        <w:spacing w:line="276" w:lineRule="auto"/>
        <w:ind w:left="0"/>
        <w:sectPr w:rsidR="0064371C" w:rsidSect="0064371C">
          <w:type w:val="continuous"/>
          <w:pgSz w:w="11906" w:h="16838"/>
          <w:pgMar w:top="1440" w:right="1440" w:bottom="1440" w:left="1440" w:header="708" w:footer="708" w:gutter="0"/>
          <w:cols w:space="708"/>
          <w:docGrid w:linePitch="360"/>
        </w:sectPr>
      </w:pPr>
    </w:p>
    <w:p w14:paraId="319E1B42" w14:textId="4AA7AEEF" w:rsidR="0064371C" w:rsidRDefault="008012A6" w:rsidP="00ED5BC6">
      <w:pPr>
        <w:pStyle w:val="Heading2"/>
        <w:spacing w:line="276" w:lineRule="auto"/>
      </w:pPr>
      <w:r>
        <w:t>Data Dependencies</w:t>
      </w:r>
    </w:p>
    <w:p w14:paraId="67D45227" w14:textId="77777777" w:rsidR="00CA4078" w:rsidRDefault="00695478" w:rsidP="00CA4078">
      <w:pPr>
        <w:spacing w:line="276" w:lineRule="auto"/>
      </w:pPr>
      <w:r>
        <w:t xml:space="preserve">Using the beforementioned task subdivision strategy results in </w:t>
      </w:r>
      <w:r w:rsidR="00053CCE">
        <w:t xml:space="preserve">each process operating over a </w:t>
      </w:r>
      <w:r w:rsidR="00B50478">
        <w:t xml:space="preserve">rectangular ‘tile’ of the adjacency matrix. </w:t>
      </w:r>
      <w:r w:rsidR="00BF6413">
        <w:t>For</w:t>
      </w:r>
      <w:r w:rsidR="008E15FF">
        <w:t xml:space="preserve"> a process to update its tile, it may require information from </w:t>
      </w:r>
      <w:r w:rsidR="00E86922">
        <w:t>neighbouring</w:t>
      </w:r>
      <w:r w:rsidR="008E15FF">
        <w:t xml:space="preserve"> t</w:t>
      </w:r>
      <w:r w:rsidR="00E86922">
        <w:t>iles</w:t>
      </w:r>
      <w:r w:rsidR="005F33EC">
        <w:t xml:space="preserve"> along the x</w:t>
      </w:r>
      <w:r w:rsidR="00F841BC">
        <w:t xml:space="preserve"> and y axis of the tile grid</w:t>
      </w:r>
      <w:r w:rsidR="00F42E66">
        <w:t xml:space="preserve"> it is situated </w:t>
      </w:r>
      <w:r w:rsidR="000B023C">
        <w:t>in</w:t>
      </w:r>
      <w:r w:rsidR="00F42E66">
        <w:t xml:space="preserve">. </w:t>
      </w:r>
      <w:r w:rsidR="000B023C">
        <w:t>To better</w:t>
      </w:r>
      <w:r w:rsidR="00F42E66">
        <w:t xml:space="preserve"> visualize and </w:t>
      </w:r>
      <w:r w:rsidR="000B023C">
        <w:t>u</w:t>
      </w:r>
      <w:r w:rsidR="00F42E66">
        <w:t>nderstand the dependencies we constructed</w:t>
      </w:r>
      <w:r w:rsidR="00945DA8">
        <w:t xml:space="preserve"> </w:t>
      </w:r>
      <w:r w:rsidR="00945DA8" w:rsidRPr="006E0105">
        <w:rPr>
          <w:rStyle w:val="IntenseEmphasis"/>
        </w:rPr>
        <w:fldChar w:fldCharType="begin"/>
      </w:r>
      <w:r w:rsidR="00945DA8" w:rsidRPr="006E0105">
        <w:rPr>
          <w:rStyle w:val="IntenseEmphasis"/>
        </w:rPr>
        <w:instrText xml:space="preserve"> REF _Ref22656888 \h  \* MERGEFORMAT </w:instrText>
      </w:r>
      <w:r w:rsidR="00945DA8" w:rsidRPr="006E0105">
        <w:rPr>
          <w:rStyle w:val="IntenseEmphasis"/>
        </w:rPr>
      </w:r>
      <w:r w:rsidR="00945DA8" w:rsidRPr="006E0105">
        <w:rPr>
          <w:rStyle w:val="IntenseEmphasis"/>
        </w:rPr>
        <w:fldChar w:fldCharType="separate"/>
      </w:r>
      <w:r w:rsidR="00CA4078" w:rsidRPr="00CA4078">
        <w:rPr>
          <w:rStyle w:val="IntenseEmphasis"/>
        </w:rPr>
        <w:t>Figure 2: Tile Size Communication</w:t>
      </w:r>
      <w:r w:rsidR="00CA4078">
        <w:t xml:space="preserve"> Trade-off</w:t>
      </w:r>
    </w:p>
    <w:p w14:paraId="57608BF7" w14:textId="77777777" w:rsidR="00CA4078" w:rsidRDefault="00CA4078" w:rsidP="00ED5BC6">
      <w:pPr>
        <w:pStyle w:val="Caption"/>
        <w:keepNext/>
        <w:spacing w:line="276" w:lineRule="auto"/>
        <w:jc w:val="center"/>
      </w:pPr>
    </w:p>
    <w:p w14:paraId="5E337B64" w14:textId="7C377F27" w:rsidR="00E44357" w:rsidRDefault="00CA4078" w:rsidP="006E0105">
      <w:pPr>
        <w:spacing w:line="276" w:lineRule="auto"/>
      </w:pPr>
      <w:r>
        <w:t xml:space="preserve">Figure </w:t>
      </w:r>
      <w:r>
        <w:rPr>
          <w:noProof/>
        </w:rPr>
        <w:t>3</w:t>
      </w:r>
      <w:r>
        <w:t>: Data Dependency Diagram</w:t>
      </w:r>
      <w:r w:rsidR="00945DA8" w:rsidRPr="006E0105">
        <w:rPr>
          <w:rStyle w:val="IntenseEmphasis"/>
        </w:rPr>
        <w:fldChar w:fldCharType="end"/>
      </w:r>
      <w:r w:rsidR="00F42E66">
        <w:t xml:space="preserve"> which </w:t>
      </w:r>
      <w:r w:rsidR="00ED0FBC">
        <w:t xml:space="preserve">depicts the data dependencies </w:t>
      </w:r>
      <w:r w:rsidR="00BF6413">
        <w:t xml:space="preserve">of a 9x9 matrix for the </w:t>
      </w:r>
      <w:r w:rsidR="00BF6413">
        <w:rPr>
          <w:i/>
          <w:iCs/>
        </w:rPr>
        <w:t>k</w:t>
      </w:r>
      <w:r w:rsidR="00BF6413">
        <w:t>=1 iteration.</w:t>
      </w:r>
      <w:r w:rsidR="00E44357">
        <w:t xml:space="preserve"> The diagram depicts the tiles (assigned 1:1 to processes) with different colors. Each tile has a specific letter, and wherever that letter appears is a cell which is required to update the tile.</w:t>
      </w:r>
    </w:p>
    <w:p w14:paraId="35234ED4" w14:textId="0D1DC2A5" w:rsidR="007F7A85" w:rsidRDefault="0075442C" w:rsidP="00ED5BC6">
      <w:pPr>
        <w:pStyle w:val="Heading1"/>
        <w:spacing w:line="276" w:lineRule="auto"/>
      </w:pPr>
      <w:r>
        <w:t>Performance</w:t>
      </w:r>
    </w:p>
    <w:p w14:paraId="49C0E2B2" w14:textId="2C44ABCC" w:rsidR="0075442C" w:rsidRDefault="00257D37" w:rsidP="00ED5BC6">
      <w:pPr>
        <w:spacing w:line="276" w:lineRule="auto"/>
      </w:pPr>
      <w:r>
        <w:t xml:space="preserve">The program was compiled in release mode and invoked by a Python script completing 25 trials for each combination of matrix size and thread count category. </w:t>
      </w:r>
      <w:r w:rsidR="005810D6">
        <w:t xml:space="preserve">The mean and standard deviation were calculated and recorded in </w:t>
      </w:r>
      <w:r w:rsidR="005810D6" w:rsidRPr="005810D6">
        <w:rPr>
          <w:rStyle w:val="IntenseEmphasis"/>
        </w:rPr>
        <w:fldChar w:fldCharType="begin"/>
      </w:r>
      <w:r w:rsidR="005810D6" w:rsidRPr="005810D6">
        <w:rPr>
          <w:rStyle w:val="IntenseEmphasis"/>
        </w:rPr>
        <w:instrText xml:space="preserve"> REF _Ref22668686 \h </w:instrText>
      </w:r>
      <w:r w:rsidR="005810D6">
        <w:rPr>
          <w:rStyle w:val="IntenseEmphasis"/>
        </w:rPr>
        <w:instrText xml:space="preserve"> \* MERGEFORMAT </w:instrText>
      </w:r>
      <w:r w:rsidR="005810D6" w:rsidRPr="005810D6">
        <w:rPr>
          <w:rStyle w:val="IntenseEmphasis"/>
        </w:rPr>
      </w:r>
      <w:r w:rsidR="005810D6" w:rsidRPr="005810D6">
        <w:rPr>
          <w:rStyle w:val="IntenseEmphasis"/>
        </w:rPr>
        <w:fldChar w:fldCharType="separate"/>
      </w:r>
      <w:r w:rsidR="00CA4078" w:rsidRPr="00CA4078">
        <w:rPr>
          <w:rStyle w:val="IntenseEmphasis"/>
        </w:rPr>
        <w:t>Table 1: Performance Results</w:t>
      </w:r>
      <w:r w:rsidR="005810D6" w:rsidRPr="005810D6">
        <w:rPr>
          <w:rStyle w:val="IntenseEmphasis"/>
        </w:rPr>
        <w:fldChar w:fldCharType="end"/>
      </w:r>
      <w:r w:rsidR="00BD42FA" w:rsidRPr="00BD42FA">
        <w:t>.</w:t>
      </w:r>
      <w:r w:rsidR="00BD42FA">
        <w:t xml:space="preserve"> </w:t>
      </w:r>
      <w:r w:rsidR="00FE12E4">
        <w:t>Generally,</w:t>
      </w:r>
      <w:r w:rsidR="00FE3313">
        <w:t xml:space="preserve"> there </w:t>
      </w:r>
      <w:r w:rsidR="00087513">
        <w:t>was a</w:t>
      </w:r>
      <w:r w:rsidR="00FE3313">
        <w:t xml:space="preserve"> significant performance improve</w:t>
      </w:r>
      <w:r w:rsidR="00087513">
        <w:t xml:space="preserve">ment </w:t>
      </w:r>
      <w:r w:rsidR="006D5026">
        <w:t xml:space="preserve">of between </w:t>
      </w:r>
      <w:r w:rsidR="008A1BC1">
        <w:t>20-63%</w:t>
      </w:r>
      <w:r w:rsidR="00FE12E4">
        <w:t xml:space="preserve"> </w:t>
      </w:r>
      <w:r w:rsidR="000B023C">
        <w:t xml:space="preserve">per category </w:t>
      </w:r>
      <w:r w:rsidR="00FE12E4">
        <w:t xml:space="preserve">as the number of threads increased. This trend stopped however at the </w:t>
      </w:r>
      <w:r w:rsidR="00434879">
        <w:t>16-thread</w:t>
      </w:r>
      <w:r w:rsidR="00FE12E4">
        <w:t xml:space="preserve"> category – this is simply an artefact </w:t>
      </w:r>
      <w:r w:rsidR="00CD7774">
        <w:t xml:space="preserve">of the tests being executed on a </w:t>
      </w:r>
      <w:r w:rsidR="00C85C0B">
        <w:t>4</w:t>
      </w:r>
      <w:r w:rsidR="00434879">
        <w:t>-core CPU</w:t>
      </w:r>
      <w:r w:rsidR="00D2325C">
        <w:t xml:space="preserve"> with Hyperthreading enabled</w:t>
      </w:r>
      <w:r w:rsidR="00434879">
        <w:t xml:space="preserve"> exposing 8 logical processors.</w:t>
      </w:r>
    </w:p>
    <w:p w14:paraId="5BC367BE" w14:textId="29B79E9E" w:rsidR="008955FD" w:rsidRDefault="006B71D3" w:rsidP="00ED5BC6">
      <w:pPr>
        <w:spacing w:line="276" w:lineRule="auto"/>
      </w:pPr>
      <w:r>
        <w:t xml:space="preserve">In analysing the performance </w:t>
      </w:r>
      <w:r w:rsidR="00B37E28">
        <w:t>characteristics,</w:t>
      </w:r>
      <w:r>
        <w:t xml:space="preserve"> the following variables must be considered: matrix size</w:t>
      </w:r>
      <w:r w:rsidR="0083314E">
        <w:t xml:space="preserve"> (</w:t>
      </w:r>
      <w:r w:rsidR="0083314E">
        <w:rPr>
          <w:i/>
          <w:iCs/>
        </w:rPr>
        <w:t>m</w:t>
      </w:r>
      <w:r w:rsidR="0083314E">
        <w:t>)</w:t>
      </w:r>
      <w:r>
        <w:t>, tile size</w:t>
      </w:r>
      <w:r w:rsidR="0083314E">
        <w:t xml:space="preserve"> (</w:t>
      </w:r>
      <w:r w:rsidR="0083314E">
        <w:rPr>
          <w:i/>
          <w:iCs/>
        </w:rPr>
        <w:t>t</w:t>
      </w:r>
      <w:r w:rsidR="0083314E">
        <w:t>)</w:t>
      </w:r>
      <w:r>
        <w:t xml:space="preserve">, </w:t>
      </w:r>
      <w:r w:rsidR="000B023C">
        <w:t xml:space="preserve">number of </w:t>
      </w:r>
      <w:r>
        <w:t xml:space="preserve">available processors </w:t>
      </w:r>
      <w:r w:rsidR="0083314E">
        <w:t>(</w:t>
      </w:r>
      <w:r w:rsidR="0083314E" w:rsidRPr="0083314E">
        <w:rPr>
          <w:i/>
          <w:iCs/>
        </w:rPr>
        <w:t>p</w:t>
      </w:r>
      <w:r w:rsidR="0083314E">
        <w:rPr>
          <w:i/>
          <w:iCs/>
        </w:rPr>
        <w:t>)</w:t>
      </w:r>
      <w:r w:rsidR="0083314E">
        <w:t xml:space="preserve"> </w:t>
      </w:r>
      <w:r w:rsidRPr="0083314E">
        <w:t>and</w:t>
      </w:r>
      <w:r>
        <w:t xml:space="preserve"> the inter-processes</w:t>
      </w:r>
      <w:r w:rsidR="000446FA">
        <w:t xml:space="preserve"> communication overhead</w:t>
      </w:r>
      <w:r w:rsidR="0083314E">
        <w:t xml:space="preserve"> (</w:t>
      </w:r>
      <w:r w:rsidR="0083314E">
        <w:rPr>
          <w:i/>
          <w:iCs/>
        </w:rPr>
        <w:t>L(</w:t>
      </w:r>
      <w:r w:rsidR="005011A4">
        <w:rPr>
          <w:i/>
          <w:iCs/>
        </w:rPr>
        <w:t>x)</w:t>
      </w:r>
      <w:r w:rsidR="005011A4">
        <w:t>)</w:t>
      </w:r>
      <w:r w:rsidR="000446FA">
        <w:t>.</w:t>
      </w:r>
    </w:p>
    <w:p w14:paraId="040EA604" w14:textId="3DE378FD" w:rsidR="008955FD" w:rsidRDefault="008955FD" w:rsidP="00ED5BC6">
      <w:pPr>
        <w:spacing w:line="276" w:lineRule="auto"/>
      </w:pPr>
      <w:r>
        <w:t xml:space="preserve">At a high level the </w:t>
      </w:r>
      <w:r w:rsidR="00650A4C">
        <w:t xml:space="preserve">heuristic to apply when deciding the size of </w:t>
      </w:r>
      <w:r w:rsidR="000B023C">
        <w:t xml:space="preserve">the </w:t>
      </w:r>
      <w:r w:rsidR="00650A4C">
        <w:t xml:space="preserve">tiles is </w:t>
      </w:r>
      <w:r w:rsidR="00EB24D6">
        <w:t>–</w:t>
      </w:r>
      <w:r w:rsidR="00650A4C">
        <w:t xml:space="preserve"> </w:t>
      </w:r>
      <w:r w:rsidR="00EB24D6">
        <w:t xml:space="preserve">what is the </w:t>
      </w:r>
      <w:r w:rsidR="00EB24D6">
        <w:rPr>
          <w:i/>
          <w:iCs/>
        </w:rPr>
        <w:t>maximum</w:t>
      </w:r>
      <w:r w:rsidR="00EB24D6">
        <w:t xml:space="preserve"> </w:t>
      </w:r>
      <w:r w:rsidR="00054B02">
        <w:t xml:space="preserve">tile size </w:t>
      </w:r>
      <w:r w:rsidR="00054B02">
        <w:rPr>
          <w:i/>
          <w:iCs/>
        </w:rPr>
        <w:t>t</w:t>
      </w:r>
      <w:r w:rsidR="00054B02">
        <w:t xml:space="preserve"> I can make </w:t>
      </w:r>
      <w:r w:rsidR="000575D2">
        <w:t xml:space="preserve">given that </w:t>
      </w:r>
      <w:r w:rsidR="00A7397F">
        <w:t xml:space="preserve">I can use at most </w:t>
      </w:r>
      <w:r w:rsidR="00054B02">
        <w:rPr>
          <w:i/>
          <w:iCs/>
        </w:rPr>
        <w:t>p</w:t>
      </w:r>
      <w:r w:rsidR="00054B02">
        <w:t xml:space="preserve"> </w:t>
      </w:r>
      <w:r w:rsidR="000B023C">
        <w:t xml:space="preserve">square </w:t>
      </w:r>
      <w:r w:rsidR="00437A51">
        <w:t>t</w:t>
      </w:r>
      <w:r w:rsidR="00A7397F">
        <w:t xml:space="preserve">iles to cover </w:t>
      </w:r>
      <w:r w:rsidR="00A7397F">
        <w:rPr>
          <w:i/>
          <w:iCs/>
        </w:rPr>
        <w:t>m</w:t>
      </w:r>
      <w:r w:rsidR="00A7397F">
        <w:rPr>
          <w:vertAlign w:val="superscript"/>
        </w:rPr>
        <w:t>2</w:t>
      </w:r>
      <w:r w:rsidR="00A7397F">
        <w:t xml:space="preserve"> </w:t>
      </w:r>
      <w:r w:rsidR="004516D3">
        <w:t>adjacency values</w:t>
      </w:r>
      <w:r w:rsidR="00221FEE">
        <w:t>.</w:t>
      </w:r>
    </w:p>
    <w:p w14:paraId="71DA4FCB" w14:textId="43C90C57" w:rsidR="00E12ACA" w:rsidRPr="00913FFE" w:rsidRDefault="008955FD" w:rsidP="00ED5BC6">
      <w:pPr>
        <w:spacing w:line="276" w:lineRule="auto"/>
      </w:pPr>
      <w:r>
        <w:t>F</w:t>
      </w:r>
      <w:r w:rsidR="00172573">
        <w:t>or</w:t>
      </w:r>
      <w:r w:rsidR="00754A8A">
        <w:t xml:space="preserve"> small matrix sizes</w:t>
      </w:r>
      <w:r w:rsidR="006F100F">
        <w:t xml:space="preserve"> </w:t>
      </w:r>
      <w:proofErr w:type="gramStart"/>
      <w:r>
        <w:t xml:space="preserve">in particular </w:t>
      </w:r>
      <w:r w:rsidR="006F100F">
        <w:t>you</w:t>
      </w:r>
      <w:proofErr w:type="gramEnd"/>
      <w:r w:rsidR="006F100F">
        <w:t xml:space="preserve"> must consider </w:t>
      </w:r>
      <w:r w:rsidR="008A5A6E">
        <w:t xml:space="preserve">if the communication overhead for each process of </w:t>
      </w:r>
      <w:r w:rsidR="00CC65F9">
        <w:rPr>
          <w:i/>
          <w:iCs/>
        </w:rPr>
        <w:t>L(2t)</w:t>
      </w:r>
      <w:r w:rsidR="00CC65F9">
        <w:t xml:space="preserve"> (</w:t>
      </w:r>
      <w:r w:rsidR="00B57463">
        <w:t xml:space="preserve">each process must broadcast/receive </w:t>
      </w:r>
      <w:r w:rsidR="007837A3">
        <w:t>two</w:t>
      </w:r>
      <w:r w:rsidR="003F6457">
        <w:t xml:space="preserve"> </w:t>
      </w:r>
      <w:r w:rsidR="003F6457">
        <w:rPr>
          <w:i/>
          <w:iCs/>
        </w:rPr>
        <w:t>t</w:t>
      </w:r>
      <w:r w:rsidR="003F6457">
        <w:t xml:space="preserve"> </w:t>
      </w:r>
      <w:r w:rsidR="003F6457">
        <w:lastRenderedPageBreak/>
        <w:t>sized</w:t>
      </w:r>
      <w:r w:rsidR="007837A3">
        <w:t xml:space="preserve"> segments</w:t>
      </w:r>
      <w:r w:rsidR="003F6457">
        <w:t>)</w:t>
      </w:r>
      <w:r w:rsidR="000B023C">
        <w:t xml:space="preserve"> outweighs the parallelization benefit</w:t>
      </w:r>
      <w:r w:rsidR="007841E0">
        <w:t>.</w:t>
      </w:r>
      <w:r w:rsidR="00E12ACA">
        <w:t xml:space="preserve"> T</w:t>
      </w:r>
      <w:r w:rsidR="00913FFE">
        <w:t xml:space="preserve">he </w:t>
      </w:r>
      <w:r w:rsidR="00E12ACA">
        <w:t xml:space="preserve">relationship </w:t>
      </w:r>
      <w:r w:rsidR="00913FFE">
        <w:t>between tile size and communication overhead is presented graphically</w:t>
      </w:r>
      <w:r w:rsidR="00E12ACA">
        <w:t xml:space="preserve"> </w:t>
      </w:r>
      <w:r w:rsidR="00913FFE">
        <w:t xml:space="preserve">in </w:t>
      </w:r>
      <w:r w:rsidR="00913FFE" w:rsidRPr="00913FFE">
        <w:rPr>
          <w:rStyle w:val="IntenseEmphasis"/>
        </w:rPr>
        <w:fldChar w:fldCharType="begin"/>
      </w:r>
      <w:r w:rsidR="00913FFE" w:rsidRPr="00913FFE">
        <w:rPr>
          <w:rStyle w:val="IntenseEmphasis"/>
        </w:rPr>
        <w:instrText xml:space="preserve"> REF _Ref22829832 \h </w:instrText>
      </w:r>
      <w:r w:rsidR="00913FFE" w:rsidRPr="00913FFE">
        <w:rPr>
          <w:rStyle w:val="IntenseEmphasis"/>
        </w:rPr>
      </w:r>
      <w:r w:rsidR="00913FFE">
        <w:rPr>
          <w:rStyle w:val="IntenseEmphasis"/>
        </w:rPr>
        <w:instrText xml:space="preserve"> \* MERGEFORMAT </w:instrText>
      </w:r>
      <w:r w:rsidR="00913FFE" w:rsidRPr="00913FFE">
        <w:rPr>
          <w:rStyle w:val="IntenseEmphasis"/>
        </w:rPr>
        <w:fldChar w:fldCharType="separate"/>
      </w:r>
      <w:r w:rsidR="00CA4078" w:rsidRPr="00CA4078">
        <w:rPr>
          <w:rStyle w:val="IntenseEmphasis"/>
        </w:rPr>
        <w:t>Figure 2: Tile Size Communication Trade-off</w:t>
      </w:r>
      <w:r w:rsidR="00913FFE" w:rsidRPr="00913FFE">
        <w:rPr>
          <w:rStyle w:val="IntenseEmphasis"/>
        </w:rPr>
        <w:fldChar w:fldCharType="end"/>
      </w:r>
      <w:r w:rsidR="00913FFE">
        <w:t>. Notice that</w:t>
      </w:r>
      <w:r w:rsidR="00E12ACA">
        <w:t xml:space="preserve"> </w:t>
      </w:r>
      <w:r w:rsidR="00913FFE">
        <w:t>only at a certain tile size is the communication overhead L(x) less than the parallelization benefit which scales with the number of adjacency values (t</w:t>
      </w:r>
      <w:r w:rsidR="00913FFE">
        <w:rPr>
          <w:vertAlign w:val="superscript"/>
        </w:rPr>
        <w:t>2</w:t>
      </w:r>
      <w:r w:rsidR="00913FFE">
        <w:t>) in the tile.</w:t>
      </w:r>
    </w:p>
    <w:p w14:paraId="0D638113" w14:textId="7A86A41C" w:rsidR="002D5C6D" w:rsidRDefault="002311FC" w:rsidP="00ED5BC6">
      <w:pPr>
        <w:spacing w:line="276" w:lineRule="auto"/>
      </w:pPr>
      <w:r>
        <w:t>I</w:t>
      </w:r>
      <w:r w:rsidR="007F2B89">
        <w:t>t should be noted that this</w:t>
      </w:r>
      <w:r w:rsidR="00A9429C">
        <w:t xml:space="preserve"> </w:t>
      </w:r>
      <w:r w:rsidR="00A369B4">
        <w:t xml:space="preserve">overhead </w:t>
      </w:r>
      <w:r w:rsidR="007F2B89">
        <w:t>consideration</w:t>
      </w:r>
      <w:r w:rsidR="00A369B4">
        <w:t xml:space="preserve"> is also relevant at </w:t>
      </w:r>
      <w:r w:rsidR="00A369B4">
        <w:rPr>
          <w:i/>
          <w:iCs/>
        </w:rPr>
        <w:t>large</w:t>
      </w:r>
      <w:r w:rsidR="007F2B89">
        <w:rPr>
          <w:i/>
          <w:iCs/>
        </w:rPr>
        <w:t xml:space="preserve"> </w:t>
      </w:r>
      <w:r w:rsidR="007F2B89">
        <w:t xml:space="preserve">matrix sizes if </w:t>
      </w:r>
      <w:r w:rsidR="007F2B89">
        <w:rPr>
          <w:i/>
          <w:iCs/>
        </w:rPr>
        <w:t>vast</w:t>
      </w:r>
      <w:r w:rsidR="007F2B89">
        <w:t xml:space="preserve"> numbers of processors are available</w:t>
      </w:r>
      <w:r w:rsidR="00690134">
        <w:t xml:space="preserve"> </w:t>
      </w:r>
      <w:r>
        <w:t>because then the tile size is driven down. I</w:t>
      </w:r>
      <w:r w:rsidR="00690134">
        <w:t xml:space="preserve">n the extreme case </w:t>
      </w:r>
      <w:r w:rsidR="0067698B">
        <w:t xml:space="preserve">having </w:t>
      </w:r>
      <w:r w:rsidR="00B55ABB">
        <w:rPr>
          <w:i/>
          <w:iCs/>
        </w:rPr>
        <w:t>m</w:t>
      </w:r>
      <w:r w:rsidR="00B55ABB">
        <w:rPr>
          <w:vertAlign w:val="superscript"/>
        </w:rPr>
        <w:t>2</w:t>
      </w:r>
      <w:r w:rsidR="00B55ABB">
        <w:t xml:space="preserve"> processes</w:t>
      </w:r>
      <w:r>
        <w:t xml:space="preserve"> each</w:t>
      </w:r>
      <w:r w:rsidR="00B55ABB">
        <w:t xml:space="preserve"> cover a 1x1 tile</w:t>
      </w:r>
      <w:r w:rsidR="008955FD">
        <w:t xml:space="preserve"> would be less efficient than having 1 process cover the whole adjacency matrix</w:t>
      </w:r>
      <w:r>
        <w:t xml:space="preserve"> (refer to </w:t>
      </w:r>
      <w:r w:rsidRPr="002311FC">
        <w:rPr>
          <w:rStyle w:val="IntenseEmphasis"/>
        </w:rPr>
        <w:fldChar w:fldCharType="begin"/>
      </w:r>
      <w:r w:rsidRPr="002311FC">
        <w:rPr>
          <w:rStyle w:val="IntenseEmphasis"/>
        </w:rPr>
        <w:instrText xml:space="preserve"> REF _Ref22830133 \h </w:instrText>
      </w:r>
      <w:r w:rsidRPr="002311FC">
        <w:rPr>
          <w:rStyle w:val="IntenseEmphasis"/>
        </w:rPr>
      </w:r>
      <w:r>
        <w:rPr>
          <w:rStyle w:val="IntenseEmphasis"/>
        </w:rPr>
        <w:instrText xml:space="preserve"> \* MERGEFORMAT </w:instrText>
      </w:r>
      <w:r w:rsidRPr="002311FC">
        <w:rPr>
          <w:rStyle w:val="IntenseEmphasis"/>
        </w:rPr>
        <w:fldChar w:fldCharType="separate"/>
      </w:r>
      <w:r w:rsidR="00CA4078" w:rsidRPr="00CA4078">
        <w:rPr>
          <w:rStyle w:val="IntenseEmphasis"/>
        </w:rPr>
        <w:t>Figure 2</w:t>
      </w:r>
      <w:r w:rsidRPr="002311FC">
        <w:rPr>
          <w:rStyle w:val="IntenseEmphasis"/>
        </w:rPr>
        <w:fldChar w:fldCharType="end"/>
      </w:r>
      <w:r>
        <w:t>)</w:t>
      </w:r>
      <w:r w:rsidR="008955FD">
        <w:t>.</w:t>
      </w:r>
    </w:p>
    <w:p w14:paraId="105BA977" w14:textId="174F05BC" w:rsidR="00BF6413" w:rsidRDefault="007B53A3" w:rsidP="00ED5BC6">
      <w:pPr>
        <w:spacing w:line="276" w:lineRule="auto"/>
        <w:sectPr w:rsidR="00BF6413" w:rsidSect="0064371C">
          <w:type w:val="continuous"/>
          <w:pgSz w:w="11906" w:h="16838"/>
          <w:pgMar w:top="1440" w:right="1440" w:bottom="1440" w:left="1440" w:header="708" w:footer="708" w:gutter="0"/>
          <w:cols w:num="2" w:space="708"/>
          <w:docGrid w:linePitch="360"/>
        </w:sectPr>
      </w:pPr>
      <w:r>
        <w:t xml:space="preserve">A more detailed </w:t>
      </w:r>
      <w:r w:rsidR="00573833">
        <w:t xml:space="preserve">analysis </w:t>
      </w:r>
      <w:r w:rsidR="00C3271A">
        <w:t>utilizing</w:t>
      </w:r>
      <w:r w:rsidR="00573833">
        <w:t xml:space="preserve"> Amdahl’s Law </w:t>
      </w:r>
      <w:sdt>
        <w:sdtPr>
          <w:id w:val="1593200684"/>
          <w:citation/>
        </w:sdtPr>
        <w:sdtContent>
          <w:r w:rsidR="00573833">
            <w:fldChar w:fldCharType="begin"/>
          </w:r>
          <w:r w:rsidR="00573833">
            <w:instrText xml:space="preserve"> CITATION Wik19 \l 3081 </w:instrText>
          </w:r>
          <w:r w:rsidR="00573833">
            <w:fldChar w:fldCharType="separate"/>
          </w:r>
          <w:r w:rsidR="00573833">
            <w:rPr>
              <w:noProof/>
            </w:rPr>
            <w:t>(Wikipedia, 2019)</w:t>
          </w:r>
          <w:r w:rsidR="00573833">
            <w:fldChar w:fldCharType="end"/>
          </w:r>
        </w:sdtContent>
      </w:sdt>
      <w:r w:rsidR="00573833">
        <w:t xml:space="preserve"> </w:t>
      </w:r>
      <w:r w:rsidR="005C77B1">
        <w:t xml:space="preserve">could be used to determine the precise matrix </w:t>
      </w:r>
      <w:r w:rsidR="001226A6">
        <w:t xml:space="preserve">and tile </w:t>
      </w:r>
      <w:r w:rsidR="005C77B1">
        <w:t>size</w:t>
      </w:r>
      <w:r w:rsidR="001226A6">
        <w:t>s</w:t>
      </w:r>
      <w:r w:rsidR="0016092A">
        <w:t xml:space="preserve"> for a given computer </w:t>
      </w:r>
      <w:r w:rsidR="00D228DD">
        <w:t xml:space="preserve">environment </w:t>
      </w:r>
      <w:r w:rsidR="001017FC">
        <w:t xml:space="preserve">(communication overhead and processor count) </w:t>
      </w:r>
      <w:r w:rsidR="00EF6EBF">
        <w:t xml:space="preserve">for </w:t>
      </w:r>
      <w:r w:rsidR="00D228DD">
        <w:t>which parallelization confers a benefit. For this project the empirical results gathered show that at least for matrices of size greater than or equal to 256</w:t>
      </w:r>
      <w:r w:rsidR="00E44EAF">
        <w:t xml:space="preserve"> that</w:t>
      </w:r>
      <w:r w:rsidR="00D228DD">
        <w:t xml:space="preserve"> </w:t>
      </w:r>
      <w:r w:rsidR="002B40D9">
        <w:t>parallelization results in a speedup.</w:t>
      </w:r>
    </w:p>
    <w:p w14:paraId="7AD557D6" w14:textId="4409FF67" w:rsidR="00913FFE" w:rsidRDefault="00913FFE" w:rsidP="00913FFE">
      <w:pPr>
        <w:pStyle w:val="Caption"/>
        <w:keepNext/>
        <w:jc w:val="center"/>
      </w:pPr>
      <w:bookmarkStart w:id="2" w:name="_Ref22656888"/>
      <w:bookmarkStart w:id="3" w:name="_Ref22829832"/>
      <w:bookmarkStart w:id="4" w:name="_Ref22830133"/>
      <w:r>
        <w:lastRenderedPageBreak/>
        <w:t xml:space="preserve">Figure </w:t>
      </w:r>
      <w:fldSimple w:instr=" SEQ Figure \* ARABIC ">
        <w:r w:rsidR="00CA4078">
          <w:rPr>
            <w:noProof/>
          </w:rPr>
          <w:t>2</w:t>
        </w:r>
      </w:fldSimple>
      <w:bookmarkEnd w:id="4"/>
      <w:r>
        <w:t>: Tile Size Communication Trade-off</w:t>
      </w:r>
      <w:bookmarkStart w:id="5" w:name="_GoBack"/>
      <w:bookmarkEnd w:id="3"/>
      <w:bookmarkEnd w:id="5"/>
    </w:p>
    <w:p w14:paraId="2F07B0A7" w14:textId="77777777" w:rsidR="00E12ACA" w:rsidRDefault="00E12ACA" w:rsidP="00ED5BC6">
      <w:pPr>
        <w:pStyle w:val="Caption"/>
        <w:keepNext/>
        <w:spacing w:line="276" w:lineRule="auto"/>
        <w:jc w:val="center"/>
      </w:pPr>
      <w:r>
        <w:rPr>
          <w:noProof/>
        </w:rPr>
        <w:drawing>
          <wp:anchor distT="0" distB="0" distL="114300" distR="114300" simplePos="0" relativeHeight="251658240" behindDoc="0" locked="0" layoutInCell="1" allowOverlap="1" wp14:anchorId="4315F667" wp14:editId="3F1D070F">
            <wp:simplePos x="0" y="0"/>
            <wp:positionH relativeFrom="column">
              <wp:posOffset>352068</wp:posOffset>
            </wp:positionH>
            <wp:positionV relativeFrom="paragraph">
              <wp:posOffset>2241</wp:posOffset>
            </wp:positionV>
            <wp:extent cx="5029200" cy="2984500"/>
            <wp:effectExtent l="0" t="0" r="0" b="6350"/>
            <wp:wrapTopAndBottom/>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ADB64B4" w14:textId="78BF9B10" w:rsidR="00823EB3" w:rsidRDefault="00823EB3" w:rsidP="00ED5BC6">
      <w:pPr>
        <w:pStyle w:val="Caption"/>
        <w:keepNext/>
        <w:spacing w:line="276" w:lineRule="auto"/>
        <w:jc w:val="center"/>
      </w:pPr>
      <w:r>
        <w:t xml:space="preserve">Figure </w:t>
      </w:r>
      <w:fldSimple w:instr=" SEQ Figure \* ARABIC ">
        <w:r w:rsidR="00CA4078">
          <w:rPr>
            <w:noProof/>
          </w:rPr>
          <w:t>3</w:t>
        </w:r>
      </w:fldSimple>
      <w:r>
        <w:t>: Data Dependency Diagram</w:t>
      </w:r>
      <w:bookmarkEnd w:id="2"/>
    </w:p>
    <w:bookmarkStart w:id="6" w:name="_MON_1633268618"/>
    <w:bookmarkEnd w:id="6"/>
    <w:p w14:paraId="52BB9977" w14:textId="77777777" w:rsidR="00E44357" w:rsidRDefault="00823EB3" w:rsidP="00ED5BC6">
      <w:pPr>
        <w:keepNext/>
        <w:spacing w:line="276" w:lineRule="auto"/>
        <w:jc w:val="center"/>
        <w:sectPr w:rsidR="00E44357" w:rsidSect="00BF6413">
          <w:type w:val="continuous"/>
          <w:pgSz w:w="11906" w:h="16838"/>
          <w:pgMar w:top="1440" w:right="1440" w:bottom="1440" w:left="1440" w:header="708" w:footer="708" w:gutter="0"/>
          <w:cols w:space="708"/>
          <w:docGrid w:linePitch="360"/>
        </w:sectPr>
      </w:pPr>
      <w:r>
        <w:object w:dxaOrig="7340" w:dyaOrig="7360" w14:anchorId="54D44D77">
          <v:shape id="_x0000_i1069" type="#_x0000_t75" style="width:366.85pt;height:368.2pt" o:ole="">
            <v:imagedata r:id="rId9" o:title=""/>
          </v:shape>
          <o:OLEObject Type="Embed" ProgID="Word.Document.12" ShapeID="_x0000_i1069" DrawAspect="Content" ObjectID="_1633443696" r:id="rId10">
            <o:FieldCodes>\s</o:FieldCodes>
          </o:OLEObject>
        </w:object>
      </w:r>
    </w:p>
    <w:p w14:paraId="0DE9B534" w14:textId="37154E4C" w:rsidR="004A7A5C" w:rsidRDefault="004A7A5C" w:rsidP="00ED5BC6">
      <w:pPr>
        <w:pStyle w:val="Caption"/>
        <w:keepNext/>
        <w:spacing w:line="276" w:lineRule="auto"/>
      </w:pPr>
      <w:bookmarkStart w:id="7" w:name="_Ref22668686"/>
      <w:r>
        <w:lastRenderedPageBreak/>
        <w:t xml:space="preserve">Table </w:t>
      </w:r>
      <w:fldSimple w:instr=" SEQ Table \* ARABIC ">
        <w:r w:rsidR="00CA4078">
          <w:rPr>
            <w:noProof/>
          </w:rPr>
          <w:t>1</w:t>
        </w:r>
      </w:fldSimple>
      <w:r>
        <w:t>: Performance Results</w:t>
      </w:r>
      <w:bookmarkEnd w:id="7"/>
    </w:p>
    <w:tbl>
      <w:tblPr>
        <w:tblStyle w:val="ListTable7Colorful"/>
        <w:tblW w:w="13946" w:type="dxa"/>
        <w:tblLook w:val="04A0" w:firstRow="1" w:lastRow="0" w:firstColumn="1" w:lastColumn="0" w:noHBand="0" w:noVBand="1"/>
      </w:tblPr>
      <w:tblGrid>
        <w:gridCol w:w="1292"/>
        <w:gridCol w:w="1806"/>
        <w:gridCol w:w="2749"/>
        <w:gridCol w:w="2514"/>
        <w:gridCol w:w="2807"/>
        <w:gridCol w:w="2778"/>
      </w:tblGrid>
      <w:tr w:rsidR="004A7A5C" w14:paraId="253387BC" w14:textId="77777777" w:rsidTr="004A0699">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0" w:type="auto"/>
          </w:tcPr>
          <w:p w14:paraId="34A4745E" w14:textId="7F5A3762" w:rsidR="00E15797" w:rsidRPr="004A7A5C" w:rsidRDefault="00E15797" w:rsidP="00ED5BC6">
            <w:pPr>
              <w:spacing w:line="276" w:lineRule="auto"/>
              <w:rPr>
                <w:i w:val="0"/>
                <w:iCs w:val="0"/>
              </w:rPr>
            </w:pPr>
          </w:p>
        </w:tc>
        <w:tc>
          <w:tcPr>
            <w:tcW w:w="1805" w:type="dxa"/>
          </w:tcPr>
          <w:p w14:paraId="24111530"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1 Threads</w:t>
            </w:r>
          </w:p>
        </w:tc>
        <w:tc>
          <w:tcPr>
            <w:tcW w:w="2748" w:type="dxa"/>
          </w:tcPr>
          <w:p w14:paraId="3E66A083"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2 Threads</w:t>
            </w:r>
          </w:p>
        </w:tc>
        <w:tc>
          <w:tcPr>
            <w:tcW w:w="2513" w:type="dxa"/>
          </w:tcPr>
          <w:p w14:paraId="0228A5C6"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4 Threads</w:t>
            </w:r>
          </w:p>
        </w:tc>
        <w:tc>
          <w:tcPr>
            <w:tcW w:w="2806" w:type="dxa"/>
          </w:tcPr>
          <w:p w14:paraId="6C6C4AC9"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8 Threads</w:t>
            </w:r>
          </w:p>
        </w:tc>
        <w:tc>
          <w:tcPr>
            <w:tcW w:w="2777" w:type="dxa"/>
          </w:tcPr>
          <w:p w14:paraId="117DE128"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16 Threads</w:t>
            </w:r>
          </w:p>
        </w:tc>
      </w:tr>
      <w:tr w:rsidR="004A7A5C" w:rsidRPr="000B42AE" w14:paraId="26AFCF50" w14:textId="77777777" w:rsidTr="004A0699">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tcPr>
          <w:p w14:paraId="44EB06B9" w14:textId="2DBC2E38" w:rsidR="00E15797" w:rsidRPr="00427167" w:rsidRDefault="00E15797" w:rsidP="00ED5BC6">
            <w:pPr>
              <w:spacing w:line="276" w:lineRule="auto"/>
              <w:jc w:val="center"/>
              <w:rPr>
                <w:b/>
                <w:bCs/>
              </w:rPr>
            </w:pPr>
            <w:r w:rsidRPr="00427167">
              <w:rPr>
                <w:b/>
                <w:bCs/>
              </w:rPr>
              <w:t>256</w:t>
            </w:r>
            <w:r w:rsidR="00A30780">
              <w:rPr>
                <w:b/>
                <w:bCs/>
              </w:rPr>
              <w:t>x256</w:t>
            </w:r>
          </w:p>
        </w:tc>
        <w:tc>
          <w:tcPr>
            <w:tcW w:w="1805" w:type="dxa"/>
          </w:tcPr>
          <w:p w14:paraId="076DAF5E"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μ=15.88</w:t>
            </w:r>
          </w:p>
          <w:p w14:paraId="15ED598E"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σ=0.73</w:t>
            </w:r>
          </w:p>
        </w:tc>
        <w:tc>
          <w:tcPr>
            <w:tcW w:w="2748" w:type="dxa"/>
          </w:tcPr>
          <w:p w14:paraId="4D915D19"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μ=6.52</w:t>
            </w:r>
            <w:r>
              <w:t xml:space="preserve"> (-59%)</w:t>
            </w:r>
          </w:p>
          <w:p w14:paraId="5CAD70FB"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σ=7.67</w:t>
            </w:r>
            <w:r>
              <w:t xml:space="preserve"> (+957%)</w:t>
            </w:r>
          </w:p>
        </w:tc>
        <w:tc>
          <w:tcPr>
            <w:tcW w:w="2513" w:type="dxa"/>
          </w:tcPr>
          <w:p w14:paraId="04D4326A"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μ=7.92</w:t>
            </w:r>
            <w:r>
              <w:t xml:space="preserve"> (+21%)</w:t>
            </w:r>
          </w:p>
          <w:p w14:paraId="5B9ECF31"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σ=1.22</w:t>
            </w:r>
            <w:r>
              <w:t xml:space="preserve"> (-84%)</w:t>
            </w:r>
          </w:p>
        </w:tc>
        <w:tc>
          <w:tcPr>
            <w:tcW w:w="2806" w:type="dxa"/>
          </w:tcPr>
          <w:p w14:paraId="767F7DF6"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μ=4.08</w:t>
            </w:r>
            <w:r>
              <w:t xml:space="preserve"> (-48%)</w:t>
            </w:r>
          </w:p>
          <w:p w14:paraId="14104D8A"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σ=4.08</w:t>
            </w:r>
            <w:r>
              <w:t xml:space="preserve"> (+234%)</w:t>
            </w:r>
          </w:p>
        </w:tc>
        <w:tc>
          <w:tcPr>
            <w:tcW w:w="2777" w:type="dxa"/>
          </w:tcPr>
          <w:p w14:paraId="507B74AF"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μ=10.48</w:t>
            </w:r>
            <w:r>
              <w:t xml:space="preserve"> (157%)</w:t>
            </w:r>
          </w:p>
          <w:p w14:paraId="2B383757"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σ=0.92</w:t>
            </w:r>
            <w:r>
              <w:t xml:space="preserve"> (-78%)</w:t>
            </w:r>
          </w:p>
        </w:tc>
      </w:tr>
      <w:tr w:rsidR="004A7A5C" w:rsidRPr="000B42AE" w14:paraId="091604B7" w14:textId="77777777" w:rsidTr="004A0699">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1B0E736" w14:textId="0B17C55F" w:rsidR="00E15797" w:rsidRPr="00427167" w:rsidRDefault="00E15797" w:rsidP="00ED5BC6">
            <w:pPr>
              <w:spacing w:line="276" w:lineRule="auto"/>
              <w:jc w:val="center"/>
              <w:rPr>
                <w:b/>
                <w:bCs/>
              </w:rPr>
            </w:pPr>
            <w:r w:rsidRPr="00427167">
              <w:rPr>
                <w:b/>
                <w:bCs/>
              </w:rPr>
              <w:t>512</w:t>
            </w:r>
            <w:r w:rsidR="00A30780">
              <w:rPr>
                <w:b/>
                <w:bCs/>
              </w:rPr>
              <w:t>x512</w:t>
            </w:r>
          </w:p>
        </w:tc>
        <w:tc>
          <w:tcPr>
            <w:tcW w:w="1805" w:type="dxa"/>
          </w:tcPr>
          <w:p w14:paraId="3AA2D078"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μ=121.68</w:t>
            </w:r>
          </w:p>
          <w:p w14:paraId="13245ADF"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σ=1.46</w:t>
            </w:r>
          </w:p>
        </w:tc>
        <w:tc>
          <w:tcPr>
            <w:tcW w:w="2748" w:type="dxa"/>
          </w:tcPr>
          <w:p w14:paraId="74BED73A"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μ=86.08</w:t>
            </w:r>
            <w:r>
              <w:t xml:space="preserve"> (-29%)</w:t>
            </w:r>
          </w:p>
          <w:p w14:paraId="5853D171"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σ=54.18</w:t>
            </w:r>
            <w:r>
              <w:t xml:space="preserve"> (3600%)</w:t>
            </w:r>
          </w:p>
        </w:tc>
        <w:tc>
          <w:tcPr>
            <w:tcW w:w="2513" w:type="dxa"/>
          </w:tcPr>
          <w:p w14:paraId="2296C22E"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μ=51.68</w:t>
            </w:r>
            <w:r>
              <w:t xml:space="preserve"> (-40%)</w:t>
            </w:r>
          </w:p>
          <w:p w14:paraId="0CA4284B"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σ=9.38</w:t>
            </w:r>
            <w:r>
              <w:t xml:space="preserve"> (-82%)</w:t>
            </w:r>
          </w:p>
        </w:tc>
        <w:tc>
          <w:tcPr>
            <w:tcW w:w="2806" w:type="dxa"/>
          </w:tcPr>
          <w:p w14:paraId="10AA86F6"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μ=25.08</w:t>
            </w:r>
            <w:r>
              <w:t xml:space="preserve"> (-51%)</w:t>
            </w:r>
          </w:p>
          <w:p w14:paraId="79084A4E"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σ=24.53</w:t>
            </w:r>
            <w:r>
              <w:t xml:space="preserve"> (+161%)</w:t>
            </w:r>
          </w:p>
        </w:tc>
        <w:tc>
          <w:tcPr>
            <w:tcW w:w="2777" w:type="dxa"/>
          </w:tcPr>
          <w:p w14:paraId="4E17825A"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μ=48.48</w:t>
            </w:r>
            <w:r>
              <w:t xml:space="preserve"> (+93%)</w:t>
            </w:r>
          </w:p>
          <w:p w14:paraId="76F0A5D0"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σ=2.29</w:t>
            </w:r>
            <w:r>
              <w:t xml:space="preserve"> (-91%)</w:t>
            </w:r>
          </w:p>
        </w:tc>
      </w:tr>
      <w:tr w:rsidR="004A7A5C" w:rsidRPr="000B42AE" w14:paraId="7D8817B8" w14:textId="77777777" w:rsidTr="004A0699">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tcPr>
          <w:p w14:paraId="2CBFA68A" w14:textId="057F258C" w:rsidR="00E15797" w:rsidRPr="00427167" w:rsidRDefault="00E15797" w:rsidP="00ED5BC6">
            <w:pPr>
              <w:spacing w:line="276" w:lineRule="auto"/>
              <w:jc w:val="center"/>
              <w:rPr>
                <w:b/>
                <w:bCs/>
              </w:rPr>
            </w:pPr>
            <w:r w:rsidRPr="00427167">
              <w:rPr>
                <w:b/>
                <w:bCs/>
              </w:rPr>
              <w:t>1024</w:t>
            </w:r>
            <w:r w:rsidR="00A30780">
              <w:rPr>
                <w:b/>
                <w:bCs/>
              </w:rPr>
              <w:t>x1024</w:t>
            </w:r>
          </w:p>
        </w:tc>
        <w:tc>
          <w:tcPr>
            <w:tcW w:w="1805" w:type="dxa"/>
          </w:tcPr>
          <w:p w14:paraId="4F64CF9A"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μ=975.6</w:t>
            </w:r>
          </w:p>
          <w:p w14:paraId="697D2E1F"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σ=11.13</w:t>
            </w:r>
          </w:p>
        </w:tc>
        <w:tc>
          <w:tcPr>
            <w:tcW w:w="2748" w:type="dxa"/>
          </w:tcPr>
          <w:p w14:paraId="025F39AD"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μ=638.8</w:t>
            </w:r>
            <w:r>
              <w:t xml:space="preserve"> (-34%)</w:t>
            </w:r>
          </w:p>
          <w:p w14:paraId="1A34503B"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σ=445.35</w:t>
            </w:r>
            <w:r>
              <w:t xml:space="preserve"> (+3900%)</w:t>
            </w:r>
          </w:p>
        </w:tc>
        <w:tc>
          <w:tcPr>
            <w:tcW w:w="2513" w:type="dxa"/>
          </w:tcPr>
          <w:p w14:paraId="63F6AB9E"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μ=297.68</w:t>
            </w:r>
            <w:r>
              <w:t xml:space="preserve"> (-53%)</w:t>
            </w:r>
          </w:p>
          <w:p w14:paraId="0922C87C"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σ=36.17</w:t>
            </w:r>
            <w:r>
              <w:t xml:space="preserve"> (-92%)</w:t>
            </w:r>
          </w:p>
        </w:tc>
        <w:tc>
          <w:tcPr>
            <w:tcW w:w="2806" w:type="dxa"/>
          </w:tcPr>
          <w:p w14:paraId="1671E8BC"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μ=186.72</w:t>
            </w:r>
            <w:r>
              <w:t xml:space="preserve"> (-37%)</w:t>
            </w:r>
          </w:p>
          <w:p w14:paraId="2AFA23CE"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σ=141.81</w:t>
            </w:r>
            <w:r>
              <w:t xml:space="preserve"> (+292%)</w:t>
            </w:r>
          </w:p>
        </w:tc>
        <w:tc>
          <w:tcPr>
            <w:tcW w:w="2777" w:type="dxa"/>
          </w:tcPr>
          <w:p w14:paraId="593C4F74"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μ=410.84</w:t>
            </w:r>
            <w:r>
              <w:t xml:space="preserve"> (+120%)</w:t>
            </w:r>
          </w:p>
          <w:p w14:paraId="79C10920"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σ=21.11</w:t>
            </w:r>
            <w:r>
              <w:t xml:space="preserve"> (-85%)</w:t>
            </w:r>
          </w:p>
        </w:tc>
      </w:tr>
      <w:tr w:rsidR="004A7A5C" w:rsidRPr="000B42AE" w14:paraId="4BAB66DF" w14:textId="77777777" w:rsidTr="004A0699">
        <w:trPr>
          <w:trHeight w:val="496"/>
        </w:trPr>
        <w:tc>
          <w:tcPr>
            <w:cnfStyle w:val="001000000000" w:firstRow="0" w:lastRow="0" w:firstColumn="1" w:lastColumn="0" w:oddVBand="0" w:evenVBand="0" w:oddHBand="0" w:evenHBand="0" w:firstRowFirstColumn="0" w:firstRowLastColumn="0" w:lastRowFirstColumn="0" w:lastRowLastColumn="0"/>
            <w:tcW w:w="0" w:type="auto"/>
          </w:tcPr>
          <w:p w14:paraId="6902DADD" w14:textId="51EAD2DA" w:rsidR="00E15797" w:rsidRPr="00427167" w:rsidRDefault="00E15797" w:rsidP="00ED5BC6">
            <w:pPr>
              <w:spacing w:line="276" w:lineRule="auto"/>
              <w:jc w:val="center"/>
              <w:rPr>
                <w:b/>
                <w:bCs/>
              </w:rPr>
            </w:pPr>
            <w:r w:rsidRPr="00427167">
              <w:rPr>
                <w:b/>
                <w:bCs/>
              </w:rPr>
              <w:t>2048</w:t>
            </w:r>
            <w:r w:rsidR="00A30780">
              <w:rPr>
                <w:b/>
                <w:bCs/>
              </w:rPr>
              <w:t>x2048</w:t>
            </w:r>
          </w:p>
        </w:tc>
        <w:tc>
          <w:tcPr>
            <w:tcW w:w="1805" w:type="dxa"/>
          </w:tcPr>
          <w:p w14:paraId="2D933537"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μ=8534.84</w:t>
            </w:r>
          </w:p>
          <w:p w14:paraId="036D4C29"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σ=182.14</w:t>
            </w:r>
          </w:p>
        </w:tc>
        <w:tc>
          <w:tcPr>
            <w:tcW w:w="2748" w:type="dxa"/>
          </w:tcPr>
          <w:p w14:paraId="130F77D2"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μ=6756.64</w:t>
            </w:r>
            <w:r>
              <w:t xml:space="preserve"> (-21%)</w:t>
            </w:r>
          </w:p>
          <w:p w14:paraId="53746C3C"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σ=3005.75</w:t>
            </w:r>
            <w:r>
              <w:t xml:space="preserve"> (+1505%)</w:t>
            </w:r>
          </w:p>
        </w:tc>
        <w:tc>
          <w:tcPr>
            <w:tcW w:w="2513" w:type="dxa"/>
          </w:tcPr>
          <w:p w14:paraId="3469156F"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μ=3904.4</w:t>
            </w:r>
            <w:r>
              <w:t xml:space="preserve"> (-42%)</w:t>
            </w:r>
          </w:p>
          <w:p w14:paraId="3E6822C9"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σ=42.82</w:t>
            </w:r>
            <w:r>
              <w:t xml:space="preserve"> (-99%)</w:t>
            </w:r>
          </w:p>
        </w:tc>
        <w:tc>
          <w:tcPr>
            <w:tcW w:w="2806" w:type="dxa"/>
          </w:tcPr>
          <w:p w14:paraId="3C0B3C3B"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μ=1411.32</w:t>
            </w:r>
            <w:r>
              <w:t xml:space="preserve"> (-63%)</w:t>
            </w:r>
          </w:p>
          <w:p w14:paraId="16127AA7"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σ=1908.50</w:t>
            </w:r>
            <w:r>
              <w:t xml:space="preserve"> (+4357%)</w:t>
            </w:r>
          </w:p>
        </w:tc>
        <w:tc>
          <w:tcPr>
            <w:tcW w:w="2777" w:type="dxa"/>
          </w:tcPr>
          <w:p w14:paraId="5DF81CA0"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μ=2825.84</w:t>
            </w:r>
            <w:r>
              <w:t xml:space="preserve"> (+100%)</w:t>
            </w:r>
          </w:p>
          <w:p w14:paraId="126F1CAA"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σ=31.43</w:t>
            </w:r>
            <w:r>
              <w:t xml:space="preserve"> (-98%)</w:t>
            </w:r>
          </w:p>
        </w:tc>
      </w:tr>
      <w:tr w:rsidR="004A7A5C" w:rsidRPr="000B42AE" w14:paraId="01A61168" w14:textId="77777777" w:rsidTr="00EF6A30">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tcPr>
          <w:p w14:paraId="09964CEF" w14:textId="3F12BF36" w:rsidR="00E15797" w:rsidRPr="00427167" w:rsidRDefault="00E15797" w:rsidP="00ED5BC6">
            <w:pPr>
              <w:spacing w:line="276" w:lineRule="auto"/>
              <w:jc w:val="center"/>
              <w:rPr>
                <w:b/>
                <w:bCs/>
              </w:rPr>
            </w:pPr>
            <w:r w:rsidRPr="00427167">
              <w:rPr>
                <w:b/>
                <w:bCs/>
              </w:rPr>
              <w:t>4096</w:t>
            </w:r>
            <w:r w:rsidR="00A30780">
              <w:rPr>
                <w:b/>
                <w:bCs/>
              </w:rPr>
              <w:t>x4096</w:t>
            </w:r>
          </w:p>
        </w:tc>
        <w:tc>
          <w:tcPr>
            <w:tcW w:w="1805" w:type="dxa"/>
          </w:tcPr>
          <w:p w14:paraId="66123115"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μ=70491.08</w:t>
            </w:r>
          </w:p>
          <w:p w14:paraId="62F1DEAC"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σ=2722.78</w:t>
            </w:r>
          </w:p>
        </w:tc>
        <w:tc>
          <w:tcPr>
            <w:tcW w:w="2748" w:type="dxa"/>
          </w:tcPr>
          <w:p w14:paraId="73F869D6"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μ=51873.8</w:t>
            </w:r>
            <w:r>
              <w:t xml:space="preserve"> (-26%)</w:t>
            </w:r>
          </w:p>
          <w:p w14:paraId="1C013287"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σ=26470.79</w:t>
            </w:r>
            <w:r>
              <w:t xml:space="preserve"> (+872%)</w:t>
            </w:r>
          </w:p>
        </w:tc>
        <w:tc>
          <w:tcPr>
            <w:tcW w:w="2513" w:type="dxa"/>
          </w:tcPr>
          <w:p w14:paraId="74FC1B37"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μ=42018.96</w:t>
            </w:r>
            <w:r>
              <w:t xml:space="preserve"> (-20%)</w:t>
            </w:r>
          </w:p>
          <w:p w14:paraId="06ACF356"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σ=279.29</w:t>
            </w:r>
            <w:r>
              <w:t xml:space="preserve"> (-99%)</w:t>
            </w:r>
          </w:p>
        </w:tc>
        <w:tc>
          <w:tcPr>
            <w:tcW w:w="2806" w:type="dxa"/>
          </w:tcPr>
          <w:p w14:paraId="33FFE284"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μ=25274.4</w:t>
            </w:r>
            <w:r>
              <w:t xml:space="preserve"> (-40%)</w:t>
            </w:r>
          </w:p>
          <w:p w14:paraId="7AA1A53C"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σ=21033.82</w:t>
            </w:r>
            <w:r>
              <w:t xml:space="preserve"> (+7431%)</w:t>
            </w:r>
          </w:p>
        </w:tc>
        <w:tc>
          <w:tcPr>
            <w:tcW w:w="2777" w:type="dxa"/>
          </w:tcPr>
          <w:p w14:paraId="264CF359"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μ=50302.96</w:t>
            </w:r>
            <w:r>
              <w:t xml:space="preserve"> (+100%)</w:t>
            </w:r>
          </w:p>
          <w:p w14:paraId="71205D3E"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σ=261.52</w:t>
            </w:r>
            <w:r>
              <w:t xml:space="preserve"> (-99%)</w:t>
            </w:r>
          </w:p>
        </w:tc>
      </w:tr>
      <w:tr w:rsidR="004A0699" w:rsidRPr="000B42AE" w14:paraId="41FE6029" w14:textId="77777777" w:rsidTr="00EF6A30">
        <w:trPr>
          <w:trHeight w:val="496"/>
        </w:trPr>
        <w:tc>
          <w:tcPr>
            <w:cnfStyle w:val="001000000000" w:firstRow="0" w:lastRow="0" w:firstColumn="1" w:lastColumn="0" w:oddVBand="0" w:evenVBand="0" w:oddHBand="0" w:evenHBand="0" w:firstRowFirstColumn="0" w:firstRowLastColumn="0" w:lastRowFirstColumn="0" w:lastRowLastColumn="0"/>
            <w:tcW w:w="13946" w:type="dxa"/>
            <w:gridSpan w:val="6"/>
            <w:tcBorders>
              <w:right w:val="none" w:sz="0" w:space="0" w:color="auto"/>
            </w:tcBorders>
          </w:tcPr>
          <w:p w14:paraId="1730B0E1" w14:textId="2F1C7625" w:rsidR="004A0699" w:rsidRPr="000B42AE" w:rsidRDefault="00CD46D7" w:rsidP="007B496B">
            <w:pPr>
              <w:spacing w:line="276" w:lineRule="auto"/>
              <w:jc w:val="left"/>
              <w:rPr>
                <w:sz w:val="22"/>
              </w:rPr>
            </w:pPr>
            <w:r w:rsidRPr="00CD46D7">
              <w:rPr>
                <w:sz w:val="22"/>
              </w:rPr>
              <w:t>μ = mean, σ = std. deviation</w:t>
            </w:r>
            <w:r w:rsidR="007B496B">
              <w:rPr>
                <w:sz w:val="22"/>
              </w:rPr>
              <w:t xml:space="preserve">. </w:t>
            </w:r>
            <w:r w:rsidRPr="00CD46D7">
              <w:rPr>
                <w:sz w:val="22"/>
              </w:rPr>
              <w:t>The % changes are with reference to the previous thread count category for the same size matrix. A negative percentage represents a decrease in time, whilst a positive percentage is an increase.</w:t>
            </w:r>
          </w:p>
        </w:tc>
      </w:tr>
    </w:tbl>
    <w:p w14:paraId="21AAE53B" w14:textId="7042A6FB" w:rsidR="008B76F5" w:rsidRDefault="008B76F5" w:rsidP="00ED5BC6">
      <w:pPr>
        <w:keepNext/>
        <w:spacing w:line="276" w:lineRule="auto"/>
        <w:sectPr w:rsidR="008B76F5" w:rsidSect="00E44357">
          <w:pgSz w:w="16838" w:h="11906" w:orient="landscape"/>
          <w:pgMar w:top="1440" w:right="1440" w:bottom="1440" w:left="1440" w:header="708" w:footer="708" w:gutter="0"/>
          <w:cols w:space="708"/>
          <w:docGrid w:linePitch="360"/>
        </w:sectPr>
      </w:pPr>
    </w:p>
    <w:sdt>
      <w:sdtPr>
        <w:rPr>
          <w:rFonts w:asciiTheme="minorHAnsi" w:eastAsiaTheme="minorHAnsi" w:hAnsiTheme="minorHAnsi" w:cstheme="minorBidi"/>
          <w:color w:val="auto"/>
          <w:sz w:val="24"/>
          <w:szCs w:val="22"/>
        </w:rPr>
        <w:id w:val="1884985624"/>
        <w:docPartObj>
          <w:docPartGallery w:val="Bibliographies"/>
          <w:docPartUnique/>
        </w:docPartObj>
      </w:sdtPr>
      <w:sdtContent>
        <w:p w14:paraId="26F7A0CD" w14:textId="20961198" w:rsidR="00821707" w:rsidRDefault="00821707" w:rsidP="00ED5BC6">
          <w:pPr>
            <w:pStyle w:val="Heading1"/>
            <w:spacing w:line="276" w:lineRule="auto"/>
          </w:pPr>
          <w:r>
            <w:t>References</w:t>
          </w:r>
        </w:p>
        <w:sdt>
          <w:sdtPr>
            <w:id w:val="-573587230"/>
            <w:bibliography/>
          </w:sdtPr>
          <w:sdtContent>
            <w:p w14:paraId="2634D77F" w14:textId="77777777" w:rsidR="00821707" w:rsidRDefault="00821707" w:rsidP="00ED5BC6">
              <w:pPr>
                <w:pStyle w:val="Bibliography"/>
                <w:spacing w:line="276" w:lineRule="auto"/>
                <w:ind w:left="720" w:hanging="720"/>
                <w:rPr>
                  <w:noProof/>
                  <w:szCs w:val="24"/>
                </w:rPr>
              </w:pPr>
              <w:r>
                <w:fldChar w:fldCharType="begin"/>
              </w:r>
              <w:r>
                <w:instrText xml:space="preserve"> BIBLIOGRAPHY </w:instrText>
              </w:r>
              <w:r>
                <w:fldChar w:fldCharType="separate"/>
              </w:r>
              <w:r>
                <w:rPr>
                  <w:noProof/>
                </w:rPr>
                <w:t xml:space="preserve">Hunter, D. J., &amp; Droettboom, M. (2019, 10 22). </w:t>
              </w:r>
              <w:r>
                <w:rPr>
                  <w:i/>
                  <w:iCs/>
                  <w:noProof/>
                </w:rPr>
                <w:t>matplotlib</w:t>
              </w:r>
              <w:r>
                <w:rPr>
                  <w:noProof/>
                </w:rPr>
                <w:t>. Retrieved from pypi: https://pypi.org/project/matplotlib/</w:t>
              </w:r>
            </w:p>
            <w:p w14:paraId="543BE825" w14:textId="77777777" w:rsidR="00821707" w:rsidRDefault="00821707" w:rsidP="00ED5BC6">
              <w:pPr>
                <w:pStyle w:val="Bibliography"/>
                <w:spacing w:line="276" w:lineRule="auto"/>
                <w:ind w:left="720" w:hanging="720"/>
                <w:rPr>
                  <w:noProof/>
                </w:rPr>
              </w:pPr>
              <w:r>
                <w:rPr>
                  <w:noProof/>
                </w:rPr>
                <w:t xml:space="preserve">libcheck. (2019, 09 23). </w:t>
              </w:r>
              <w:r>
                <w:rPr>
                  <w:i/>
                  <w:iCs/>
                  <w:noProof/>
                </w:rPr>
                <w:t>Home</w:t>
              </w:r>
              <w:r>
                <w:rPr>
                  <w:noProof/>
                </w:rPr>
                <w:t>. Retrieved from Check: https://libcheck.github.io/check/</w:t>
              </w:r>
            </w:p>
            <w:p w14:paraId="1945B873" w14:textId="77777777" w:rsidR="00821707" w:rsidRDefault="00821707" w:rsidP="00ED5BC6">
              <w:pPr>
                <w:pStyle w:val="Bibliography"/>
                <w:spacing w:line="276" w:lineRule="auto"/>
                <w:ind w:left="720" w:hanging="720"/>
                <w:rPr>
                  <w:noProof/>
                </w:rPr>
              </w:pPr>
              <w:r>
                <w:rPr>
                  <w:noProof/>
                </w:rPr>
                <w:t xml:space="preserve">Wikipedia. (2019, 10 22). </w:t>
              </w:r>
              <w:r>
                <w:rPr>
                  <w:i/>
                  <w:iCs/>
                  <w:noProof/>
                </w:rPr>
                <w:t>Amdahl's Law</w:t>
              </w:r>
              <w:r>
                <w:rPr>
                  <w:noProof/>
                </w:rPr>
                <w:t>. Retrieved from Wikipedia: https://en.wikipedia.org/wiki/Amdahl%27s_law</w:t>
              </w:r>
            </w:p>
            <w:p w14:paraId="22C1C190" w14:textId="77777777" w:rsidR="00821707" w:rsidRDefault="00821707" w:rsidP="00ED5BC6">
              <w:pPr>
                <w:pStyle w:val="Bibliography"/>
                <w:spacing w:line="276" w:lineRule="auto"/>
                <w:ind w:left="720" w:hanging="720"/>
                <w:rPr>
                  <w:noProof/>
                </w:rPr>
              </w:pPr>
              <w:r>
                <w:rPr>
                  <w:noProof/>
                </w:rPr>
                <w:t xml:space="preserve">wolever. (2019, 10 22). </w:t>
              </w:r>
              <w:r>
                <w:rPr>
                  <w:i/>
                  <w:iCs/>
                  <w:noProof/>
                </w:rPr>
                <w:t>parameterized</w:t>
              </w:r>
              <w:r>
                <w:rPr>
                  <w:noProof/>
                </w:rPr>
                <w:t>. Retrieved from pypi: https://pypi.org/project/parameterized/</w:t>
              </w:r>
            </w:p>
            <w:p w14:paraId="7E2B641C" w14:textId="77777777" w:rsidR="00821707" w:rsidRDefault="00821707" w:rsidP="00ED5BC6">
              <w:pPr>
                <w:pStyle w:val="Bibliography"/>
                <w:spacing w:line="276" w:lineRule="auto"/>
                <w:ind w:left="720" w:hanging="720"/>
                <w:rPr>
                  <w:noProof/>
                </w:rPr>
              </w:pPr>
              <w:r>
                <w:rPr>
                  <w:noProof/>
                </w:rPr>
                <w:t xml:space="preserve">zeehio. (2019, 09 23). </w:t>
              </w:r>
              <w:r>
                <w:rPr>
                  <w:i/>
                  <w:iCs/>
                  <w:noProof/>
                </w:rPr>
                <w:t>parmap</w:t>
              </w:r>
              <w:r>
                <w:rPr>
                  <w:noProof/>
                </w:rPr>
                <w:t>. Retrieved from pypi: https://pypi.org/project/parmap/</w:t>
              </w:r>
            </w:p>
            <w:p w14:paraId="04E09ACA" w14:textId="338C1889" w:rsidR="00821707" w:rsidRDefault="00821707" w:rsidP="00ED5BC6">
              <w:pPr>
                <w:spacing w:line="276" w:lineRule="auto"/>
              </w:pPr>
              <w:r>
                <w:rPr>
                  <w:b/>
                  <w:bCs/>
                  <w:noProof/>
                </w:rPr>
                <w:fldChar w:fldCharType="end"/>
              </w:r>
            </w:p>
          </w:sdtContent>
        </w:sdt>
      </w:sdtContent>
    </w:sdt>
    <w:p w14:paraId="78C9C028" w14:textId="77777777" w:rsidR="004548B2" w:rsidRPr="00BF6413" w:rsidRDefault="004548B2" w:rsidP="00ED5BC6">
      <w:pPr>
        <w:keepNext/>
        <w:spacing w:line="276" w:lineRule="auto"/>
      </w:pPr>
    </w:p>
    <w:sectPr w:rsidR="004548B2" w:rsidRPr="00BF6413" w:rsidSect="0082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D7CA5"/>
    <w:multiLevelType w:val="hybridMultilevel"/>
    <w:tmpl w:val="7E2A9C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DA"/>
    <w:rsid w:val="00011EDA"/>
    <w:rsid w:val="00012F47"/>
    <w:rsid w:val="000446FA"/>
    <w:rsid w:val="00053CCE"/>
    <w:rsid w:val="00054B02"/>
    <w:rsid w:val="000575D2"/>
    <w:rsid w:val="0007049A"/>
    <w:rsid w:val="00087513"/>
    <w:rsid w:val="00094BCF"/>
    <w:rsid w:val="000B023C"/>
    <w:rsid w:val="00100E18"/>
    <w:rsid w:val="001017FC"/>
    <w:rsid w:val="0010443C"/>
    <w:rsid w:val="001226A6"/>
    <w:rsid w:val="00130889"/>
    <w:rsid w:val="00140D9D"/>
    <w:rsid w:val="00153AB5"/>
    <w:rsid w:val="00155DC2"/>
    <w:rsid w:val="0016092A"/>
    <w:rsid w:val="00161408"/>
    <w:rsid w:val="00172573"/>
    <w:rsid w:val="00221FEE"/>
    <w:rsid w:val="002311FC"/>
    <w:rsid w:val="00237DD6"/>
    <w:rsid w:val="00245FD4"/>
    <w:rsid w:val="0024739D"/>
    <w:rsid w:val="00257D37"/>
    <w:rsid w:val="002869F8"/>
    <w:rsid w:val="002B40D9"/>
    <w:rsid w:val="002B5E52"/>
    <w:rsid w:val="002D5C6D"/>
    <w:rsid w:val="002F75D5"/>
    <w:rsid w:val="0030248C"/>
    <w:rsid w:val="00321804"/>
    <w:rsid w:val="003F6457"/>
    <w:rsid w:val="00401841"/>
    <w:rsid w:val="00427167"/>
    <w:rsid w:val="00434879"/>
    <w:rsid w:val="00437A51"/>
    <w:rsid w:val="004516D3"/>
    <w:rsid w:val="004548B2"/>
    <w:rsid w:val="00454A06"/>
    <w:rsid w:val="00472E3E"/>
    <w:rsid w:val="004A0699"/>
    <w:rsid w:val="004A7A5C"/>
    <w:rsid w:val="004D7C3A"/>
    <w:rsid w:val="005011A4"/>
    <w:rsid w:val="00556FA5"/>
    <w:rsid w:val="00573833"/>
    <w:rsid w:val="005810D6"/>
    <w:rsid w:val="005C2695"/>
    <w:rsid w:val="005C77B1"/>
    <w:rsid w:val="005F33EC"/>
    <w:rsid w:val="00641681"/>
    <w:rsid w:val="0064371C"/>
    <w:rsid w:val="00650A4C"/>
    <w:rsid w:val="0067698B"/>
    <w:rsid w:val="0067737A"/>
    <w:rsid w:val="0068471C"/>
    <w:rsid w:val="00687C79"/>
    <w:rsid w:val="00690134"/>
    <w:rsid w:val="00695478"/>
    <w:rsid w:val="006A0AA0"/>
    <w:rsid w:val="006A45CA"/>
    <w:rsid w:val="006B0C34"/>
    <w:rsid w:val="006B71D3"/>
    <w:rsid w:val="006C691B"/>
    <w:rsid w:val="006D5026"/>
    <w:rsid w:val="006E0105"/>
    <w:rsid w:val="006F100F"/>
    <w:rsid w:val="00713D9A"/>
    <w:rsid w:val="0075442C"/>
    <w:rsid w:val="00754A8A"/>
    <w:rsid w:val="007837A3"/>
    <w:rsid w:val="007841E0"/>
    <w:rsid w:val="00795972"/>
    <w:rsid w:val="007B1C52"/>
    <w:rsid w:val="007B496B"/>
    <w:rsid w:val="007B53A3"/>
    <w:rsid w:val="007F2B89"/>
    <w:rsid w:val="007F7A85"/>
    <w:rsid w:val="00800A46"/>
    <w:rsid w:val="008012A6"/>
    <w:rsid w:val="00821707"/>
    <w:rsid w:val="00823EB3"/>
    <w:rsid w:val="008263D5"/>
    <w:rsid w:val="0083314E"/>
    <w:rsid w:val="0089095D"/>
    <w:rsid w:val="008955FD"/>
    <w:rsid w:val="008A1BC1"/>
    <w:rsid w:val="008A5A6E"/>
    <w:rsid w:val="008B46AB"/>
    <w:rsid w:val="008B76F5"/>
    <w:rsid w:val="008D6CC2"/>
    <w:rsid w:val="008E15FF"/>
    <w:rsid w:val="00900766"/>
    <w:rsid w:val="00907804"/>
    <w:rsid w:val="00913FFE"/>
    <w:rsid w:val="00945DA8"/>
    <w:rsid w:val="009C2DBB"/>
    <w:rsid w:val="009D539F"/>
    <w:rsid w:val="00A0794D"/>
    <w:rsid w:val="00A10B2D"/>
    <w:rsid w:val="00A30310"/>
    <w:rsid w:val="00A30780"/>
    <w:rsid w:val="00A369B4"/>
    <w:rsid w:val="00A7397F"/>
    <w:rsid w:val="00A9429C"/>
    <w:rsid w:val="00A96BC6"/>
    <w:rsid w:val="00AB6277"/>
    <w:rsid w:val="00B20D2A"/>
    <w:rsid w:val="00B37E28"/>
    <w:rsid w:val="00B415CC"/>
    <w:rsid w:val="00B50478"/>
    <w:rsid w:val="00B55ABB"/>
    <w:rsid w:val="00B57463"/>
    <w:rsid w:val="00BB3B06"/>
    <w:rsid w:val="00BC2F86"/>
    <w:rsid w:val="00BC322D"/>
    <w:rsid w:val="00BD42FA"/>
    <w:rsid w:val="00BF6413"/>
    <w:rsid w:val="00C3271A"/>
    <w:rsid w:val="00C85C0B"/>
    <w:rsid w:val="00CA4078"/>
    <w:rsid w:val="00CA7CFA"/>
    <w:rsid w:val="00CC65F9"/>
    <w:rsid w:val="00CD46D7"/>
    <w:rsid w:val="00CD64D5"/>
    <w:rsid w:val="00CD7774"/>
    <w:rsid w:val="00D1501C"/>
    <w:rsid w:val="00D228DD"/>
    <w:rsid w:val="00D2325C"/>
    <w:rsid w:val="00D36135"/>
    <w:rsid w:val="00D470EB"/>
    <w:rsid w:val="00DB73EB"/>
    <w:rsid w:val="00DE09E0"/>
    <w:rsid w:val="00DE23B3"/>
    <w:rsid w:val="00E12ACA"/>
    <w:rsid w:val="00E15797"/>
    <w:rsid w:val="00E44357"/>
    <w:rsid w:val="00E44EAF"/>
    <w:rsid w:val="00E44EC7"/>
    <w:rsid w:val="00E52196"/>
    <w:rsid w:val="00E70007"/>
    <w:rsid w:val="00E86922"/>
    <w:rsid w:val="00EB24D6"/>
    <w:rsid w:val="00ED0FBC"/>
    <w:rsid w:val="00ED5BC6"/>
    <w:rsid w:val="00EF6A30"/>
    <w:rsid w:val="00EF6EBF"/>
    <w:rsid w:val="00F338EE"/>
    <w:rsid w:val="00F42E66"/>
    <w:rsid w:val="00F841BC"/>
    <w:rsid w:val="00FA3431"/>
    <w:rsid w:val="00FD01CE"/>
    <w:rsid w:val="00FE12E4"/>
    <w:rsid w:val="00FE33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6F77"/>
  <w15:chartTrackingRefBased/>
  <w15:docId w15:val="{AD539D1A-07E5-4F6E-B1D6-0B79200A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EDA"/>
    <w:pPr>
      <w:spacing w:before="120" w:after="280"/>
    </w:pPr>
    <w:rPr>
      <w:sz w:val="24"/>
    </w:rPr>
  </w:style>
  <w:style w:type="paragraph" w:styleId="Heading1">
    <w:name w:val="heading 1"/>
    <w:basedOn w:val="Normal"/>
    <w:next w:val="Normal"/>
    <w:link w:val="Heading1Char"/>
    <w:uiPriority w:val="9"/>
    <w:qFormat/>
    <w:rsid w:val="00011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ED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11E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EDA"/>
    <w:rPr>
      <w:rFonts w:ascii="Segoe UI" w:hAnsi="Segoe UI" w:cs="Segoe UI"/>
      <w:sz w:val="18"/>
      <w:szCs w:val="18"/>
    </w:rPr>
  </w:style>
  <w:style w:type="character" w:customStyle="1" w:styleId="Heading2Char">
    <w:name w:val="Heading 2 Char"/>
    <w:basedOn w:val="DefaultParagraphFont"/>
    <w:link w:val="Heading2"/>
    <w:uiPriority w:val="9"/>
    <w:rsid w:val="002F75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75D5"/>
    <w:pPr>
      <w:ind w:left="720"/>
      <w:contextualSpacing/>
    </w:pPr>
  </w:style>
  <w:style w:type="paragraph" w:customStyle="1" w:styleId="Code">
    <w:name w:val="Code"/>
    <w:basedOn w:val="Quote"/>
    <w:qFormat/>
    <w:rsid w:val="0064371C"/>
    <w:pPr>
      <w:jc w:val="left"/>
    </w:pPr>
    <w:rPr>
      <w:rFonts w:ascii="Consolas" w:hAnsi="Consolas"/>
      <w:i w:val="0"/>
      <w:sz w:val="16"/>
    </w:rPr>
  </w:style>
  <w:style w:type="paragraph" w:styleId="Caption">
    <w:name w:val="caption"/>
    <w:basedOn w:val="Normal"/>
    <w:next w:val="Normal"/>
    <w:uiPriority w:val="35"/>
    <w:unhideWhenUsed/>
    <w:qFormat/>
    <w:rsid w:val="0064371C"/>
    <w:pPr>
      <w:spacing w:before="0" w:after="200" w:line="240" w:lineRule="auto"/>
    </w:pPr>
    <w:rPr>
      <w:i/>
      <w:iCs/>
      <w:color w:val="44546A" w:themeColor="text2"/>
      <w:sz w:val="18"/>
      <w:szCs w:val="18"/>
    </w:rPr>
  </w:style>
  <w:style w:type="paragraph" w:styleId="Quote">
    <w:name w:val="Quote"/>
    <w:basedOn w:val="Normal"/>
    <w:next w:val="Normal"/>
    <w:link w:val="QuoteChar"/>
    <w:uiPriority w:val="29"/>
    <w:qFormat/>
    <w:rsid w:val="0064371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4371C"/>
    <w:rPr>
      <w:i/>
      <w:iCs/>
      <w:color w:val="404040" w:themeColor="text1" w:themeTint="BF"/>
      <w:sz w:val="24"/>
    </w:rPr>
  </w:style>
  <w:style w:type="character" w:styleId="IntenseReference">
    <w:name w:val="Intense Reference"/>
    <w:basedOn w:val="DefaultParagraphFont"/>
    <w:uiPriority w:val="32"/>
    <w:qFormat/>
    <w:rsid w:val="00DE23B3"/>
    <w:rPr>
      <w:b/>
      <w:bCs/>
      <w:smallCaps/>
      <w:color w:val="4472C4" w:themeColor="accent1"/>
      <w:spacing w:val="5"/>
    </w:rPr>
  </w:style>
  <w:style w:type="character" w:styleId="IntenseEmphasis">
    <w:name w:val="Intense Emphasis"/>
    <w:basedOn w:val="DefaultParagraphFont"/>
    <w:uiPriority w:val="21"/>
    <w:qFormat/>
    <w:rsid w:val="00DE09E0"/>
    <w:rPr>
      <w:i/>
      <w:iCs/>
      <w:color w:val="4472C4" w:themeColor="accent1"/>
    </w:rPr>
  </w:style>
  <w:style w:type="table" w:styleId="TableGrid">
    <w:name w:val="Table Grid"/>
    <w:basedOn w:val="TableNormal"/>
    <w:uiPriority w:val="39"/>
    <w:rsid w:val="00E15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4A7A5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82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40303">
      <w:bodyDiv w:val="1"/>
      <w:marLeft w:val="0"/>
      <w:marRight w:val="0"/>
      <w:marTop w:val="0"/>
      <w:marBottom w:val="0"/>
      <w:divBdr>
        <w:top w:val="none" w:sz="0" w:space="0" w:color="auto"/>
        <w:left w:val="none" w:sz="0" w:space="0" w:color="auto"/>
        <w:bottom w:val="none" w:sz="0" w:space="0" w:color="auto"/>
        <w:right w:val="none" w:sz="0" w:space="0" w:color="auto"/>
      </w:divBdr>
    </w:div>
    <w:div w:id="933127479">
      <w:bodyDiv w:val="1"/>
      <w:marLeft w:val="0"/>
      <w:marRight w:val="0"/>
      <w:marTop w:val="0"/>
      <w:marBottom w:val="0"/>
      <w:divBdr>
        <w:top w:val="none" w:sz="0" w:space="0" w:color="auto"/>
        <w:left w:val="none" w:sz="0" w:space="0" w:color="auto"/>
        <w:bottom w:val="none" w:sz="0" w:space="0" w:color="auto"/>
        <w:right w:val="none" w:sz="0" w:space="0" w:color="auto"/>
      </w:divBdr>
    </w:div>
    <w:div w:id="1286153103">
      <w:bodyDiv w:val="1"/>
      <w:marLeft w:val="0"/>
      <w:marRight w:val="0"/>
      <w:marTop w:val="0"/>
      <w:marBottom w:val="0"/>
      <w:divBdr>
        <w:top w:val="none" w:sz="0" w:space="0" w:color="auto"/>
        <w:left w:val="none" w:sz="0" w:space="0" w:color="auto"/>
        <w:bottom w:val="none" w:sz="0" w:space="0" w:color="auto"/>
        <w:right w:val="none" w:sz="0" w:space="0" w:color="auto"/>
      </w:divBdr>
    </w:div>
    <w:div w:id="14512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L(x)</a:t>
            </a:r>
            <a:r>
              <a:rPr lang="en-AU" baseline="0"/>
              <a:t> Cost v.s. t</a:t>
            </a:r>
            <a:r>
              <a:rPr lang="en-AU" baseline="30000"/>
              <a:t>2</a:t>
            </a:r>
            <a:r>
              <a:rPr lang="en-AU" baseline="0"/>
              <a:t> Benefit</a:t>
            </a:r>
            <a:endParaRPr lang="en-AU"/>
          </a:p>
        </c:rich>
      </c:tx>
      <c:overlay val="0"/>
    </c:title>
    <c:autoTitleDeleted val="0"/>
    <c:plotArea>
      <c:layout/>
      <c:lineChart>
        <c:grouping val="standard"/>
        <c:varyColors val="0"/>
        <c:ser>
          <c:idx val="2"/>
          <c:order val="1"/>
          <c:tx>
            <c:v>t² </c:v>
          </c:tx>
          <c:marker>
            <c:symbol val="none"/>
          </c:marker>
          <c:val>
            <c:numRef>
              <c:f>Sheet1!$C$2:$C$108</c:f>
              <c:numCache>
                <c:formatCode>General</c:formatCode>
                <c:ptCount val="107"/>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pt idx="100">
                  <c:v>10201</c:v>
                </c:pt>
                <c:pt idx="101">
                  <c:v>10404</c:v>
                </c:pt>
                <c:pt idx="102">
                  <c:v>10609</c:v>
                </c:pt>
                <c:pt idx="103">
                  <c:v>10816</c:v>
                </c:pt>
                <c:pt idx="104">
                  <c:v>11025</c:v>
                </c:pt>
                <c:pt idx="105">
                  <c:v>11236</c:v>
                </c:pt>
                <c:pt idx="106">
                  <c:v>11449</c:v>
                </c:pt>
              </c:numCache>
            </c:numRef>
          </c:val>
          <c:smooth val="0"/>
          <c:extLst>
            <c:ext xmlns:c16="http://schemas.microsoft.com/office/drawing/2014/chart" uri="{C3380CC4-5D6E-409C-BE32-E72D297353CC}">
              <c16:uniqueId val="{00000002-413F-4016-B6F2-97619212DDF7}"/>
            </c:ext>
          </c:extLst>
        </c:ser>
        <c:dLbls>
          <c:showLegendKey val="0"/>
          <c:showVal val="0"/>
          <c:showCatName val="0"/>
          <c:showSerName val="0"/>
          <c:showPercent val="0"/>
          <c:showBubbleSize val="0"/>
        </c:dLbls>
        <c:marker val="1"/>
        <c:smooth val="0"/>
        <c:axId val="1061318111"/>
        <c:axId val="1"/>
      </c:lineChart>
      <c:scatterChart>
        <c:scatterStyle val="smoothMarker"/>
        <c:varyColors val="0"/>
        <c:ser>
          <c:idx val="1"/>
          <c:order val="0"/>
          <c:tx>
            <c:strRef>
              <c:f>Sheet1!$B$1</c:f>
              <c:strCache>
                <c:ptCount val="1"/>
                <c:pt idx="0">
                  <c:v>L(x)</c:v>
                </c:pt>
              </c:strCache>
            </c:strRef>
          </c:tx>
          <c:marker>
            <c:symbol val="none"/>
          </c:marker>
          <c:yVal>
            <c:numRef>
              <c:f>Sheet1!$B$2:$B$108</c:f>
              <c:numCache>
                <c:formatCode>General</c:formatCode>
                <c:ptCount val="107"/>
                <c:pt idx="0">
                  <c:v>5050</c:v>
                </c:pt>
                <c:pt idx="1">
                  <c:v>5100</c:v>
                </c:pt>
                <c:pt idx="2">
                  <c:v>5150</c:v>
                </c:pt>
                <c:pt idx="3">
                  <c:v>5200</c:v>
                </c:pt>
                <c:pt idx="4">
                  <c:v>5250</c:v>
                </c:pt>
                <c:pt idx="5">
                  <c:v>5300</c:v>
                </c:pt>
                <c:pt idx="6">
                  <c:v>5350</c:v>
                </c:pt>
                <c:pt idx="7">
                  <c:v>5400</c:v>
                </c:pt>
                <c:pt idx="8">
                  <c:v>5450</c:v>
                </c:pt>
                <c:pt idx="9">
                  <c:v>5500</c:v>
                </c:pt>
                <c:pt idx="10">
                  <c:v>5550</c:v>
                </c:pt>
                <c:pt idx="11">
                  <c:v>5600</c:v>
                </c:pt>
                <c:pt idx="12">
                  <c:v>5650</c:v>
                </c:pt>
                <c:pt idx="13">
                  <c:v>5700</c:v>
                </c:pt>
                <c:pt idx="14">
                  <c:v>5750</c:v>
                </c:pt>
                <c:pt idx="15">
                  <c:v>5800</c:v>
                </c:pt>
                <c:pt idx="16">
                  <c:v>5850</c:v>
                </c:pt>
                <c:pt idx="17">
                  <c:v>5900</c:v>
                </c:pt>
                <c:pt idx="18">
                  <c:v>5950</c:v>
                </c:pt>
                <c:pt idx="19">
                  <c:v>6000</c:v>
                </c:pt>
                <c:pt idx="20">
                  <c:v>6050</c:v>
                </c:pt>
                <c:pt idx="21">
                  <c:v>6100</c:v>
                </c:pt>
                <c:pt idx="22">
                  <c:v>6150</c:v>
                </c:pt>
                <c:pt idx="23">
                  <c:v>6200</c:v>
                </c:pt>
                <c:pt idx="24">
                  <c:v>6250</c:v>
                </c:pt>
                <c:pt idx="25">
                  <c:v>6300</c:v>
                </c:pt>
                <c:pt idx="26">
                  <c:v>6350</c:v>
                </c:pt>
                <c:pt idx="27">
                  <c:v>6400</c:v>
                </c:pt>
                <c:pt idx="28">
                  <c:v>6450</c:v>
                </c:pt>
                <c:pt idx="29">
                  <c:v>6500</c:v>
                </c:pt>
                <c:pt idx="30">
                  <c:v>6550</c:v>
                </c:pt>
                <c:pt idx="31">
                  <c:v>6600</c:v>
                </c:pt>
                <c:pt idx="32">
                  <c:v>6650</c:v>
                </c:pt>
                <c:pt idx="33">
                  <c:v>6700</c:v>
                </c:pt>
                <c:pt idx="34">
                  <c:v>6750</c:v>
                </c:pt>
                <c:pt idx="35">
                  <c:v>6800</c:v>
                </c:pt>
                <c:pt idx="36">
                  <c:v>6850</c:v>
                </c:pt>
                <c:pt idx="37">
                  <c:v>6900</c:v>
                </c:pt>
                <c:pt idx="38">
                  <c:v>6950</c:v>
                </c:pt>
                <c:pt idx="39">
                  <c:v>7000</c:v>
                </c:pt>
                <c:pt idx="40">
                  <c:v>7050</c:v>
                </c:pt>
                <c:pt idx="41">
                  <c:v>7100</c:v>
                </c:pt>
                <c:pt idx="42">
                  <c:v>7150</c:v>
                </c:pt>
                <c:pt idx="43">
                  <c:v>7200</c:v>
                </c:pt>
                <c:pt idx="44">
                  <c:v>7250</c:v>
                </c:pt>
                <c:pt idx="45">
                  <c:v>7300</c:v>
                </c:pt>
                <c:pt idx="46">
                  <c:v>7350</c:v>
                </c:pt>
                <c:pt idx="47">
                  <c:v>7400</c:v>
                </c:pt>
                <c:pt idx="48">
                  <c:v>7450</c:v>
                </c:pt>
                <c:pt idx="49">
                  <c:v>7500</c:v>
                </c:pt>
                <c:pt idx="50">
                  <c:v>7550</c:v>
                </c:pt>
                <c:pt idx="51">
                  <c:v>7600</c:v>
                </c:pt>
                <c:pt idx="52">
                  <c:v>7650</c:v>
                </c:pt>
                <c:pt idx="53">
                  <c:v>7700</c:v>
                </c:pt>
                <c:pt idx="54">
                  <c:v>7750</c:v>
                </c:pt>
                <c:pt idx="55">
                  <c:v>7800</c:v>
                </c:pt>
                <c:pt idx="56">
                  <c:v>7850</c:v>
                </c:pt>
                <c:pt idx="57">
                  <c:v>7900</c:v>
                </c:pt>
                <c:pt idx="58">
                  <c:v>7950</c:v>
                </c:pt>
                <c:pt idx="59">
                  <c:v>8000</c:v>
                </c:pt>
                <c:pt idx="60">
                  <c:v>8050</c:v>
                </c:pt>
                <c:pt idx="61">
                  <c:v>8100</c:v>
                </c:pt>
                <c:pt idx="62">
                  <c:v>8150</c:v>
                </c:pt>
                <c:pt idx="63">
                  <c:v>8200</c:v>
                </c:pt>
                <c:pt idx="64">
                  <c:v>8250</c:v>
                </c:pt>
                <c:pt idx="65">
                  <c:v>8300</c:v>
                </c:pt>
                <c:pt idx="66">
                  <c:v>8350</c:v>
                </c:pt>
                <c:pt idx="67">
                  <c:v>8400</c:v>
                </c:pt>
                <c:pt idx="68">
                  <c:v>8450</c:v>
                </c:pt>
                <c:pt idx="69">
                  <c:v>8500</c:v>
                </c:pt>
                <c:pt idx="70">
                  <c:v>8550</c:v>
                </c:pt>
                <c:pt idx="71">
                  <c:v>8600</c:v>
                </c:pt>
                <c:pt idx="72">
                  <c:v>8650</c:v>
                </c:pt>
                <c:pt idx="73">
                  <c:v>8700</c:v>
                </c:pt>
                <c:pt idx="74">
                  <c:v>8750</c:v>
                </c:pt>
                <c:pt idx="75">
                  <c:v>8800</c:v>
                </c:pt>
                <c:pt idx="76">
                  <c:v>8850</c:v>
                </c:pt>
                <c:pt idx="77">
                  <c:v>8900</c:v>
                </c:pt>
                <c:pt idx="78">
                  <c:v>8950</c:v>
                </c:pt>
                <c:pt idx="79">
                  <c:v>9000</c:v>
                </c:pt>
                <c:pt idx="80">
                  <c:v>9050</c:v>
                </c:pt>
                <c:pt idx="81">
                  <c:v>9100</c:v>
                </c:pt>
                <c:pt idx="82">
                  <c:v>9150</c:v>
                </c:pt>
                <c:pt idx="83">
                  <c:v>9200</c:v>
                </c:pt>
                <c:pt idx="84">
                  <c:v>9250</c:v>
                </c:pt>
                <c:pt idx="85">
                  <c:v>9300</c:v>
                </c:pt>
                <c:pt idx="86">
                  <c:v>9350</c:v>
                </c:pt>
                <c:pt idx="87">
                  <c:v>9400</c:v>
                </c:pt>
                <c:pt idx="88">
                  <c:v>9450</c:v>
                </c:pt>
                <c:pt idx="89">
                  <c:v>9500</c:v>
                </c:pt>
                <c:pt idx="90">
                  <c:v>9550</c:v>
                </c:pt>
                <c:pt idx="91">
                  <c:v>9600</c:v>
                </c:pt>
                <c:pt idx="92">
                  <c:v>9650</c:v>
                </c:pt>
                <c:pt idx="93">
                  <c:v>9700</c:v>
                </c:pt>
                <c:pt idx="94">
                  <c:v>9750</c:v>
                </c:pt>
                <c:pt idx="95">
                  <c:v>9800</c:v>
                </c:pt>
                <c:pt idx="96">
                  <c:v>9850</c:v>
                </c:pt>
                <c:pt idx="97">
                  <c:v>9900</c:v>
                </c:pt>
                <c:pt idx="98">
                  <c:v>9950</c:v>
                </c:pt>
                <c:pt idx="99">
                  <c:v>10000</c:v>
                </c:pt>
                <c:pt idx="100">
                  <c:v>10050</c:v>
                </c:pt>
                <c:pt idx="101">
                  <c:v>10100</c:v>
                </c:pt>
                <c:pt idx="102">
                  <c:v>10150</c:v>
                </c:pt>
                <c:pt idx="103">
                  <c:v>10200</c:v>
                </c:pt>
                <c:pt idx="104">
                  <c:v>10250</c:v>
                </c:pt>
                <c:pt idx="105">
                  <c:v>10300</c:v>
                </c:pt>
                <c:pt idx="106">
                  <c:v>10350</c:v>
                </c:pt>
              </c:numCache>
            </c:numRef>
          </c:yVal>
          <c:smooth val="1"/>
          <c:extLst>
            <c:ext xmlns:c16="http://schemas.microsoft.com/office/drawing/2014/chart" uri="{C3380CC4-5D6E-409C-BE32-E72D297353CC}">
              <c16:uniqueId val="{00000001-413F-4016-B6F2-97619212DDF7}"/>
            </c:ext>
          </c:extLst>
        </c:ser>
        <c:dLbls>
          <c:showLegendKey val="0"/>
          <c:showVal val="0"/>
          <c:showCatName val="0"/>
          <c:showSerName val="0"/>
          <c:showPercent val="0"/>
          <c:showBubbleSize val="0"/>
        </c:dLbls>
        <c:axId val="1061318111"/>
        <c:axId val="1"/>
      </c:scatterChart>
      <c:catAx>
        <c:axId val="1061318111"/>
        <c:scaling>
          <c:orientation val="minMax"/>
        </c:scaling>
        <c:delete val="0"/>
        <c:axPos val="b"/>
        <c:title>
          <c:tx>
            <c:rich>
              <a:bodyPr/>
              <a:lstStyle/>
              <a:p>
                <a:pPr>
                  <a:defRPr/>
                </a:pPr>
                <a:r>
                  <a:rPr lang="en-AU"/>
                  <a:t>Tile Size</a:t>
                </a:r>
              </a:p>
            </c:rich>
          </c:tx>
          <c:overlay val="0"/>
        </c:title>
        <c:numFmt formatCode="General" sourceLinked="1"/>
        <c:majorTickMark val="out"/>
        <c:minorTickMark val="none"/>
        <c:tickLblPos val="nextTo"/>
        <c:crossAx val="1"/>
        <c:crosses val="autoZero"/>
        <c:auto val="1"/>
        <c:lblAlgn val="ctr"/>
        <c:lblOffset val="100"/>
        <c:tickMarkSkip val="10"/>
        <c:noMultiLvlLbl val="0"/>
      </c:catAx>
      <c:valAx>
        <c:axId val="1"/>
        <c:scaling>
          <c:orientation val="minMax"/>
        </c:scaling>
        <c:delete val="0"/>
        <c:axPos val="l"/>
        <c:majorGridlines/>
        <c:title>
          <c:tx>
            <c:rich>
              <a:bodyPr/>
              <a:lstStyle/>
              <a:p>
                <a:pPr>
                  <a:defRPr/>
                </a:pPr>
                <a:r>
                  <a:rPr lang="en-AU"/>
                  <a:t>Operation</a:t>
                </a:r>
                <a:r>
                  <a:rPr lang="en-AU" baseline="0"/>
                  <a:t> Cost/Benefit</a:t>
                </a:r>
                <a:endParaRPr lang="en-AU"/>
              </a:p>
            </c:rich>
          </c:tx>
          <c:overlay val="0"/>
        </c:title>
        <c:numFmt formatCode="General" sourceLinked="1"/>
        <c:majorTickMark val="out"/>
        <c:minorTickMark val="none"/>
        <c:tickLblPos val="nextTo"/>
        <c:crossAx val="1061318111"/>
        <c:crosses val="autoZero"/>
        <c:crossBetween val="between"/>
      </c:valAx>
    </c:plotArea>
    <c:legend>
      <c:legendPos val="r"/>
      <c:layout>
        <c:manualLayout>
          <c:xMode val="edge"/>
          <c:yMode val="edge"/>
          <c:x val="0.87644787644787647"/>
          <c:y val="0.37953795379537952"/>
          <c:w val="0.11261373578302712"/>
          <c:h val="0.15389713519852571"/>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lib19</b:Tag>
    <b:SourceType>InternetSite</b:SourceType>
    <b:Guid>{0B3D2250-5DF7-4309-9203-E702391058E9}</b:Guid>
    <b:Title>Home</b:Title>
    <b:Year>2019</b:Year>
    <b:Author>
      <b:Author>
        <b:Corporate>libcheck</b:Corporate>
      </b:Author>
    </b:Author>
    <b:InternetSiteTitle>Check</b:InternetSiteTitle>
    <b:Month>09</b:Month>
    <b:Day>23</b:Day>
    <b:URL>https://libcheck.github.io/check/</b:URL>
    <b:RefOrder>4</b:RefOrder>
  </b:Source>
  <b:Source>
    <b:Tag>zee19</b:Tag>
    <b:SourceType>InternetSite</b:SourceType>
    <b:Guid>{F1CC5D0A-E22E-472E-81D3-E1BEA2D32E60}</b:Guid>
    <b:Author>
      <b:Author>
        <b:NameList>
          <b:Person>
            <b:Last>zeehio</b:Last>
          </b:Person>
        </b:NameList>
      </b:Author>
    </b:Author>
    <b:Title>parmap</b:Title>
    <b:InternetSiteTitle>pypi</b:InternetSiteTitle>
    <b:Year>2019</b:Year>
    <b:Month>09</b:Month>
    <b:Day>23</b:Day>
    <b:URL>https://pypi.org/project/parmap/</b:URL>
    <b:RefOrder>5</b:RefOrder>
  </b:Source>
  <b:Source>
    <b:Tag>wol19</b:Tag>
    <b:SourceType>InternetSite</b:SourceType>
    <b:Guid>{7AC17AEB-F2CE-4AC7-B85A-30361B767D6C}</b:Guid>
    <b:Title>parameterized</b:Title>
    <b:Year>2019</b:Year>
    <b:Author>
      <b:Author>
        <b:NameList>
          <b:Person>
            <b:Last>wolever</b:Last>
          </b:Person>
        </b:NameList>
      </b:Author>
    </b:Author>
    <b:InternetSiteTitle>pypi</b:InternetSiteTitle>
    <b:Month>10</b:Month>
    <b:Day>22</b:Day>
    <b:URL>https://pypi.org/project/parameterized/</b:URL>
    <b:RefOrder>1</b:RefOrder>
  </b:Source>
  <b:Source>
    <b:Tag>Hun19</b:Tag>
    <b:SourceType>InternetSite</b:SourceType>
    <b:Guid>{4B551487-D1D7-480C-BB39-E7987659E360}</b:Guid>
    <b:Title>matplotlib</b:Title>
    <b:InternetSiteTitle>pypi</b:InternetSiteTitle>
    <b:Year>2019</b:Year>
    <b:Month>10</b:Month>
    <b:Day>22</b:Day>
    <b:URL>https://pypi.org/project/matplotlib/</b:URL>
    <b:Author>
      <b:Author>
        <b:NameList>
          <b:Person>
            <b:Last>Hunter</b:Last>
            <b:Middle>John</b:Middle>
            <b:First>D</b:First>
          </b:Person>
          <b:Person>
            <b:Last>Droettboom</b:Last>
            <b:First>Michael</b:First>
          </b:Person>
        </b:NameList>
      </b:Author>
    </b:Author>
    <b:RefOrder>2</b:RefOrder>
  </b:Source>
  <b:Source>
    <b:Tag>Wik19</b:Tag>
    <b:SourceType>InternetSite</b:SourceType>
    <b:Guid>{AEECD808-C09B-4C63-80C6-8A370CF7E905}</b:Guid>
    <b:Author>
      <b:Author>
        <b:Corporate>Wikipedia</b:Corporate>
      </b:Author>
    </b:Author>
    <b:Title>Amdahl's Law</b:Title>
    <b:InternetSiteTitle>Wikipedia</b:InternetSiteTitle>
    <b:Year>2019</b:Year>
    <b:Month>10</b:Month>
    <b:Day>22</b:Day>
    <b:URL>https://en.wikipedia.org/wiki/Amdahl%27s_law</b:URL>
    <b:RefOrder>3</b:RefOrder>
  </b:Source>
</b:Sources>
</file>

<file path=customXml/itemProps1.xml><?xml version="1.0" encoding="utf-8"?>
<ds:datastoreItem xmlns:ds="http://schemas.openxmlformats.org/officeDocument/2006/customXml" ds:itemID="{8DE70BD7-3293-47B6-A380-33912526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Hollingworth</dc:creator>
  <cp:keywords/>
  <dc:description/>
  <cp:lastModifiedBy>Henry Hollingworth</cp:lastModifiedBy>
  <cp:revision>12</cp:revision>
  <cp:lastPrinted>2019-10-24T09:32:00Z</cp:lastPrinted>
  <dcterms:created xsi:type="dcterms:W3CDTF">2019-10-23T10:33:00Z</dcterms:created>
  <dcterms:modified xsi:type="dcterms:W3CDTF">2019-10-24T09:35:00Z</dcterms:modified>
</cp:coreProperties>
</file>