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F1" w:rsidRDefault="004F67EB">
      <w:r>
        <w:t>IV-Mécanismes immunologiques de l’hypersensibilité immédiate Comme dans toutes les réponses d’hypersensibilité, il existe deux phases immunologiques dans l’hypersensibilité immédiate. Une première phase de sensibilisation / immunisation conduit à la synthèse des IgE spécifiques. Elle est cliniquement muette. La deuxième phase, dite « de révélation » ou encore « effectrice », est cliniquement symptomatique, liée à l’activation immédiate par l’allergène des cellules (principalement mastocytes et basophiles) porteuses des IgE à leur surface (Figure 2).</w:t>
      </w:r>
    </w:p>
    <w:p w:rsidR="004F67EB" w:rsidRDefault="004F67EB"/>
    <w:p w:rsidR="004F67EB" w:rsidRDefault="004F67EB" w:rsidP="004F67EB">
      <w:pPr>
        <w:pStyle w:val="Titre1"/>
        <w:shd w:val="clear" w:color="auto" w:fill="0062A2"/>
        <w:spacing w:before="0"/>
        <w:rPr>
          <w:rFonts w:ascii="Arial" w:hAnsi="Arial" w:cs="Arial"/>
          <w:b w:val="0"/>
          <w:bCs w:val="0"/>
          <w:color w:val="FFFFFF"/>
          <w:sz w:val="39"/>
          <w:szCs w:val="39"/>
        </w:rPr>
      </w:pPr>
      <w:r>
        <w:rPr>
          <w:rFonts w:ascii="Arial" w:hAnsi="Arial" w:cs="Arial"/>
          <w:b w:val="0"/>
          <w:bCs w:val="0"/>
          <w:color w:val="FFFFFF"/>
          <w:sz w:val="39"/>
          <w:szCs w:val="39"/>
        </w:rPr>
        <w:t>Environnement, Risques &amp; Santé</w:t>
      </w:r>
    </w:p>
    <w:p w:rsidR="004F67EB" w:rsidRDefault="004F67EB" w:rsidP="004F67EB">
      <w:pPr>
        <w:pStyle w:val="Titre2"/>
        <w:pBdr>
          <w:bottom w:val="single" w:sz="18" w:space="4" w:color="1E3A6C"/>
        </w:pBdr>
        <w:shd w:val="clear" w:color="auto" w:fill="FFFFFF"/>
        <w:spacing w:before="0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 xml:space="preserve">Synergie entre pollens et polluants chimiques de l'air : les risques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croisés</w:t>
      </w:r>
      <w:hyperlink r:id="rId5" w:tooltip="Voir le sommaire de cette parution" w:history="1">
        <w:r>
          <w:rPr>
            <w:rStyle w:val="Lienhypertexte"/>
            <w:rFonts w:ascii="Arial" w:hAnsi="Arial" w:cs="Arial"/>
            <w:b w:val="0"/>
            <w:bCs w:val="0"/>
            <w:color w:val="555555"/>
            <w:sz w:val="24"/>
            <w:szCs w:val="24"/>
          </w:rPr>
          <w:t>Volume</w:t>
        </w:r>
        <w:proofErr w:type="spellEnd"/>
        <w:r>
          <w:rPr>
            <w:rStyle w:val="Lienhypertexte"/>
            <w:rFonts w:ascii="Arial" w:hAnsi="Arial" w:cs="Arial"/>
            <w:b w:val="0"/>
            <w:bCs w:val="0"/>
            <w:color w:val="555555"/>
            <w:sz w:val="24"/>
            <w:szCs w:val="24"/>
          </w:rPr>
          <w:t xml:space="preserve"> 1, numéro 1, Mars - Avril 2002</w:t>
        </w:r>
      </w:hyperlink>
    </w:p>
    <w:p w:rsidR="004F67EB" w:rsidRDefault="004F67EB"/>
    <w:p w:rsidR="004F67EB" w:rsidRPr="004F67EB" w:rsidRDefault="004F67EB" w:rsidP="004F67E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E3A6C"/>
          <w:sz w:val="21"/>
          <w:szCs w:val="21"/>
          <w:lang w:eastAsia="fr-FR"/>
        </w:rPr>
      </w:pPr>
      <w:r w:rsidRPr="004F67EB">
        <w:rPr>
          <w:rFonts w:ascii="Arial" w:eastAsia="Times New Roman" w:hAnsi="Arial" w:cs="Arial"/>
          <w:b/>
          <w:bCs/>
          <w:color w:val="1E3A6C"/>
          <w:sz w:val="21"/>
          <w:szCs w:val="21"/>
          <w:lang w:eastAsia="fr-FR"/>
        </w:rPr>
        <w:t>Action de la pollution s</w:t>
      </w:r>
      <w:bookmarkStart w:id="0" w:name="rubrique3"/>
      <w:bookmarkEnd w:id="0"/>
      <w:r w:rsidRPr="004F67EB">
        <w:rPr>
          <w:rFonts w:ascii="Arial" w:eastAsia="Times New Roman" w:hAnsi="Arial" w:cs="Arial"/>
          <w:b/>
          <w:bCs/>
          <w:color w:val="1E3A6C"/>
          <w:sz w:val="21"/>
          <w:szCs w:val="21"/>
          <w:lang w:eastAsia="fr-FR"/>
        </w:rPr>
        <w:t>ur le pollen</w:t>
      </w:r>
    </w:p>
    <w:p w:rsidR="004F67EB" w:rsidRPr="004F67EB" w:rsidRDefault="004F67EB" w:rsidP="004F67EB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Différents travaux </w:t>
      </w:r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>(</w:t>
      </w:r>
      <w:hyperlink r:id="rId6" w:tgtFrame="_blank" w:history="1">
        <w:r w:rsidRPr="004F67EB">
          <w:rPr>
            <w:rFonts w:ascii="Arial" w:eastAsia="Times New Roman" w:hAnsi="Arial" w:cs="Arial"/>
            <w:i/>
            <w:iCs/>
            <w:color w:val="0645AD"/>
            <w:sz w:val="20"/>
            <w:szCs w:val="20"/>
            <w:lang w:eastAsia="fr-FR"/>
          </w:rPr>
          <w:t>tableau</w:t>
        </w:r>
      </w:hyperlink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> 1)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ont établi que les polluants atmosphériques pouvaient faire varier tout à la fois la quantité d'allergènes présents dans les grains de pollen, la capacité de ces allergènes à se libérer dans l'air et, par suite, l'</w:t>
      </w:r>
      <w:proofErr w:type="spellStart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allergénicité</w:t>
      </w:r>
      <w:proofErr w:type="spellEnd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des pollens [11]. C'est ainsi que les pollens d'ivraie récoltés dans une ville à fort taux d'ozone renferment l'un de leurs allergènes</w:t>
      </w:r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> (</w:t>
      </w:r>
      <w:proofErr w:type="spellStart"/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>Lol</w:t>
      </w:r>
      <w:proofErr w:type="spellEnd"/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 xml:space="preserve"> p5)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 à une concentration bien supérieure à celle retrouvée dans les mêmes pollens provenant d'une localité moins polluée [12] ; en outre, l'exposition expérimentale de tels pollens à des teneurs en ozone de l'ordre de 130 </w:t>
      </w:r>
      <w:proofErr w:type="spellStart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mug</w:t>
      </w:r>
      <w:proofErr w:type="spellEnd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/m</w:t>
      </w:r>
      <w:r w:rsidRPr="004F67EB">
        <w:rPr>
          <w:rFonts w:ascii="Arial" w:eastAsia="Times New Roman" w:hAnsi="Arial" w:cs="Arial"/>
          <w:color w:val="555555"/>
          <w:sz w:val="15"/>
          <w:szCs w:val="15"/>
          <w:vertAlign w:val="superscript"/>
          <w:lang w:eastAsia="fr-FR"/>
        </w:rPr>
        <w:t>3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se traduit par une nette augmentation du contenu des grains en </w:t>
      </w:r>
      <w:proofErr w:type="spellStart"/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>Lol</w:t>
      </w:r>
      <w:proofErr w:type="spellEnd"/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 xml:space="preserve"> p5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. De même, les pollens de bouleau récoltés au centre-ville de Vienne se sont avérés plus riches en allergènes que ceux provenant d'un parc de cette ville ou de deux petites agglomérations ; cela semble, là encore, devoir être mis en relation avec la présence d'une forte pollution automobile, particulièrement en oxydes d'azote [13]. L'exposition </w:t>
      </w:r>
      <w:r w:rsidRPr="004F67EB">
        <w:rPr>
          <w:rFonts w:ascii="Arial" w:eastAsia="Times New Roman" w:hAnsi="Arial" w:cs="Arial"/>
          <w:i/>
          <w:iCs/>
          <w:color w:val="555555"/>
          <w:sz w:val="20"/>
          <w:szCs w:val="20"/>
          <w:lang w:eastAsia="fr-FR"/>
        </w:rPr>
        <w:t>in vitro 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de pollens de chêne, d'orme et de fétuque à un mélange de SO</w:t>
      </w:r>
      <w:r w:rsidRPr="004F67EB">
        <w:rPr>
          <w:rFonts w:ascii="Arial" w:eastAsia="Times New Roman" w:hAnsi="Arial" w:cs="Arial"/>
          <w:color w:val="555555"/>
          <w:sz w:val="15"/>
          <w:szCs w:val="15"/>
          <w:vertAlign w:val="subscript"/>
          <w:lang w:eastAsia="fr-FR"/>
        </w:rPr>
        <w:t>2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, de NO</w:t>
      </w:r>
      <w:r w:rsidRPr="004F67EB">
        <w:rPr>
          <w:rFonts w:ascii="Arial" w:eastAsia="Times New Roman" w:hAnsi="Arial" w:cs="Arial"/>
          <w:color w:val="555555"/>
          <w:sz w:val="15"/>
          <w:szCs w:val="15"/>
          <w:vertAlign w:val="subscript"/>
          <w:lang w:eastAsia="fr-FR"/>
        </w:rPr>
        <w:t>2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et de CO a également révélé que le contenu des grains en acides aminés était modifié, tout comme l'est leur poids moléculaire [14]. Pour le pollen d'orme, par exemple, on constate un doublement du nombre d'acides aminés libres, donc une franche augmentation de l'</w:t>
      </w:r>
      <w:proofErr w:type="spellStart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allergénicité</w:t>
      </w:r>
      <w:proofErr w:type="spellEnd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[15, 16]. Par ailleurs, des extraits de pollen de chêne pollués par du NO</w:t>
      </w:r>
      <w:r w:rsidRPr="004F67EB">
        <w:rPr>
          <w:rFonts w:ascii="Arial" w:eastAsia="Times New Roman" w:hAnsi="Arial" w:cs="Arial"/>
          <w:color w:val="555555"/>
          <w:sz w:val="15"/>
          <w:szCs w:val="15"/>
          <w:vertAlign w:val="subscript"/>
          <w:lang w:eastAsia="fr-FR"/>
        </w:rPr>
        <w:t>2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 ont entraîné de la part des globules blancs de patients allergiques une libération d'histamine (médiateur chimique caractéristique de la réaction allergique immédiate) nettement supérieure à celle observée avec des grains « propres ».</w:t>
      </w:r>
    </w:p>
    <w:p w:rsidR="004F67EB" w:rsidRPr="004F67EB" w:rsidRDefault="004F67EB" w:rsidP="004F67EB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55555"/>
          <w:sz w:val="20"/>
          <w:szCs w:val="20"/>
          <w:lang w:eastAsia="fr-FR"/>
        </w:rPr>
      </w:pP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Mais tous les polluants ne semblent pas exercer les mêmes effets. Des expositions contrôlées de pollen à différents polluants gazeux [16] ont indiqué que la libération d'allergènes diminuait après exposition au SO</w:t>
      </w:r>
      <w:r w:rsidRPr="004F67EB">
        <w:rPr>
          <w:rFonts w:ascii="Arial" w:eastAsia="Times New Roman" w:hAnsi="Arial" w:cs="Arial"/>
          <w:color w:val="555555"/>
          <w:sz w:val="15"/>
          <w:szCs w:val="15"/>
          <w:vertAlign w:val="subscript"/>
          <w:lang w:eastAsia="fr-FR"/>
        </w:rPr>
        <w:t>2</w:t>
      </w:r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, alors qu'elle s'accélérait en présence de composés organiques volatils (COV). On suppose qu'en s'agglomérant à la surface du grain, ces COV induisent une </w:t>
      </w:r>
      <w:proofErr w:type="spellStart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préactivation</w:t>
      </w:r>
      <w:proofErr w:type="spellEnd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 xml:space="preserve"> qui, sous certaines conditions encore insuffisamment élucidées, peut conduire à la libération de particules de taille </w:t>
      </w:r>
      <w:proofErr w:type="spellStart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micronique</w:t>
      </w:r>
      <w:proofErr w:type="spellEnd"/>
      <w:r w:rsidRPr="004F67EB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, portant une activité allergénique [17].</w:t>
      </w:r>
    </w:p>
    <w:p w:rsidR="004F67EB" w:rsidRDefault="004F67EB" w:rsidP="004F67E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 démonstration paraît faite que les polluants chimiques agissent </w:t>
      </w:r>
      <w:r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à la fois sur le pollen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 en le rendant plus allergisant, </w:t>
      </w:r>
      <w:r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et sur les allergiques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 dont ils augmentent l'irritation nasale et oculaire, l'hyperréactivité bronchique et la synthèse des IgE.</w:t>
      </w:r>
    </w:p>
    <w:p w:rsidR="00016C9C" w:rsidRDefault="00016C9C" w:rsidP="004F67EB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016C9C" w:rsidRDefault="00016C9C" w:rsidP="004F67EB">
      <w:pPr>
        <w:rPr>
          <w:rStyle w:val="info"/>
          <w:rFonts w:ascii="Verdana" w:hAnsi="Verdana"/>
          <w:color w:val="000080"/>
          <w:sz w:val="16"/>
          <w:szCs w:val="16"/>
        </w:rPr>
      </w:pPr>
      <w:r>
        <w:rPr>
          <w:rFonts w:ascii="Arial" w:hAnsi="Arial" w:cs="Arial"/>
          <w:color w:val="000080"/>
          <w:sz w:val="17"/>
          <w:szCs w:val="17"/>
          <w:shd w:val="clear" w:color="auto" w:fill="FFFFFF"/>
        </w:rPr>
        <w:t> </w:t>
      </w:r>
      <w:r>
        <w:rPr>
          <w:rStyle w:val="info"/>
          <w:rFonts w:ascii="Verdana" w:hAnsi="Verdana"/>
          <w:color w:val="000080"/>
          <w:sz w:val="16"/>
          <w:szCs w:val="16"/>
        </w:rPr>
        <w:t>Immunosuppression par administration de doses croissantes d'antigène. Bien que le mécanisme exact ne soit pas clair, la thérapie est basée sur une augmentation des niveaux sériques d'immunoglobuline G spécifique de l'antigène, sur une suppression d'IgE spécifique, et sur une augmentation de l'activité des cellules T suppresseurs.</w:t>
      </w:r>
    </w:p>
    <w:p w:rsidR="009E6651" w:rsidRDefault="009E6651" w:rsidP="004F67EB">
      <w:pPr>
        <w:rPr>
          <w:rStyle w:val="info"/>
          <w:rFonts w:ascii="Verdana" w:hAnsi="Verdana"/>
          <w:color w:val="000080"/>
          <w:sz w:val="16"/>
          <w:szCs w:val="16"/>
        </w:rPr>
      </w:pPr>
    </w:p>
    <w:p w:rsidR="009E6651" w:rsidRDefault="009E6651" w:rsidP="004F67EB">
      <w:hyperlink r:id="rId7" w:history="1">
        <w:r w:rsidRPr="00CD26A1">
          <w:rPr>
            <w:rStyle w:val="Lienhypertexte"/>
          </w:rPr>
          <w:t>http://www.chu-rouen.fr/page/desensibilisation-immunologique</w:t>
        </w:r>
      </w:hyperlink>
    </w:p>
    <w:p w:rsidR="009E6651" w:rsidRDefault="009E6651" w:rsidP="004F67EB"/>
    <w:p w:rsidR="009E6651" w:rsidRDefault="009E6651" w:rsidP="009E66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E80"/>
          <w:sz w:val="21"/>
          <w:szCs w:val="21"/>
        </w:rPr>
      </w:pPr>
      <w:hyperlink r:id="rId8" w:history="1">
        <w:r>
          <w:rPr>
            <w:rStyle w:val="Lienhypertexte"/>
            <w:rFonts w:ascii="Arial" w:hAnsi="Arial" w:cs="Arial"/>
            <w:color w:val="37BC9B"/>
            <w:sz w:val="21"/>
            <w:szCs w:val="21"/>
          </w:rPr>
          <w:t>Inhibition par le</w:t>
        </w:r>
        <w:r>
          <w:rPr>
            <w:rStyle w:val="Lienhypertexte"/>
            <w:rFonts w:ascii="Arial" w:hAnsi="Arial" w:cs="Arial"/>
            <w:color w:val="37BC9B"/>
            <w:sz w:val="21"/>
            <w:szCs w:val="21"/>
          </w:rPr>
          <w:t>s</w:t>
        </w:r>
        <w:r>
          <w:rPr>
            <w:rStyle w:val="Lienhypertexte"/>
            <w:rFonts w:ascii="Arial" w:hAnsi="Arial" w:cs="Arial"/>
            <w:color w:val="37BC9B"/>
            <w:sz w:val="21"/>
            <w:szCs w:val="21"/>
          </w:rPr>
          <w:t xml:space="preserve"> </w:t>
        </w:r>
        <w:proofErr w:type="spellStart"/>
        <w:r>
          <w:rPr>
            <w:rStyle w:val="Lienhypertexte"/>
            <w:rFonts w:ascii="Arial" w:hAnsi="Arial" w:cs="Arial"/>
            <w:color w:val="37BC9B"/>
            <w:sz w:val="21"/>
            <w:szCs w:val="21"/>
          </w:rPr>
          <w:t>IgG</w:t>
        </w:r>
        <w:proofErr w:type="spellEnd"/>
        <w:r>
          <w:rPr>
            <w:rStyle w:val="Lienhypertexte"/>
            <w:rFonts w:ascii="Arial" w:hAnsi="Arial" w:cs="Arial"/>
            <w:color w:val="37BC9B"/>
            <w:sz w:val="21"/>
            <w:szCs w:val="21"/>
          </w:rPr>
          <w:t xml:space="preserve"> du complexe allergène-IgE se liant aux cellules B après désensibilisation aux pollens de graminées.</w:t>
        </w:r>
      </w:hyperlink>
      <w:r>
        <w:rPr>
          <w:rFonts w:ascii="Arial" w:hAnsi="Arial" w:cs="Arial"/>
          <w:color w:val="6B6E80"/>
          <w:sz w:val="21"/>
          <w:szCs w:val="21"/>
        </w:rPr>
        <w:t xml:space="preserve"> : Petra A.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Wachholz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PhDa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Nanna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Kristensen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Soni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PhDb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 Stephen J. Till, MD,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PhDa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 Stephen R. Durham,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MDa</w:t>
      </w:r>
      <w:proofErr w:type="spellEnd"/>
      <w:r w:rsidRPr="009E6651">
        <w:rPr>
          <w:rStyle w:val="lev"/>
          <w:rFonts w:ascii="Arial" w:eastAsiaTheme="majorEastAsia" w:hAnsi="Arial" w:cs="Arial"/>
          <w:color w:val="6B6E80"/>
          <w:sz w:val="21"/>
          <w:szCs w:val="21"/>
        </w:rPr>
        <w:t xml:space="preserve"> </w:t>
      </w:r>
      <w:r>
        <w:rPr>
          <w:rStyle w:val="lev"/>
          <w:rFonts w:ascii="Arial" w:eastAsiaTheme="majorEastAsia" w:hAnsi="Arial" w:cs="Arial"/>
          <w:color w:val="6B6E80"/>
          <w:sz w:val="21"/>
          <w:szCs w:val="21"/>
        </w:rPr>
        <w:t xml:space="preserve">JACI </w:t>
      </w:r>
      <w:proofErr w:type="spellStart"/>
      <w:r>
        <w:rPr>
          <w:rStyle w:val="lev"/>
          <w:rFonts w:ascii="Arial" w:eastAsiaTheme="majorEastAsia" w:hAnsi="Arial" w:cs="Arial"/>
          <w:color w:val="6B6E80"/>
          <w:sz w:val="21"/>
          <w:szCs w:val="21"/>
        </w:rPr>
        <w:t>November</w:t>
      </w:r>
      <w:proofErr w:type="spellEnd"/>
      <w:r>
        <w:rPr>
          <w:rStyle w:val="lev"/>
          <w:rFonts w:ascii="Arial" w:eastAsiaTheme="majorEastAsia" w:hAnsi="Arial" w:cs="Arial"/>
          <w:color w:val="6B6E80"/>
          <w:sz w:val="21"/>
          <w:szCs w:val="21"/>
        </w:rPr>
        <w:t xml:space="preserve"> 2003 • Volume 112 • </w:t>
      </w:r>
      <w:proofErr w:type="spellStart"/>
      <w:r>
        <w:rPr>
          <w:rStyle w:val="lev"/>
          <w:rFonts w:ascii="Arial" w:eastAsiaTheme="majorEastAsia" w:hAnsi="Arial" w:cs="Arial"/>
          <w:color w:val="6B6E80"/>
          <w:sz w:val="21"/>
          <w:szCs w:val="21"/>
        </w:rPr>
        <w:t>Number</w:t>
      </w:r>
      <w:proofErr w:type="spellEnd"/>
      <w:r>
        <w:rPr>
          <w:rStyle w:val="lev"/>
          <w:rFonts w:ascii="Arial" w:eastAsiaTheme="majorEastAsia" w:hAnsi="Arial" w:cs="Arial"/>
          <w:color w:val="6B6E80"/>
          <w:sz w:val="21"/>
          <w:szCs w:val="21"/>
        </w:rPr>
        <w:t xml:space="preserve"> 5</w:t>
      </w:r>
    </w:p>
    <w:p w:rsidR="009E6651" w:rsidRDefault="009E6651" w:rsidP="009E66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E80"/>
          <w:sz w:val="21"/>
          <w:szCs w:val="21"/>
        </w:rPr>
      </w:pPr>
    </w:p>
    <w:p w:rsidR="009E6651" w:rsidRDefault="009E6651" w:rsidP="004F67EB"/>
    <w:p w:rsidR="009E6651" w:rsidRDefault="009E6651" w:rsidP="009E6651">
      <w:pPr>
        <w:pStyle w:val="NormalWeb"/>
        <w:spacing w:before="0" w:beforeAutospacing="0" w:after="150" w:afterAutospacing="0"/>
        <w:rPr>
          <w:rFonts w:ascii="Arial" w:hAnsi="Arial" w:cs="Arial"/>
          <w:color w:val="6B6E80"/>
          <w:sz w:val="21"/>
          <w:szCs w:val="21"/>
        </w:rPr>
      </w:pPr>
      <w:r>
        <w:rPr>
          <w:rFonts w:ascii="Arial" w:hAnsi="Arial" w:cs="Arial"/>
          <w:color w:val="6B6E80"/>
          <w:sz w:val="21"/>
          <w:szCs w:val="21"/>
        </w:rPr>
        <w:t xml:space="preserve">Les </w:t>
      </w:r>
      <w:proofErr w:type="spellStart"/>
      <w:r>
        <w:rPr>
          <w:rFonts w:ascii="Arial" w:hAnsi="Arial" w:cs="Arial"/>
          <w:color w:val="6B6E80"/>
          <w:sz w:val="21"/>
          <w:szCs w:val="21"/>
        </w:rPr>
        <w:t>IgG</w:t>
      </w:r>
      <w:proofErr w:type="spellEnd"/>
      <w:r>
        <w:rPr>
          <w:rFonts w:ascii="Arial" w:hAnsi="Arial" w:cs="Arial"/>
          <w:color w:val="6B6E80"/>
          <w:sz w:val="21"/>
          <w:szCs w:val="21"/>
        </w:rPr>
        <w:t xml:space="preserve"> spécifiques de l’allergène qui apparaissent au cours d’une immunothérapie spécifique ont déjà été impliquées dans certaines hypothèses, comme marqueur et aussi dans l’efficacité de cette thérapeutique.</w:t>
      </w:r>
    </w:p>
    <w:p w:rsidR="009E6651" w:rsidRDefault="009E6651" w:rsidP="009E6651">
      <w:pPr>
        <w:pStyle w:val="NormalWeb"/>
        <w:spacing w:before="0" w:beforeAutospacing="0" w:after="150" w:afterAutospacing="0"/>
        <w:rPr>
          <w:rFonts w:ascii="Arial" w:hAnsi="Arial" w:cs="Arial"/>
          <w:color w:val="6B6E80"/>
          <w:sz w:val="21"/>
          <w:szCs w:val="21"/>
        </w:rPr>
      </w:pPr>
      <w:r>
        <w:rPr>
          <w:rFonts w:ascii="Arial" w:hAnsi="Arial" w:cs="Arial"/>
          <w:color w:val="6B6E80"/>
          <w:sz w:val="21"/>
          <w:szCs w:val="21"/>
        </w:rPr>
        <w:t>On parlait alors d’anticorps bloquants qui seraient allé saturer les sites antigéniques empêchant la réactivité spécifique avec l’IgE.</w:t>
      </w:r>
    </w:p>
    <w:p w:rsidR="009E6651" w:rsidRDefault="009E6651" w:rsidP="004F67EB">
      <w:pPr>
        <w:rPr>
          <w:rFonts w:ascii="Arial" w:hAnsi="Arial" w:cs="Arial"/>
          <w:color w:val="6B6E8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6E80"/>
          <w:sz w:val="21"/>
          <w:szCs w:val="21"/>
          <w:shd w:val="clear" w:color="auto" w:fill="FFFFFF"/>
        </w:rPr>
        <w:t xml:space="preserve">Nous concluons que les </w:t>
      </w:r>
      <w:proofErr w:type="spellStart"/>
      <w:r>
        <w:rPr>
          <w:rFonts w:ascii="Arial" w:hAnsi="Arial" w:cs="Arial"/>
          <w:color w:val="6B6E80"/>
          <w:sz w:val="21"/>
          <w:szCs w:val="21"/>
          <w:shd w:val="clear" w:color="auto" w:fill="FFFFFF"/>
        </w:rPr>
        <w:t>IgG</w:t>
      </w:r>
      <w:proofErr w:type="spellEnd"/>
      <w:r>
        <w:rPr>
          <w:rFonts w:ascii="Arial" w:hAnsi="Arial" w:cs="Arial"/>
          <w:color w:val="6B6E80"/>
          <w:sz w:val="21"/>
          <w:szCs w:val="21"/>
          <w:shd w:val="clear" w:color="auto" w:fill="FFFFFF"/>
        </w:rPr>
        <w:t xml:space="preserve"> spécifiques de l’allergène </w:t>
      </w:r>
      <w:proofErr w:type="gramStart"/>
      <w:r>
        <w:rPr>
          <w:rFonts w:ascii="Arial" w:hAnsi="Arial" w:cs="Arial"/>
          <w:color w:val="6B6E80"/>
          <w:sz w:val="21"/>
          <w:szCs w:val="21"/>
          <w:shd w:val="clear" w:color="auto" w:fill="FFFFFF"/>
        </w:rPr>
        <w:t>induites</w:t>
      </w:r>
      <w:proofErr w:type="gramEnd"/>
      <w:r>
        <w:rPr>
          <w:rFonts w:ascii="Arial" w:hAnsi="Arial" w:cs="Arial"/>
          <w:color w:val="6B6E80"/>
          <w:sz w:val="21"/>
          <w:szCs w:val="21"/>
          <w:shd w:val="clear" w:color="auto" w:fill="FFFFFF"/>
        </w:rPr>
        <w:t xml:space="preserve"> par immunothérapie spécifique peuvent rompre la formation des complexes allergène-IgE qui se lient aux cellules présentatrices de l’antigène et facilitent la présentation de l’allergène.</w:t>
      </w:r>
    </w:p>
    <w:p w:rsidR="00E63878" w:rsidRDefault="00E63878" w:rsidP="004F67EB">
      <w:pPr>
        <w:rPr>
          <w:rFonts w:ascii="Arial" w:hAnsi="Arial" w:cs="Arial"/>
          <w:color w:val="6B6E80"/>
          <w:sz w:val="21"/>
          <w:szCs w:val="21"/>
          <w:shd w:val="clear" w:color="auto" w:fill="FFFFFF"/>
        </w:rPr>
      </w:pPr>
    </w:p>
    <w:p w:rsidR="00E63878" w:rsidRDefault="00E63878" w:rsidP="004F67EB">
      <w:pPr>
        <w:rPr>
          <w:rFonts w:ascii="Arial" w:hAnsi="Arial" w:cs="Arial"/>
          <w:color w:val="6B6E80"/>
          <w:sz w:val="21"/>
          <w:szCs w:val="21"/>
          <w:shd w:val="clear" w:color="auto" w:fill="FFFFFF"/>
        </w:rPr>
      </w:pPr>
    </w:p>
    <w:p w:rsidR="00E63878" w:rsidRDefault="00E63878" w:rsidP="004F67EB">
      <w:pPr>
        <w:rPr>
          <w:rFonts w:ascii="Arial" w:hAnsi="Arial" w:cs="Arial"/>
          <w:color w:val="6B6E80"/>
          <w:sz w:val="21"/>
          <w:szCs w:val="2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4572000" cy="3429000"/>
            <wp:effectExtent l="0" t="0" r="0" b="0"/>
            <wp:docPr id="1" name="Image 1" descr="https://i.ytimg.com/vi/B23as3n0BJ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B23as3n0BJo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78" w:rsidRDefault="00E63878" w:rsidP="004F67EB">
      <w:pPr>
        <w:rPr>
          <w:rFonts w:ascii="Arial" w:hAnsi="Arial" w:cs="Arial"/>
          <w:color w:val="6B6E80"/>
          <w:sz w:val="21"/>
          <w:szCs w:val="21"/>
          <w:shd w:val="clear" w:color="auto" w:fill="FFFFFF"/>
        </w:rPr>
      </w:pPr>
      <w:hyperlink r:id="rId10" w:history="1">
        <w:r w:rsidRPr="00E63878">
          <w:rPr>
            <w:rStyle w:val="Lienhypertexte"/>
          </w:rPr>
          <w:t>https://i.ytimg.com/vi/B23as3n0BJo/hqdefault.jpg</w:t>
        </w:r>
      </w:hyperlink>
    </w:p>
    <w:p w:rsidR="00E63878" w:rsidRDefault="00E63878" w:rsidP="004F67EB">
      <w:pPr>
        <w:rPr>
          <w:rFonts w:ascii="Arial" w:hAnsi="Arial" w:cs="Arial"/>
          <w:color w:val="6B6E80"/>
          <w:sz w:val="21"/>
          <w:szCs w:val="21"/>
          <w:shd w:val="clear" w:color="auto" w:fill="FFFFFF"/>
        </w:rPr>
      </w:pPr>
    </w:p>
    <w:p w:rsidR="00E63878" w:rsidRDefault="00E63878" w:rsidP="004F67EB">
      <w:pPr>
        <w:rPr>
          <w:rFonts w:ascii="Arial" w:hAnsi="Arial" w:cs="Arial"/>
          <w:color w:val="6B6E80"/>
          <w:sz w:val="21"/>
          <w:szCs w:val="21"/>
          <w:shd w:val="clear" w:color="auto" w:fill="FFFFFF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333625" cy="1905000"/>
            <wp:effectExtent l="0" t="0" r="9525" b="0"/>
            <wp:docPr id="2" name="Image 2" descr="Immunothera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munotherap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3878" w:rsidRDefault="00E63878" w:rsidP="004F67EB">
      <w:hyperlink r:id="rId12" w:history="1">
        <w:r w:rsidRPr="00E63878">
          <w:rPr>
            <w:rStyle w:val="Lienhypertexte"/>
          </w:rPr>
          <w:t>https://www.monpediatre.net/wp-content/uploads/2017/10/Immunotherapie.png</w:t>
        </w:r>
      </w:hyperlink>
    </w:p>
    <w:sectPr w:rsidR="00E63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EB"/>
    <w:rsid w:val="00016C9C"/>
    <w:rsid w:val="004F67EB"/>
    <w:rsid w:val="008171F1"/>
    <w:rsid w:val="009E6651"/>
    <w:rsid w:val="00D24B8D"/>
    <w:rsid w:val="00E6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6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F6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F67E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F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F67E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F6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fo">
    <w:name w:val="info"/>
    <w:basedOn w:val="Policepardfaut"/>
    <w:rsid w:val="00016C9C"/>
  </w:style>
  <w:style w:type="character" w:styleId="lev">
    <w:name w:val="Strong"/>
    <w:basedOn w:val="Policepardfaut"/>
    <w:uiPriority w:val="22"/>
    <w:qFormat/>
    <w:rsid w:val="009E6651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9E6651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6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F6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F67E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F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F67EB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F6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fo">
    <w:name w:val="info"/>
    <w:basedOn w:val="Policepardfaut"/>
    <w:rsid w:val="00016C9C"/>
  </w:style>
  <w:style w:type="character" w:styleId="lev">
    <w:name w:val="Strong"/>
    <w:basedOn w:val="Policepardfaut"/>
    <w:uiPriority w:val="22"/>
    <w:qFormat/>
    <w:rsid w:val="009E6651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9E6651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us.elsevierhealth.com/scripts/om.dll/serve?action=searchDB&amp;searchDBfor=art&amp;artType=abs&amp;id=as0091674903020220&amp;nav=ab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u-rouen.fr/page/desensibilisation-immunologique" TargetMode="External"/><Relationship Id="rId12" Type="http://schemas.openxmlformats.org/officeDocument/2006/relationships/hyperlink" Target="https://www.monpediatre.net/wp-content/uploads/2017/10/Immunotherapie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le.com/fr/revues/ers/e-docs/synergie_entre_pollens_et_polluants_chimiques_de_l_air_les_risques_croises_130005/article.phtml?tab=imag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le.com/fr/revues/ers/sommaire.phtml?cle_parution=157" TargetMode="External"/><Relationship Id="rId10" Type="http://schemas.openxmlformats.org/officeDocument/2006/relationships/hyperlink" Target="https://i.ytimg.com/vi/B23as3n0BJo/hqdefaul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2018-12-13T21:47:00Z</cp:lastPrinted>
  <dcterms:created xsi:type="dcterms:W3CDTF">2018-12-13T21:24:00Z</dcterms:created>
  <dcterms:modified xsi:type="dcterms:W3CDTF">2018-12-13T22:05:00Z</dcterms:modified>
</cp:coreProperties>
</file>