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C5B6" w14:textId="77777777" w:rsidR="007416D4" w:rsidRDefault="006A000B" w:rsidP="004E1403">
      <w:pPr>
        <w:ind w:firstLine="708"/>
      </w:pPr>
      <w:r>
        <w:t xml:space="preserve">Le titre de l’article est évocateur, en effet </w:t>
      </w:r>
      <w:r w:rsidR="006E6882">
        <w:t>L’article étudié concerne non seulement Apollinaire mais aussi les peintres qui lui sont associés par l’adjectif possessif « ces » renvoyant aux liens privilégiés qu’Apollinaire entretient avec les peintres de son temps. Tout d’abord, la vie du poète se confond avec la modernité.</w:t>
      </w:r>
      <w:r w:rsidR="00682C2D">
        <w:t xml:space="preserve"> Ensuite, Les </w:t>
      </w:r>
      <w:r w:rsidR="007416D4">
        <w:t>beaux-arts</w:t>
      </w:r>
      <w:r w:rsidR="00682C2D">
        <w:t xml:space="preserve"> sont </w:t>
      </w:r>
      <w:r w:rsidR="007416D4">
        <w:t>morts</w:t>
      </w:r>
      <w:r w:rsidR="00682C2D">
        <w:t>, vive</w:t>
      </w:r>
      <w:r w:rsidR="007416D4">
        <w:t>n</w:t>
      </w:r>
      <w:r w:rsidR="00682C2D">
        <w:t>t les arts plastiques</w:t>
      </w:r>
      <w:r w:rsidR="007416D4">
        <w:t>. Enfin, « La vieillesse et la vieillerie sont aussi des armées ennemies ».</w:t>
      </w:r>
    </w:p>
    <w:p w14:paraId="0F904970" w14:textId="77777777" w:rsidR="007416D4" w:rsidRDefault="007416D4" w:rsidP="003971C1"/>
    <w:p w14:paraId="4A9D1022" w14:textId="78C04020" w:rsidR="0070443F" w:rsidRDefault="007416D4" w:rsidP="004E1403">
      <w:pPr>
        <w:ind w:firstLine="708"/>
      </w:pPr>
      <w:r>
        <w:t>L</w:t>
      </w:r>
      <w:r>
        <w:t>a vie du poète se confond avec la modernité</w:t>
      </w:r>
      <w:r>
        <w:t xml:space="preserve">. </w:t>
      </w:r>
      <w:r w:rsidR="006E6882">
        <w:t>Pour ce faire, Apollinaire va commencer par fréquenter les ateliers et les galeries</w:t>
      </w:r>
      <w:r w:rsidR="00C214AF">
        <w:t xml:space="preserve">, celles-ci lui permettront de trouver une inspiration qui se délient des habitudes. Ces fréquentations lui permettront de faire la connaissance de deux amis peintres, André Derain et Maurice Vlaminck. Entre les « linges intenses et les couleurs jamais vues » des œuvres de ces peintres baptisées « fauves », Apollinaire puisera son style, tournant le dos aux styles habituels de la littérature. L’année 1905 sera aussi l’année de la rencontre </w:t>
      </w:r>
      <w:r w:rsidR="003971C1">
        <w:t xml:space="preserve">capitale d’Apollinaire et de Pablo Picasso. Les peintures de cet artiste émerveilleront Apollinaire à tel point qu’il publiera un article lyrique dans la revue </w:t>
      </w:r>
      <w:r w:rsidR="003971C1">
        <w:rPr>
          <w:i/>
          <w:iCs/>
        </w:rPr>
        <w:t>La Plume</w:t>
      </w:r>
      <w:r w:rsidR="003971C1">
        <w:t xml:space="preserve"> pour en célébrer l’</w:t>
      </w:r>
      <w:r w:rsidR="003971C1">
        <w:rPr>
          <w:i/>
          <w:iCs/>
        </w:rPr>
        <w:t>« énorme flamme »</w:t>
      </w:r>
      <w:r w:rsidR="003971C1">
        <w:t xml:space="preserve">. Dès lors, la vie du poète se confondra avec le devenir de l’art moderne. Apollinaire alliera </w:t>
      </w:r>
      <w:r w:rsidR="0012015A">
        <w:t xml:space="preserve">dans le même élan créateur </w:t>
      </w:r>
      <w:r w:rsidR="003971C1">
        <w:t xml:space="preserve">le </w:t>
      </w:r>
      <w:r w:rsidR="0012015A">
        <w:t>travail</w:t>
      </w:r>
      <w:r w:rsidR="003971C1">
        <w:t xml:space="preserve"> et l’amitié</w:t>
      </w:r>
      <w:r w:rsidR="0012015A">
        <w:t xml:space="preserve">. Ce qui présidera l’union de la peinture et de la poésie sera, l’amour, la passion fertile et jalouse pour Marie Laurencin. « Ils reconnaissent en lui, le Douanier Rousseau, un vrai peintre, au sens plein du mot , dont la manière très singulière les aide à se défaire des règles, des réflexes et des habitudes qui entravent le geste et le regard depuis des siècles. » Les arts africains comme océaniens </w:t>
      </w:r>
      <w:r w:rsidR="00682C2D">
        <w:t>auront les même vertus libératrices que les peintres de son temps. Les arts africains initient au pouvoir de la déformation, spatiale, temporelle, … « La splendeur jaillit de l’ombre même ». Le recueil d’Apollinaire est aussi un art poétique où Orphée est le prince des poètes.</w:t>
      </w:r>
    </w:p>
    <w:p w14:paraId="02691160" w14:textId="13CC4C32" w:rsidR="004E1403" w:rsidRDefault="004E1403" w:rsidP="003971C1"/>
    <w:p w14:paraId="1F93D61D" w14:textId="252D0096" w:rsidR="004E1403" w:rsidRDefault="004E1403" w:rsidP="004E1403">
      <w:pPr>
        <w:ind w:firstLine="708"/>
      </w:pPr>
      <w:r>
        <w:t>Les beaux-arts sont morts, vivent les arts plastiques. Ce titre peut s’expliquer par la compréhension de l’artiste. Les artistes sont des analogues à la divinité. Ces derniers vont se livrer à des expériences qui vont bouleverser les rapports de l’art à la réalité mais qui vont aussi changer le</w:t>
      </w:r>
      <w:r w:rsidR="00766CFC">
        <w:t>s</w:t>
      </w:r>
      <w:r>
        <w:t xml:space="preserve"> regard. </w:t>
      </w:r>
      <w:r w:rsidR="00766CFC">
        <w:t xml:space="preserve">En s’affranchissant de la perspective linéaire inventé à l’aire du Quattrocento, les artiste seront à l’aube d’une véritable renaissance. L’œuvre est désormais un univers avec ses lois propres. En 1913, soit un an avant la première guerre mondiale, Apollinaire publiera </w:t>
      </w:r>
      <w:r w:rsidR="00766CFC">
        <w:rPr>
          <w:i/>
          <w:iCs/>
        </w:rPr>
        <w:t>méditations esthétiques</w:t>
      </w:r>
      <w:r w:rsidR="00CA46CD">
        <w:t xml:space="preserve">, cet ouvrage se présente comme une défense et une illustration de la peinture nouvelle dans ce qu’elle a de vital et de prométhéen : </w:t>
      </w:r>
      <w:bookmarkStart w:id="0" w:name="_Hlk31663257"/>
      <w:r w:rsidR="00CA46CD">
        <w:rPr>
          <w:i/>
          <w:iCs/>
        </w:rPr>
        <w:t>« j’aime l’art d’aujourd’hui parce que j’aime avant tout la lumière, et tous les hommes aiment avant tout la lumière, ils on inventé le feu</w:t>
      </w:r>
      <w:r w:rsidR="00CA46CD">
        <w:t> »</w:t>
      </w:r>
      <w:bookmarkEnd w:id="0"/>
      <w:r w:rsidR="00CA46CD">
        <w:rPr>
          <w:rStyle w:val="Appelnotedebasdep"/>
        </w:rPr>
        <w:footnoteReference w:id="1"/>
      </w:r>
      <w:r w:rsidR="003317B8">
        <w:t>. Pour défendre ses convictions Apollinaire usera de son influence. La presse écrite étant très puissante à cette époque suivra de près l’actualité artistique et offrira une large audience aux critiques d’art. Apollinaire, curieux, diligent et sagace</w:t>
      </w:r>
      <w:r w:rsidR="003317B8">
        <w:rPr>
          <w:rStyle w:val="Appelnotedebasdep"/>
        </w:rPr>
        <w:footnoteReference w:id="2"/>
      </w:r>
      <w:r w:rsidR="003317B8">
        <w:t xml:space="preserve"> </w:t>
      </w:r>
      <w:r w:rsidR="001F046A">
        <w:t>sera partout Tel un hermès, dieu des bornes et des carrefour</w:t>
      </w:r>
      <w:r w:rsidR="001F046A">
        <w:rPr>
          <w:rStyle w:val="Appelnotedebasdep"/>
        </w:rPr>
        <w:footnoteReference w:id="3"/>
      </w:r>
      <w:r w:rsidR="00D00588">
        <w:t xml:space="preserve">. Ce dernier indique les directions artistiques avec l’énergie d’un organe vital et de l’efficacité. Le regard d’Apollinaire va s’aiguiser, il devient de plus en plus aigu, le poète </w:t>
      </w:r>
      <w:r w:rsidR="00E2354E">
        <w:t>se fait voyant « Je est un autre »</w:t>
      </w:r>
      <w:r w:rsidR="00E2354E">
        <w:rPr>
          <w:rStyle w:val="Appelnotedebasdep"/>
        </w:rPr>
        <w:footnoteReference w:id="4"/>
      </w:r>
      <w:r w:rsidR="00224C3C">
        <w:t>. Apollinaire va aussi inventer les premiers calligrammes, sa nouvelle forme poétique fonctionnera comme un signe complet, visuel et auditif.</w:t>
      </w:r>
    </w:p>
    <w:p w14:paraId="4A7C4DBD" w14:textId="6676594A" w:rsidR="00224C3C" w:rsidRDefault="00E767A2" w:rsidP="004E1403">
      <w:pPr>
        <w:ind w:firstLine="708"/>
      </w:pPr>
      <w:r>
        <w:t xml:space="preserve">« La vieillesse et la vieillerie sont aussi des armées ennemies ». Cette citation est issue </w:t>
      </w:r>
      <w:r w:rsidR="00474600">
        <w:t xml:space="preserve">du recueille </w:t>
      </w:r>
      <w:r w:rsidRPr="00E767A2">
        <w:t>« La guerre et nous autres », Nord-Sud, Paris, octobre 1917</w:t>
      </w:r>
      <w:r w:rsidR="00474600">
        <w:t xml:space="preserve"> écrit par Apollinaire. Dans une </w:t>
      </w:r>
      <w:r w:rsidR="0008528D">
        <w:t>mêlée</w:t>
      </w:r>
      <w:r w:rsidR="00474600">
        <w:t xml:space="preserve"> où Apollinaire s’exposera à prendre des risques en ignorant les protestation des lecteurs dans </w:t>
      </w:r>
      <w:r w:rsidR="00474600">
        <w:rPr>
          <w:i/>
          <w:iCs/>
        </w:rPr>
        <w:t>L’intransigeant</w:t>
      </w:r>
      <w:r w:rsidR="00474600">
        <w:t xml:space="preserve">. Il est accusé de partialité. Apollinaire n’est pas un militant de </w:t>
      </w:r>
      <w:r w:rsidR="00474600">
        <w:lastRenderedPageBreak/>
        <w:t>l’avant-garde de la table rase, il est en quête de régénération perpétuelle. Apollinaire s’</w:t>
      </w:r>
      <w:r w:rsidR="00C37866">
        <w:t>efforce</w:t>
      </w:r>
      <w:r w:rsidR="00474600">
        <w:t xml:space="preserve"> toujours de trouver le mot juste et fédérateur : orphisme, surnaturalisme</w:t>
      </w:r>
      <w:r w:rsidR="00C37866">
        <w:t>, surréalisme.</w:t>
      </w:r>
    </w:p>
    <w:p w14:paraId="654C69AF" w14:textId="3F7F5DCE" w:rsidR="00542C9E" w:rsidRDefault="00542C9E" w:rsidP="004E1403">
      <w:pPr>
        <w:ind w:firstLine="708"/>
      </w:pPr>
    </w:p>
    <w:p w14:paraId="143E6BA6" w14:textId="3B667BC5" w:rsidR="00542C9E" w:rsidRPr="00DB7299" w:rsidRDefault="00542C9E" w:rsidP="004E1403">
      <w:pPr>
        <w:ind w:firstLine="708"/>
      </w:pPr>
      <w:r>
        <w:t>Cent ans après Apollinaire et la genèse de l’art moderne continueront de nous tenir captifs. D’abord, parce que cet âge d’or nous raconte nos origines. Puis, cela donne du sens à notre propre temps. Enfin, il y a une rupture, un mouvement, une liberté. En d’autres mots, « Regarder le monde avec les yeu</w:t>
      </w:r>
      <w:r w:rsidR="00DB7299">
        <w:t>x</w:t>
      </w:r>
      <w:r>
        <w:t xml:space="preserve"> d’Apollinaire, c’est guetter </w:t>
      </w:r>
      <w:r w:rsidR="00DB7299">
        <w:rPr>
          <w:i/>
          <w:iCs/>
        </w:rPr>
        <w:t>« les belles choses neuves »</w:t>
      </w:r>
      <w:r w:rsidR="00DB7299">
        <w:t xml:space="preserve"> et accueillie leurs épiphanies ». C’est l’héritage que nous a laissé apollinaire.</w:t>
      </w:r>
      <w:bookmarkStart w:id="1" w:name="_GoBack"/>
      <w:bookmarkEnd w:id="1"/>
    </w:p>
    <w:sectPr w:rsidR="00542C9E" w:rsidRPr="00DB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46F02" w14:textId="77777777" w:rsidR="002D0AC2" w:rsidRDefault="002D0AC2" w:rsidP="00CA46CD">
      <w:r>
        <w:separator/>
      </w:r>
    </w:p>
  </w:endnote>
  <w:endnote w:type="continuationSeparator" w:id="0">
    <w:p w14:paraId="30301CD3" w14:textId="77777777" w:rsidR="002D0AC2" w:rsidRDefault="002D0AC2" w:rsidP="00CA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B9B01" w14:textId="77777777" w:rsidR="002D0AC2" w:rsidRDefault="002D0AC2" w:rsidP="00CA46CD">
      <w:r>
        <w:separator/>
      </w:r>
    </w:p>
  </w:footnote>
  <w:footnote w:type="continuationSeparator" w:id="0">
    <w:p w14:paraId="1E4037D3" w14:textId="77777777" w:rsidR="002D0AC2" w:rsidRDefault="002D0AC2" w:rsidP="00CA46CD">
      <w:r>
        <w:continuationSeparator/>
      </w:r>
    </w:p>
  </w:footnote>
  <w:footnote w:id="1">
    <w:p w14:paraId="3DC428D5" w14:textId="72607EFB" w:rsidR="00CA46CD" w:rsidRPr="00D00588" w:rsidRDefault="00CA46CD" w:rsidP="003317B8">
      <w:pPr>
        <w:rPr>
          <w:sz w:val="19"/>
          <w:szCs w:val="19"/>
        </w:rPr>
      </w:pPr>
      <w:r w:rsidRPr="00D00588">
        <w:rPr>
          <w:rStyle w:val="Appelnotedebasdep"/>
          <w:sz w:val="20"/>
        </w:rPr>
        <w:footnoteRef/>
      </w:r>
      <w:r w:rsidRPr="00D00588">
        <w:rPr>
          <w:sz w:val="20"/>
        </w:rPr>
        <w:t xml:space="preserve"> </w:t>
      </w:r>
      <w:r w:rsidR="005B6C9C" w:rsidRPr="00D00588">
        <w:rPr>
          <w:i/>
          <w:iCs/>
          <w:sz w:val="20"/>
        </w:rPr>
        <w:t>« j’aime</w:t>
      </w:r>
      <w:r w:rsidR="005B6C9C" w:rsidRPr="00D00588">
        <w:rPr>
          <w:i/>
          <w:iCs/>
          <w:sz w:val="20"/>
        </w:rPr>
        <w:t xml:space="preserve"> […]</w:t>
      </w:r>
      <w:r w:rsidR="005B6C9C" w:rsidRPr="00D00588">
        <w:rPr>
          <w:i/>
          <w:iCs/>
          <w:sz w:val="20"/>
        </w:rPr>
        <w:t xml:space="preserve"> feu »</w:t>
      </w:r>
      <w:r w:rsidR="005B6C9C" w:rsidRPr="00D00588">
        <w:rPr>
          <w:sz w:val="20"/>
        </w:rPr>
        <w:t> :</w:t>
      </w:r>
      <w:r w:rsidRPr="00D00588">
        <w:rPr>
          <w:sz w:val="19"/>
          <w:szCs w:val="19"/>
        </w:rPr>
        <w:t>Conclusion du chapitre « Sur la peinture » de Méditations esthétiques, Figuière &amp; Cie, Paris, 1913.</w:t>
      </w:r>
    </w:p>
  </w:footnote>
  <w:footnote w:id="2">
    <w:p w14:paraId="1F38636D" w14:textId="3DFE4E6C" w:rsidR="003317B8" w:rsidRDefault="003317B8" w:rsidP="003317B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5B6C9C" w:rsidRPr="005B6C9C">
        <w:rPr>
          <w:i/>
          <w:iCs/>
        </w:rPr>
        <w:t>sagace</w:t>
      </w:r>
      <w:r w:rsidR="005B6C9C">
        <w:t> :</w:t>
      </w:r>
      <w:r w:rsidRPr="003317B8">
        <w:t>Qui a de la pénétration d'esprit, fait preuve d'un sens aigu de l'observation.</w:t>
      </w:r>
    </w:p>
  </w:footnote>
  <w:footnote w:id="3">
    <w:p w14:paraId="5F17F839" w14:textId="7B821AE2" w:rsidR="001F046A" w:rsidRDefault="001F046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5B6C9C" w:rsidRPr="005B6C9C">
        <w:rPr>
          <w:i/>
          <w:iCs/>
        </w:rPr>
        <w:t>Tel un hermès, dieu des bornes et des carrefour</w:t>
      </w:r>
      <w:r w:rsidR="005B6C9C">
        <w:t xml:space="preserve"> : </w:t>
      </w:r>
      <w:r>
        <w:t>Comparaison existentielle entre Apollinaire et hermès</w:t>
      </w:r>
    </w:p>
  </w:footnote>
  <w:footnote w:id="4">
    <w:p w14:paraId="334749B2" w14:textId="7E2C6B45" w:rsidR="00E2354E" w:rsidRDefault="00E2354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E2354E">
        <w:t xml:space="preserve"> « Je </w:t>
      </w:r>
      <w:r>
        <w:t>e</w:t>
      </w:r>
      <w:r w:rsidRPr="00E2354E">
        <w:t>st</w:t>
      </w:r>
      <w:r>
        <w:t xml:space="preserve"> </w:t>
      </w:r>
      <w:r w:rsidRPr="00E2354E">
        <w:t>u</w:t>
      </w:r>
      <w:r>
        <w:t xml:space="preserve">n </w:t>
      </w:r>
      <w:r w:rsidRPr="00E2354E">
        <w:t>autre »</w:t>
      </w:r>
      <w:r>
        <w:t> : Rimbaud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NjcxMrYwMjI2sTRQ0lEKTi0uzszPAykwrAUAqL5omywAAAA="/>
  </w:docVars>
  <w:rsids>
    <w:rsidRoot w:val="0080128C"/>
    <w:rsid w:val="0008528D"/>
    <w:rsid w:val="00115C1F"/>
    <w:rsid w:val="0012015A"/>
    <w:rsid w:val="001F046A"/>
    <w:rsid w:val="00224C3C"/>
    <w:rsid w:val="002D0AC2"/>
    <w:rsid w:val="003317B8"/>
    <w:rsid w:val="003971C1"/>
    <w:rsid w:val="00474600"/>
    <w:rsid w:val="004E1403"/>
    <w:rsid w:val="00542C9E"/>
    <w:rsid w:val="005B6C9C"/>
    <w:rsid w:val="00682C2D"/>
    <w:rsid w:val="006A000B"/>
    <w:rsid w:val="006E6882"/>
    <w:rsid w:val="0070443F"/>
    <w:rsid w:val="007416D4"/>
    <w:rsid w:val="00766CFC"/>
    <w:rsid w:val="0080128C"/>
    <w:rsid w:val="00A73A62"/>
    <w:rsid w:val="00BD2746"/>
    <w:rsid w:val="00C214AF"/>
    <w:rsid w:val="00C37866"/>
    <w:rsid w:val="00CA46CD"/>
    <w:rsid w:val="00D00588"/>
    <w:rsid w:val="00DB7299"/>
    <w:rsid w:val="00E2354E"/>
    <w:rsid w:val="00E767A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7FC8"/>
  <w15:chartTrackingRefBased/>
  <w15:docId w15:val="{D0B40273-B50D-4DE8-85DA-8DD1D1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C1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46CD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46CD"/>
    <w:rPr>
      <w:rFonts w:ascii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character" w:styleId="Appelnotedebasdep">
    <w:name w:val="footnote reference"/>
    <w:basedOn w:val="Policepardfaut"/>
    <w:uiPriority w:val="99"/>
    <w:semiHidden/>
    <w:unhideWhenUsed/>
    <w:rsid w:val="00CA46CD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729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7299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E7C10-0E08-4340-B181-4DFCA00C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cp:lastPrinted>2020-02-03T22:57:00Z</cp:lastPrinted>
  <dcterms:created xsi:type="dcterms:W3CDTF">2020-02-03T21:03:00Z</dcterms:created>
  <dcterms:modified xsi:type="dcterms:W3CDTF">2020-02-03T22:59:00Z</dcterms:modified>
</cp:coreProperties>
</file>