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375B" w:rsidRDefault="00EB31ED">
      <w:r>
        <w:t>Physique</w:t>
      </w:r>
    </w:p>
    <w:p w:rsidR="00EB31ED" w:rsidRDefault="00EB31ED">
      <w:r>
        <w:t>Indice de réfraction</w:t>
      </w:r>
      <w:bookmarkStart w:id="0" w:name="_GoBack"/>
      <w:bookmarkEnd w:id="0"/>
      <w:r>
        <w:t xml:space="preserve"> dans l’aire est 1</w:t>
      </w:r>
    </w:p>
    <w:sectPr w:rsidR="00EB31E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3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1ED"/>
    <w:rsid w:val="00060A24"/>
    <w:rsid w:val="005F375B"/>
    <w:rsid w:val="00EB3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4479ED"/>
  <w15:chartTrackingRefBased/>
  <w15:docId w15:val="{F5D20832-AB15-4259-A492-D25DCF7D78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1</cp:revision>
  <dcterms:created xsi:type="dcterms:W3CDTF">2017-10-16T11:32:00Z</dcterms:created>
  <dcterms:modified xsi:type="dcterms:W3CDTF">2017-10-16T11:38:00Z</dcterms:modified>
</cp:coreProperties>
</file>