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25BAD" w14:textId="77777777" w:rsidR="009C00B8" w:rsidRDefault="009C00B8" w:rsidP="009C00B8">
      <w:pPr>
        <w:pStyle w:val="Titre2"/>
        <w:pBdr>
          <w:bottom w:val="single" w:sz="6" w:space="0" w:color="A2A9B1"/>
        </w:pBdr>
        <w:spacing w:before="240" w:beforeAutospacing="0" w:after="60" w:afterAutospacing="0"/>
        <w:rPr>
          <w:rFonts w:ascii="Georgia" w:hAnsi="Georgia"/>
          <w:b w:val="0"/>
          <w:bCs w:val="0"/>
        </w:rPr>
      </w:pPr>
      <w:r>
        <w:rPr>
          <w:rStyle w:val="mw-headline"/>
          <w:rFonts w:ascii="Georgia" w:hAnsi="Georgia"/>
          <w:b w:val="0"/>
          <w:bCs w:val="0"/>
        </w:rPr>
        <w:t>Les difficultés du monde paysan de 1870 à la veille de la Première Guerre mondiale</w:t>
      </w:r>
      <w:r>
        <w:rPr>
          <w:rStyle w:val="mw-editsection-bracket"/>
          <w:rFonts w:ascii="Arial" w:hAnsi="Arial" w:cs="Arial"/>
          <w:b w:val="0"/>
          <w:bCs w:val="0"/>
          <w:color w:val="54595D"/>
          <w:sz w:val="24"/>
          <w:szCs w:val="24"/>
        </w:rPr>
        <w:t>[</w:t>
      </w:r>
      <w:hyperlink r:id="rId4" w:tooltip="Modifier la section : Les difficultés du monde paysan de 1870 à la veille de la Première Guerre mondiale" w:history="1">
        <w:r>
          <w:rPr>
            <w:rStyle w:val="Lienhypertexte"/>
            <w:rFonts w:ascii="Arial" w:hAnsi="Arial" w:cs="Arial"/>
            <w:b w:val="0"/>
            <w:bCs w:val="0"/>
            <w:color w:val="0B0080"/>
            <w:sz w:val="24"/>
            <w:szCs w:val="24"/>
          </w:rPr>
          <w:t>modifier</w:t>
        </w:r>
      </w:hyperlink>
      <w:r>
        <w:rPr>
          <w:rStyle w:val="mw-editsection-divider"/>
          <w:rFonts w:ascii="Arial" w:hAnsi="Arial" w:cs="Arial"/>
          <w:b w:val="0"/>
          <w:bCs w:val="0"/>
          <w:color w:val="54595D"/>
          <w:sz w:val="24"/>
          <w:szCs w:val="24"/>
        </w:rPr>
        <w:t> | </w:t>
      </w:r>
      <w:hyperlink r:id="rId5" w:tooltip="Modifier la section : Les difficultés du monde paysan de 1870 à la veille de la Première Guerre mondiale" w:history="1">
        <w:r>
          <w:rPr>
            <w:rStyle w:val="Lienhypertexte"/>
            <w:rFonts w:ascii="Arial" w:hAnsi="Arial" w:cs="Arial"/>
            <w:b w:val="0"/>
            <w:bCs w:val="0"/>
            <w:color w:val="0B0080"/>
            <w:sz w:val="24"/>
            <w:szCs w:val="24"/>
          </w:rPr>
          <w:t>modifier le code</w:t>
        </w:r>
      </w:hyperlink>
      <w:r>
        <w:rPr>
          <w:rStyle w:val="mw-editsection-bracket"/>
          <w:rFonts w:ascii="Arial" w:hAnsi="Arial" w:cs="Arial"/>
          <w:b w:val="0"/>
          <w:bCs w:val="0"/>
          <w:color w:val="54595D"/>
          <w:sz w:val="24"/>
          <w:szCs w:val="24"/>
        </w:rPr>
        <w:t>]</w:t>
      </w:r>
    </w:p>
    <w:p w14:paraId="66E3D563" w14:textId="77777777" w:rsidR="009C00B8" w:rsidRDefault="009C00B8" w:rsidP="009C00B8">
      <w:pPr>
        <w:shd w:val="clear" w:color="auto" w:fill="FDFDFD"/>
        <w:spacing w:line="360" w:lineRule="atLeast"/>
        <w:ind w:firstLine="345"/>
        <w:textAlignment w:val="center"/>
        <w:rPr>
          <w:rFonts w:ascii="Calibri" w:eastAsia="Times New Roman" w:hAnsi="Calibri"/>
          <w:sz w:val="21"/>
          <w:szCs w:val="21"/>
        </w:rPr>
      </w:pPr>
      <w:r>
        <w:rPr>
          <w:rFonts w:eastAsia="Times New Roman"/>
          <w:sz w:val="21"/>
          <w:szCs w:val="21"/>
        </w:rPr>
        <w:t>Article connexe : </w:t>
      </w:r>
      <w:hyperlink r:id="rId6" w:tooltip="Chronologie de la France rurale (1848-1945)" w:history="1">
        <w:r>
          <w:rPr>
            <w:rStyle w:val="Lienhypertexte"/>
            <w:rFonts w:eastAsia="Times New Roman"/>
            <w:color w:val="0B0080"/>
            <w:sz w:val="21"/>
            <w:szCs w:val="21"/>
          </w:rPr>
          <w:t>Chronologie de la France rurale (1848-1945)</w:t>
        </w:r>
      </w:hyperlink>
      <w:r>
        <w:rPr>
          <w:rFonts w:eastAsia="Times New Roman"/>
          <w:sz w:val="21"/>
          <w:szCs w:val="21"/>
        </w:rPr>
        <w:t>.</w:t>
      </w:r>
    </w:p>
    <w:p w14:paraId="4D7E1320" w14:textId="77777777" w:rsidR="009C00B8" w:rsidRDefault="009C00B8" w:rsidP="009C00B8">
      <w:pPr>
        <w:rPr>
          <w:rFonts w:eastAsia="Times New Roman"/>
        </w:rPr>
      </w:pPr>
      <w:r>
        <w:rPr>
          <w:rFonts w:eastAsia="Times New Roman"/>
        </w:rPr>
        <w:t>À partir de </w:t>
      </w:r>
      <w:hyperlink r:id="rId7" w:tooltip="1870" w:history="1">
        <w:r>
          <w:rPr>
            <w:rStyle w:val="Lienhypertexte"/>
            <w:rFonts w:eastAsia="Times New Roman"/>
            <w:color w:val="0B0080"/>
          </w:rPr>
          <w:t>1870</w:t>
        </w:r>
      </w:hyperlink>
      <w:r>
        <w:rPr>
          <w:rFonts w:eastAsia="Times New Roman"/>
        </w:rPr>
        <w:t> s'ouvre une période difficile pour la paysannerie française, surtout au niveau économique. La crise économique qui touche la paysannerie française à partir de 1870 est multiforme.</w:t>
      </w:r>
    </w:p>
    <w:p w14:paraId="78B09C7F" w14:textId="77777777" w:rsidR="009C00B8" w:rsidRDefault="009C00B8" w:rsidP="009C00B8">
      <w:pPr>
        <w:rPr>
          <w:rFonts w:eastAsia="Times New Roman"/>
        </w:rPr>
      </w:pPr>
      <w:r>
        <w:rPr>
          <w:rFonts w:eastAsia="Times New Roman"/>
        </w:rPr>
        <w:t>Trois facteurs vont se conjuguer pour déboucher sur une </w:t>
      </w:r>
      <w:hyperlink r:id="rId8" w:tooltip="Crise économique" w:history="1">
        <w:r>
          <w:rPr>
            <w:rStyle w:val="Lienhypertexte"/>
            <w:rFonts w:eastAsia="Times New Roman"/>
            <w:color w:val="0B0080"/>
          </w:rPr>
          <w:t>crise économique</w:t>
        </w:r>
      </w:hyperlink>
      <w:r>
        <w:rPr>
          <w:rFonts w:eastAsia="Times New Roman"/>
        </w:rPr>
        <w:t> de l'agriculture. La baisse des prix entraîne une baisse des revenus des paysans et une chute des rentes foncières, tandis que dans le même temps la crise économique touche d'autres secteurs, introduisant l'idée de cycles de croissances et de crises. La fin de certaines activités agricoles est due au progrès technique: c'est l'exemple des </w:t>
      </w:r>
      <w:hyperlink r:id="rId9" w:tooltip="Colorant" w:history="1">
        <w:r>
          <w:rPr>
            <w:rStyle w:val="Lienhypertexte"/>
            <w:rFonts w:eastAsia="Times New Roman"/>
            <w:color w:val="0B0080"/>
          </w:rPr>
          <w:t>colorants</w:t>
        </w:r>
      </w:hyperlink>
      <w:r>
        <w:rPr>
          <w:rFonts w:eastAsia="Times New Roman"/>
        </w:rPr>
        <w:t> naturels remplacés par des colorants chimiques, ou de la fin du </w:t>
      </w:r>
      <w:hyperlink r:id="rId10" w:tooltip="Sériciculture" w:history="1">
        <w:r>
          <w:rPr>
            <w:rStyle w:val="Lienhypertexte"/>
            <w:rFonts w:eastAsia="Times New Roman"/>
            <w:color w:val="0B0080"/>
          </w:rPr>
          <w:t>ver à soie</w:t>
        </w:r>
      </w:hyperlink>
      <w:r>
        <w:rPr>
          <w:rFonts w:eastAsia="Times New Roman"/>
        </w:rPr>
        <w:t> dans le </w:t>
      </w:r>
      <w:hyperlink r:id="rId11" w:tooltip="Lyonnais (province)" w:history="1">
        <w:r>
          <w:rPr>
            <w:rStyle w:val="Lienhypertexte"/>
            <w:rFonts w:eastAsia="Times New Roman"/>
            <w:color w:val="0B0080"/>
          </w:rPr>
          <w:t>Lyonnais</w:t>
        </w:r>
      </w:hyperlink>
      <w:r>
        <w:rPr>
          <w:rFonts w:eastAsia="Times New Roman"/>
        </w:rPr>
        <w:t>. Dans les deux cas on peut aussi évoquer l'arrivée de produits agricoles venus de pays « neufs » ou des </w:t>
      </w:r>
      <w:hyperlink r:id="rId12" w:tooltip="Colonie" w:history="1">
        <w:r>
          <w:rPr>
            <w:rStyle w:val="Lienhypertexte"/>
            <w:rFonts w:eastAsia="Times New Roman"/>
            <w:color w:val="0B0080"/>
          </w:rPr>
          <w:t>colonies</w:t>
        </w:r>
      </w:hyperlink>
      <w:r>
        <w:rPr>
          <w:rFonts w:eastAsia="Times New Roman"/>
        </w:rPr>
        <w:t> (huile des colonies, viande d'Argentine…) qui concurrence les produits français et font augmenter l'offre. Le </w:t>
      </w:r>
      <w:hyperlink r:id="rId13" w:tooltip="Phylloxera" w:history="1">
        <w:r>
          <w:rPr>
            <w:rStyle w:val="Lienhypertexte"/>
            <w:rFonts w:eastAsia="Times New Roman"/>
            <w:color w:val="0B0080"/>
          </w:rPr>
          <w:t>phylloxera</w:t>
        </w:r>
      </w:hyperlink>
      <w:r>
        <w:rPr>
          <w:rFonts w:eastAsia="Times New Roman"/>
        </w:rPr>
        <w:t> touche dans la même période l'ensemble des vignobles français, cela est d'autant plus grave que la vigne a un rôle socio-économique majeur et valorise des terres plus pauvres. La production, même après la fin du phylloxera, a du mal à repartir, cela débouchera sur des révoltes importantes dans le </w:t>
      </w:r>
      <w:hyperlink r:id="rId14" w:tooltip="Languedoc" w:history="1">
        <w:r>
          <w:rPr>
            <w:rStyle w:val="Lienhypertexte"/>
            <w:rFonts w:eastAsia="Times New Roman"/>
            <w:color w:val="0B0080"/>
          </w:rPr>
          <w:t>Languedoc</w:t>
        </w:r>
      </w:hyperlink>
      <w:r>
        <w:rPr>
          <w:rFonts w:eastAsia="Times New Roman"/>
        </w:rPr>
        <w:t>.</w:t>
      </w:r>
    </w:p>
    <w:p w14:paraId="2A70A73A" w14:textId="77777777" w:rsidR="009C00B8" w:rsidRDefault="009C00B8" w:rsidP="009C00B8">
      <w:pPr>
        <w:rPr>
          <w:rFonts w:eastAsia="Times New Roman"/>
        </w:rPr>
      </w:pPr>
      <w:r>
        <w:rPr>
          <w:rFonts w:eastAsia="Times New Roman"/>
        </w:rPr>
        <w:t>Cette crise va entraîner une réaction et de profondes modifications du monde paysan. D'abord, la </w:t>
      </w:r>
      <w:hyperlink r:id="rId15" w:tooltip="Polyculture" w:history="1">
        <w:r>
          <w:rPr>
            <w:rStyle w:val="Lienhypertexte"/>
            <w:rFonts w:eastAsia="Times New Roman"/>
            <w:color w:val="0B0080"/>
          </w:rPr>
          <w:t>polyculture</w:t>
        </w:r>
      </w:hyperlink>
      <w:r>
        <w:rPr>
          <w:rFonts w:eastAsia="Times New Roman"/>
        </w:rPr>
        <w:t> est abandonnée, et les différentes régions se spécialisent au niveau agricole, une reconversion est entamée, la vigne est remplacée par des </w:t>
      </w:r>
      <w:hyperlink r:id="rId16" w:tooltip="Arboriculture fruitière" w:history="1">
        <w:r>
          <w:rPr>
            <w:rStyle w:val="Lienhypertexte"/>
            <w:rFonts w:eastAsia="Times New Roman"/>
            <w:color w:val="0B0080"/>
          </w:rPr>
          <w:t>cultures fruitières</w:t>
        </w:r>
      </w:hyperlink>
      <w:r>
        <w:rPr>
          <w:rFonts w:eastAsia="Times New Roman"/>
        </w:rPr>
        <w:t>, l'</w:t>
      </w:r>
      <w:hyperlink r:id="rId17" w:tooltip="Élevage" w:history="1">
        <w:r>
          <w:rPr>
            <w:rStyle w:val="Lienhypertexte"/>
            <w:rFonts w:eastAsia="Times New Roman"/>
            <w:color w:val="0B0080"/>
          </w:rPr>
          <w:t>élevage</w:t>
        </w:r>
      </w:hyperlink>
      <w:r>
        <w:rPr>
          <w:rFonts w:eastAsia="Times New Roman"/>
        </w:rPr>
        <w:t>, la </w:t>
      </w:r>
      <w:hyperlink r:id="rId18" w:tooltip="Culture maraîchère" w:history="1">
        <w:r>
          <w:rPr>
            <w:rStyle w:val="Lienhypertexte"/>
            <w:rFonts w:eastAsia="Times New Roman"/>
            <w:color w:val="0B0080"/>
          </w:rPr>
          <w:t>culture maraîchère</w:t>
        </w:r>
      </w:hyperlink>
      <w:r>
        <w:rPr>
          <w:rFonts w:eastAsia="Times New Roman"/>
        </w:rPr>
        <w:t> ou </w:t>
      </w:r>
      <w:hyperlink r:id="rId19" w:tooltip="Floriculture" w:history="1">
        <w:r>
          <w:rPr>
            <w:rStyle w:val="Lienhypertexte"/>
            <w:rFonts w:eastAsia="Times New Roman"/>
            <w:color w:val="0B0080"/>
          </w:rPr>
          <w:t>florale</w:t>
        </w:r>
      </w:hyperlink>
      <w:r>
        <w:rPr>
          <w:rFonts w:eastAsia="Times New Roman"/>
        </w:rPr>
        <w:t> se développent, on assiste à un changement de taille encore visible aujourd'hui dans le paysage agricole au niveau d'ensembles régionaux. La vitalité démographique décline durablement. Le monde agricole s'organise face aux difficultés, c'est le début du </w:t>
      </w:r>
      <w:hyperlink r:id="rId20" w:tooltip="Syndicat agricole" w:history="1">
        <w:r>
          <w:rPr>
            <w:rStyle w:val="Lienhypertexte"/>
            <w:rFonts w:eastAsia="Times New Roman"/>
            <w:color w:val="0B0080"/>
          </w:rPr>
          <w:t>syndicalisme agricole</w:t>
        </w:r>
      </w:hyperlink>
      <w:r>
        <w:rPr>
          <w:rFonts w:eastAsia="Times New Roman"/>
        </w:rPr>
        <w:t> revendicatif et structuré, mais ce syndicalisme s'il est très écouté par les politiques ne concerne pas tous les paysans. L'État intervient, il instaure un protectionnisme agricole pour protéger la production, favorise l'accessibilité aux crédits des paysans. Parallèlement l'influence urbaine pénètre la campagne par le biais du </w:t>
      </w:r>
      <w:hyperlink r:id="rId21" w:tooltip="Service militaire" w:history="1">
        <w:r>
          <w:rPr>
            <w:rStyle w:val="Lienhypertexte"/>
            <w:rFonts w:eastAsia="Times New Roman"/>
            <w:color w:val="0B0080"/>
          </w:rPr>
          <w:t>service militaire</w:t>
        </w:r>
      </w:hyperlink>
      <w:r>
        <w:rPr>
          <w:rFonts w:eastAsia="Times New Roman"/>
        </w:rPr>
        <w:t>, du </w:t>
      </w:r>
      <w:hyperlink r:id="rId22" w:tooltip="Chemin de fer" w:history="1">
        <w:r>
          <w:rPr>
            <w:rStyle w:val="Lienhypertexte"/>
            <w:rFonts w:eastAsia="Times New Roman"/>
            <w:color w:val="0B0080"/>
          </w:rPr>
          <w:t>chemin de fer</w:t>
        </w:r>
      </w:hyperlink>
      <w:r>
        <w:rPr>
          <w:rFonts w:eastAsia="Times New Roman"/>
        </w:rPr>
        <w:t>, de l'émigration rurale, de la presse et de la </w:t>
      </w:r>
      <w:hyperlink r:id="rId23" w:tooltip="Scolarisation" w:history="1">
        <w:r>
          <w:rPr>
            <w:rStyle w:val="Lienhypertexte"/>
            <w:rFonts w:eastAsia="Times New Roman"/>
            <w:color w:val="0B0080"/>
          </w:rPr>
          <w:t>scolarisation</w:t>
        </w:r>
      </w:hyperlink>
      <w:r>
        <w:rPr>
          <w:rFonts w:eastAsia="Times New Roman"/>
        </w:rPr>
        <w:t>.</w:t>
      </w:r>
    </w:p>
    <w:p w14:paraId="3ECC35E9" w14:textId="77777777" w:rsidR="009C00B8" w:rsidRDefault="009C00B8" w:rsidP="009C00B8">
      <w:pPr>
        <w:rPr>
          <w:rFonts w:eastAsia="Times New Roman"/>
        </w:rPr>
      </w:pPr>
      <w:r>
        <w:rPr>
          <w:rFonts w:eastAsia="Times New Roman"/>
        </w:rPr>
        <w:t>Au niveau politique cette période est marquée par l’avènement de la </w:t>
      </w:r>
      <w:hyperlink r:id="rId24" w:tooltip="République française (régime politique)" w:history="1">
        <w:r>
          <w:rPr>
            <w:rStyle w:val="Lienhypertexte"/>
            <w:rFonts w:eastAsia="Times New Roman"/>
            <w:color w:val="0B0080"/>
          </w:rPr>
          <w:t>République</w:t>
        </w:r>
      </w:hyperlink>
      <w:r>
        <w:rPr>
          <w:rFonts w:eastAsia="Times New Roman"/>
        </w:rPr>
        <w:t>. La République part à la conquête des paysans qui seuls peuvent la consolider. Le rôle de l'instruction publique est déterminant dans cette conquête réciproque, tout comme le phénomène de descente du pouvoir politique au niveau villageois : les </w:t>
      </w:r>
      <w:hyperlink r:id="rId25" w:tooltip="Élection municipale française" w:history="1">
        <w:r>
          <w:rPr>
            <w:rStyle w:val="Lienhypertexte"/>
            <w:rFonts w:eastAsia="Times New Roman"/>
            <w:color w:val="0B0080"/>
          </w:rPr>
          <w:t>élections municipales</w:t>
        </w:r>
      </w:hyperlink>
      <w:r>
        <w:rPr>
          <w:rFonts w:eastAsia="Times New Roman"/>
        </w:rPr>
        <w:t> ont définitivement ancré la vie politique dans la vie villageoise, c'est ce que montre Maurice Agulhon dans </w:t>
      </w:r>
      <w:r>
        <w:rPr>
          <w:rFonts w:eastAsia="Times New Roman"/>
          <w:i/>
          <w:iCs/>
        </w:rPr>
        <w:t>La République au village</w:t>
      </w:r>
      <w:r>
        <w:rPr>
          <w:rFonts w:eastAsia="Times New Roman"/>
        </w:rPr>
        <w:t>. Une véritable géographie des comportements électoraux s'établit dans cette période, l'opposition du </w:t>
      </w:r>
      <w:hyperlink r:id="rId26" w:tooltip="Curé" w:history="1">
        <w:r>
          <w:rPr>
            <w:rStyle w:val="Lienhypertexte"/>
            <w:rFonts w:eastAsia="Times New Roman"/>
            <w:color w:val="0B0080"/>
          </w:rPr>
          <w:t>curé</w:t>
        </w:r>
      </w:hyperlink>
      <w:r>
        <w:rPr>
          <w:rFonts w:eastAsia="Times New Roman"/>
        </w:rPr>
        <w:t> et de l'</w:t>
      </w:r>
      <w:hyperlink r:id="rId27" w:tooltip="Instituteur" w:history="1">
        <w:r>
          <w:rPr>
            <w:rStyle w:val="Lienhypertexte"/>
            <w:rFonts w:eastAsia="Times New Roman"/>
            <w:color w:val="0B0080"/>
          </w:rPr>
          <w:t>instituteur</w:t>
        </w:r>
      </w:hyperlink>
      <w:r>
        <w:rPr>
          <w:rFonts w:eastAsia="Times New Roman"/>
        </w:rPr>
        <w:t>structure la vie politique du village. Les paysans arrivent ainsi jusqu'à la veille de la guerre à consolider leurs intérêts au sein de la République par une vie politique active.</w:t>
      </w:r>
    </w:p>
    <w:p w14:paraId="3B3CFD51" w14:textId="77777777" w:rsidR="009C00B8" w:rsidRDefault="009C00B8" w:rsidP="009C00B8">
      <w:pPr>
        <w:rPr>
          <w:rFonts w:eastAsia="Times New Roman"/>
        </w:rPr>
      </w:pPr>
      <w:r>
        <w:rPr>
          <w:rFonts w:eastAsia="Times New Roman"/>
        </w:rPr>
        <w:t>À la veille de la </w:t>
      </w:r>
      <w:hyperlink r:id="rId28" w:tooltip="Grande Guerre" w:history="1">
        <w:r>
          <w:rPr>
            <w:rStyle w:val="Lienhypertexte"/>
            <w:rFonts w:eastAsia="Times New Roman"/>
            <w:color w:val="0B0080"/>
          </w:rPr>
          <w:t>Grande Guerre</w:t>
        </w:r>
      </w:hyperlink>
      <w:r>
        <w:rPr>
          <w:rFonts w:eastAsia="Times New Roman"/>
        </w:rPr>
        <w:t>, l'agriculture est de plus en plus dépendante des secteurs de l'industrie et de la distribution, qui sont en pleine expansion. La civilisation agraire est en train de se fondre dans un creuset national, celui de la Patrie, et désormais la paysannerie est maîtresse de sa terre. Les nuances apportées selon les régions, les classes sociales à ces grands traits ont structuré la carte à la fois économique, sociale et politique de la France.</w:t>
      </w:r>
    </w:p>
    <w:p w14:paraId="2DCEE5D1" w14:textId="77777777" w:rsidR="009C00B8" w:rsidRDefault="009C00B8" w:rsidP="009C00B8">
      <w:pPr>
        <w:rPr>
          <w:rFonts w:eastAsia="Times New Roman"/>
        </w:rPr>
      </w:pPr>
      <w:r>
        <w:rPr>
          <w:rFonts w:eastAsia="Times New Roman"/>
        </w:rPr>
        <w:t>Par l'intermédiaire du commerce des </w:t>
      </w:r>
      <w:hyperlink r:id="rId29" w:tooltip="Engrais" w:history="1">
        <w:r>
          <w:rPr>
            <w:rStyle w:val="Lienhypertexte"/>
            <w:rFonts w:eastAsia="Times New Roman"/>
            <w:color w:val="0B0080"/>
          </w:rPr>
          <w:t>engrais</w:t>
        </w:r>
      </w:hyperlink>
      <w:r>
        <w:rPr>
          <w:rFonts w:eastAsia="Times New Roman"/>
        </w:rPr>
        <w:t>, qui s'est constitué au sortir de la guerre en très grosses sociétés liées entre elles par des accords internationaux, contingentant la production pour limiter l'effet des crises par la suppression de la concurrence, l'influence de l'économie moderne s'exerce sur la vie et le rythme des prix à la campagne</w:t>
      </w:r>
      <w:hyperlink r:id="rId30" w:anchor="cite_note-George-5" w:history="1">
        <w:r>
          <w:rPr>
            <w:rStyle w:val="Lienhypertexte"/>
            <w:rFonts w:eastAsia="Times New Roman"/>
            <w:color w:val="0B0080"/>
            <w:sz w:val="18"/>
            <w:szCs w:val="18"/>
          </w:rPr>
          <w:t>5.</w:t>
        </w:r>
      </w:hyperlink>
    </w:p>
    <w:p w14:paraId="75535126" w14:textId="77777777" w:rsidR="009C00B8" w:rsidRDefault="009C00B8" w:rsidP="009C00B8">
      <w:pPr>
        <w:pStyle w:val="Titre2"/>
        <w:pBdr>
          <w:bottom w:val="single" w:sz="6" w:space="0" w:color="A2A9B1"/>
        </w:pBdr>
        <w:spacing w:before="240" w:beforeAutospacing="0" w:after="60" w:afterAutospacing="0"/>
        <w:rPr>
          <w:rFonts w:ascii="Georgia" w:hAnsi="Georgia"/>
          <w:b w:val="0"/>
          <w:bCs w:val="0"/>
        </w:rPr>
      </w:pPr>
      <w:hyperlink r:id="rId31" w:anchor="cite_note-George-5" w:history="1">
        <w:r>
          <w:rPr>
            <w:rStyle w:val="Lienhypertexte"/>
            <w:rFonts w:ascii="Georgia" w:hAnsi="Georgia"/>
            <w:b w:val="0"/>
            <w:bCs w:val="0"/>
            <w:color w:val="0B0080"/>
          </w:rPr>
          <w:t>De 1945 à aujourd'hui</w:t>
        </w:r>
        <w:r>
          <w:rPr>
            <w:rStyle w:val="mw-editsection-bracket"/>
            <w:rFonts w:ascii="Arial" w:hAnsi="Arial" w:cs="Arial"/>
            <w:b w:val="0"/>
            <w:bCs w:val="0"/>
            <w:color w:val="54595D"/>
            <w:sz w:val="24"/>
            <w:szCs w:val="24"/>
          </w:rPr>
          <w:t>[</w:t>
        </w:r>
      </w:hyperlink>
      <w:hyperlink r:id="rId32" w:tooltip="Modifier la section : De 1945 à aujourd'hui" w:history="1">
        <w:r>
          <w:rPr>
            <w:rStyle w:val="Lienhypertexte"/>
            <w:rFonts w:ascii="Georgia" w:hAnsi="Georgia"/>
            <w:b w:val="0"/>
            <w:bCs w:val="0"/>
            <w:color w:val="0B0080"/>
          </w:rPr>
          <w:t>modifier</w:t>
        </w:r>
      </w:hyperlink>
      <w:r>
        <w:rPr>
          <w:rStyle w:val="mw-editsection-divider"/>
          <w:rFonts w:ascii="Georgia" w:hAnsi="Georgia"/>
          <w:b w:val="0"/>
          <w:bCs w:val="0"/>
          <w:color w:val="54595D"/>
        </w:rPr>
        <w:t> | </w:t>
      </w:r>
      <w:hyperlink r:id="rId33" w:tooltip="Modifier la section : De 1945 à aujourd'hui" w:history="1">
        <w:r>
          <w:rPr>
            <w:rStyle w:val="Lienhypertexte"/>
            <w:rFonts w:ascii="Georgia" w:hAnsi="Georgia"/>
            <w:b w:val="0"/>
            <w:bCs w:val="0"/>
            <w:color w:val="0B0080"/>
          </w:rPr>
          <w:t>modifier le code</w:t>
        </w:r>
      </w:hyperlink>
      <w:r>
        <w:rPr>
          <w:rStyle w:val="mw-editsection-bracket"/>
          <w:rFonts w:ascii="Georgia" w:hAnsi="Georgia"/>
          <w:b w:val="0"/>
          <w:bCs w:val="0"/>
          <w:color w:val="54595D"/>
        </w:rPr>
        <w:t>]</w:t>
      </w:r>
    </w:p>
    <w:p w14:paraId="185D10EC" w14:textId="77777777" w:rsidR="009C00B8" w:rsidRDefault="009C00B8" w:rsidP="009C00B8">
      <w:pPr>
        <w:shd w:val="clear" w:color="auto" w:fill="FDFDFD"/>
        <w:spacing w:line="360" w:lineRule="atLeast"/>
        <w:ind w:firstLine="345"/>
        <w:textAlignment w:val="center"/>
        <w:rPr>
          <w:rFonts w:ascii="Calibri" w:eastAsia="Times New Roman" w:hAnsi="Calibri"/>
          <w:sz w:val="21"/>
          <w:szCs w:val="21"/>
        </w:rPr>
      </w:pPr>
      <w:r>
        <w:rPr>
          <w:rFonts w:eastAsia="Times New Roman"/>
          <w:sz w:val="21"/>
          <w:szCs w:val="21"/>
        </w:rPr>
        <w:t>Article détaillé : </w:t>
      </w:r>
      <w:hyperlink r:id="rId34" w:tooltip="Condition paysanne en France depuis 1945" w:history="1">
        <w:r>
          <w:rPr>
            <w:rStyle w:val="Lienhypertexte"/>
            <w:rFonts w:eastAsia="Times New Roman"/>
            <w:color w:val="0B0080"/>
            <w:sz w:val="21"/>
            <w:szCs w:val="21"/>
          </w:rPr>
          <w:t>Condition paysanne en France depuis 1945</w:t>
        </w:r>
      </w:hyperlink>
      <w:r>
        <w:rPr>
          <w:rFonts w:eastAsia="Times New Roman"/>
          <w:sz w:val="21"/>
          <w:szCs w:val="21"/>
        </w:rPr>
        <w:t>.</w:t>
      </w:r>
    </w:p>
    <w:p w14:paraId="455EF9C9" w14:textId="77777777" w:rsidR="009C00B8" w:rsidRDefault="009C00B8" w:rsidP="009C00B8">
      <w:pPr>
        <w:rPr>
          <w:rFonts w:eastAsia="Times New Roman"/>
        </w:rPr>
      </w:pPr>
      <w:r>
        <w:rPr>
          <w:rFonts w:eastAsia="Times New Roman"/>
        </w:rPr>
        <w:lastRenderedPageBreak/>
        <w:t>En France, aux yeux de l'administration (notamment de l'</w:t>
      </w:r>
      <w:hyperlink r:id="rId35" w:tooltip="INSEE" w:history="1">
        <w:r>
          <w:rPr>
            <w:rStyle w:val="Lienhypertexte"/>
            <w:rFonts w:eastAsia="Times New Roman"/>
            <w:color w:val="0B0080"/>
          </w:rPr>
          <w:t>INSEE</w:t>
        </w:r>
      </w:hyperlink>
      <w:r>
        <w:rPr>
          <w:rFonts w:eastAsia="Times New Roman"/>
        </w:rPr>
        <w:t>), le paysan est un </w:t>
      </w:r>
      <w:hyperlink r:id="rId36" w:tooltip="Agriculteur" w:history="1">
        <w:r>
          <w:rPr>
            <w:rStyle w:val="Lienhypertexte"/>
            <w:rFonts w:eastAsia="Times New Roman"/>
            <w:color w:val="0B0080"/>
          </w:rPr>
          <w:t>agriculteur</w:t>
        </w:r>
      </w:hyperlink>
      <w:r>
        <w:rPr>
          <w:rFonts w:eastAsia="Times New Roman"/>
        </w:rPr>
        <w:t> quand il est professionnel, et l'agriculture une branche de l'</w:t>
      </w:r>
      <w:hyperlink r:id="rId37" w:tooltip="Industrie" w:history="1">
        <w:r>
          <w:rPr>
            <w:rStyle w:val="Lienhypertexte"/>
            <w:rFonts w:eastAsia="Times New Roman"/>
            <w:color w:val="0B0080"/>
          </w:rPr>
          <w:t>industrie</w:t>
        </w:r>
      </w:hyperlink>
      <w:r>
        <w:rPr>
          <w:rFonts w:eastAsia="Times New Roman"/>
        </w:rPr>
        <w:t> qui doit être organisée selon les mêmes principes: spécialisation, mécanisation, standardisation, diminution de la main d'œuvre, importance du secteur de la finance et du commerce.</w:t>
      </w:r>
    </w:p>
    <w:p w14:paraId="67A17BDE" w14:textId="77777777" w:rsidR="009C00B8" w:rsidRDefault="009C00B8" w:rsidP="009C00B8">
      <w:pPr>
        <w:rPr>
          <w:rFonts w:eastAsia="Times New Roman"/>
        </w:rPr>
      </w:pPr>
      <w:r>
        <w:rPr>
          <w:rFonts w:eastAsia="Times New Roman"/>
        </w:rPr>
        <w:t>Une tranche importante de paysans français qui n'adhèrent pas à ce modèle, revendique farouchement l'appellation de paysan, souvent pour se démarquer de l'agriculture productiviste et/ou par souci de ne pas rompre avec leurs racines, leur appartenance à la terre. Par exemple le syndicat de la </w:t>
      </w:r>
      <w:hyperlink r:id="rId38" w:tooltip="Confédération paysanne" w:history="1">
        <w:r>
          <w:rPr>
            <w:rStyle w:val="Lienhypertexte"/>
            <w:rFonts w:eastAsia="Times New Roman"/>
            <w:color w:val="0B0080"/>
          </w:rPr>
          <w:t>confédération paysanne</w:t>
        </w:r>
      </w:hyperlink>
      <w:r>
        <w:rPr>
          <w:rFonts w:eastAsia="Times New Roman"/>
        </w:rPr>
        <w:t>.</w:t>
      </w:r>
    </w:p>
    <w:p w14:paraId="2D7D56DC" w14:textId="77777777" w:rsidR="0070443F" w:rsidRDefault="0070443F">
      <w:bookmarkStart w:id="0" w:name="_GoBack"/>
      <w:bookmarkEnd w:id="0"/>
    </w:p>
    <w:sectPr w:rsidR="007044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MjY2NjEytDQ0NTNR0lEKTi0uzszPAykwrAUAxQE6diwAAAA="/>
  </w:docVars>
  <w:rsids>
    <w:rsidRoot w:val="0079306A"/>
    <w:rsid w:val="00115C1F"/>
    <w:rsid w:val="005B0304"/>
    <w:rsid w:val="006B14C4"/>
    <w:rsid w:val="0070443F"/>
    <w:rsid w:val="0079306A"/>
    <w:rsid w:val="009C00B8"/>
    <w:rsid w:val="00A73A62"/>
    <w:rsid w:val="00BD2746"/>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EA375-A5DD-4CF1-8184-3BE70742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0B8"/>
    <w:pPr>
      <w:spacing w:after="0" w:line="240" w:lineRule="auto"/>
    </w:pPr>
    <w:rPr>
      <w:rFonts w:eastAsiaTheme="minorEastAsia"/>
      <w:lang w:eastAsia="fr-FR"/>
    </w:rPr>
  </w:style>
  <w:style w:type="paragraph" w:styleId="Titre2">
    <w:name w:val="heading 2"/>
    <w:basedOn w:val="Normal"/>
    <w:link w:val="Titre2Car"/>
    <w:uiPriority w:val="9"/>
    <w:semiHidden/>
    <w:unhideWhenUsed/>
    <w:qFormat/>
    <w:rsid w:val="009C00B8"/>
    <w:pPr>
      <w:spacing w:before="100" w:beforeAutospacing="1" w:after="100" w:afterAutospacing="1"/>
      <w:outlineLvl w:val="1"/>
    </w:pPr>
    <w:rPr>
      <w:rFonts w:ascii="Calibri" w:eastAsia="Times New Roman" w:hAnsi="Calibri" w:cs="Calibri"/>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9C00B8"/>
    <w:rPr>
      <w:rFonts w:ascii="Calibri" w:hAnsi="Calibri" w:cs="Calibri"/>
      <w:b/>
      <w:bCs/>
      <w:sz w:val="36"/>
      <w:szCs w:val="36"/>
      <w:lang w:eastAsia="fr-FR"/>
    </w:rPr>
  </w:style>
  <w:style w:type="character" w:styleId="Lienhypertexte">
    <w:name w:val="Hyperlink"/>
    <w:basedOn w:val="Policepardfaut"/>
    <w:uiPriority w:val="99"/>
    <w:semiHidden/>
    <w:unhideWhenUsed/>
    <w:rsid w:val="009C00B8"/>
    <w:rPr>
      <w:color w:val="0000FF"/>
      <w:u w:val="single"/>
    </w:rPr>
  </w:style>
  <w:style w:type="character" w:customStyle="1" w:styleId="mw-headline">
    <w:name w:val="mw-headline"/>
    <w:basedOn w:val="Policepardfaut"/>
    <w:rsid w:val="009C00B8"/>
  </w:style>
  <w:style w:type="character" w:customStyle="1" w:styleId="mw-editsection">
    <w:name w:val="mw-editsection"/>
    <w:basedOn w:val="Policepardfaut"/>
    <w:rsid w:val="009C00B8"/>
  </w:style>
  <w:style w:type="character" w:customStyle="1" w:styleId="mw-editsection-bracket">
    <w:name w:val="mw-editsection-bracket"/>
    <w:basedOn w:val="Policepardfaut"/>
    <w:rsid w:val="009C00B8"/>
  </w:style>
  <w:style w:type="character" w:customStyle="1" w:styleId="mw-editsection-divider">
    <w:name w:val="mw-editsection-divider"/>
    <w:basedOn w:val="Policepardfaut"/>
    <w:rsid w:val="009C00B8"/>
  </w:style>
  <w:style w:type="character" w:customStyle="1" w:styleId="reference">
    <w:name w:val="reference"/>
    <w:basedOn w:val="Policepardfaut"/>
    <w:rsid w:val="009C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Phylloxera" TargetMode="External"/><Relationship Id="rId18" Type="http://schemas.openxmlformats.org/officeDocument/2006/relationships/hyperlink" Target="https://fr.wikipedia.org/wiki/Culture_mara%C3%AEch%C3%A8re" TargetMode="External"/><Relationship Id="rId26" Type="http://schemas.openxmlformats.org/officeDocument/2006/relationships/hyperlink" Target="https://fr.wikipedia.org/wiki/Cur%C3%A9" TargetMode="External"/><Relationship Id="rId39" Type="http://schemas.openxmlformats.org/officeDocument/2006/relationships/fontTable" Target="fontTable.xml"/><Relationship Id="rId21" Type="http://schemas.openxmlformats.org/officeDocument/2006/relationships/hyperlink" Target="https://fr.wikipedia.org/wiki/Service_militaire" TargetMode="External"/><Relationship Id="rId34" Type="http://schemas.openxmlformats.org/officeDocument/2006/relationships/hyperlink" Target="https://fr.wikipedia.org/wiki/Condition_paysanne_en_France_depuis_1945" TargetMode="External"/><Relationship Id="rId7" Type="http://schemas.openxmlformats.org/officeDocument/2006/relationships/hyperlink" Target="https://fr.wikipedia.org/wiki/1870" TargetMode="External"/><Relationship Id="rId12" Type="http://schemas.openxmlformats.org/officeDocument/2006/relationships/hyperlink" Target="https://fr.wikipedia.org/wiki/Colonie" TargetMode="External"/><Relationship Id="rId17" Type="http://schemas.openxmlformats.org/officeDocument/2006/relationships/hyperlink" Target="https://fr.wikipedia.org/wiki/%C3%89levage" TargetMode="External"/><Relationship Id="rId25" Type="http://schemas.openxmlformats.org/officeDocument/2006/relationships/hyperlink" Target="https://fr.wikipedia.org/wiki/%C3%89lection_municipale_fran%C3%A7aise" TargetMode="External"/><Relationship Id="rId33" Type="http://schemas.openxmlformats.org/officeDocument/2006/relationships/hyperlink" Target="https://fr.wikipedia.org/w/index.php?title=Condition_paysanne_en_France_du_XIXe_au_XXIe_si%C3%A8cle&amp;action=edit&amp;section=5" TargetMode="External"/><Relationship Id="rId38" Type="http://schemas.openxmlformats.org/officeDocument/2006/relationships/hyperlink" Target="https://fr.wikipedia.org/wiki/Conf%C3%A9d%C3%A9ration_paysanne" TargetMode="External"/><Relationship Id="rId2" Type="http://schemas.openxmlformats.org/officeDocument/2006/relationships/settings" Target="settings.xml"/><Relationship Id="rId16" Type="http://schemas.openxmlformats.org/officeDocument/2006/relationships/hyperlink" Target="https://fr.wikipedia.org/wiki/Arboriculture_fruiti%C3%A8re" TargetMode="External"/><Relationship Id="rId20" Type="http://schemas.openxmlformats.org/officeDocument/2006/relationships/hyperlink" Target="https://fr.wikipedia.org/wiki/Syndicat_agricole" TargetMode="External"/><Relationship Id="rId29" Type="http://schemas.openxmlformats.org/officeDocument/2006/relationships/hyperlink" Target="https://fr.wikipedia.org/wiki/Engrais" TargetMode="External"/><Relationship Id="rId1" Type="http://schemas.openxmlformats.org/officeDocument/2006/relationships/styles" Target="styles.xml"/><Relationship Id="rId6" Type="http://schemas.openxmlformats.org/officeDocument/2006/relationships/hyperlink" Target="https://fr.wikipedia.org/wiki/Chronologie_de_la_France_rurale_(1848-1945)" TargetMode="External"/><Relationship Id="rId11" Type="http://schemas.openxmlformats.org/officeDocument/2006/relationships/hyperlink" Target="https://fr.wikipedia.org/wiki/Lyonnais_(province)" TargetMode="External"/><Relationship Id="rId24" Type="http://schemas.openxmlformats.org/officeDocument/2006/relationships/hyperlink" Target="https://fr.wikipedia.org/wiki/R%C3%A9publique_fran%C3%A7aise_(r%C3%A9gime_politique)" TargetMode="External"/><Relationship Id="rId32" Type="http://schemas.openxmlformats.org/officeDocument/2006/relationships/hyperlink" Target="https://fr.wikipedia.org/w/index.php?title=Condition_paysanne_en_France_du_XIXe_au_XXIe_si%C3%A8cle&amp;veaction=edit&amp;section=5" TargetMode="External"/><Relationship Id="rId37" Type="http://schemas.openxmlformats.org/officeDocument/2006/relationships/hyperlink" Target="https://fr.wikipedia.org/wiki/Industrie" TargetMode="External"/><Relationship Id="rId40" Type="http://schemas.openxmlformats.org/officeDocument/2006/relationships/theme" Target="theme/theme1.xml"/><Relationship Id="rId5" Type="http://schemas.openxmlformats.org/officeDocument/2006/relationships/hyperlink" Target="https://fr.wikipedia.org/w/index.php?title=Condition_paysanne_en_France_du_XIXe_au_XXIe_si%C3%A8cle&amp;action=edit&amp;section=4" TargetMode="External"/><Relationship Id="rId15" Type="http://schemas.openxmlformats.org/officeDocument/2006/relationships/hyperlink" Target="https://fr.wikipedia.org/wiki/Polyculture" TargetMode="External"/><Relationship Id="rId23" Type="http://schemas.openxmlformats.org/officeDocument/2006/relationships/hyperlink" Target="https://fr.wikipedia.org/wiki/Scolarisation" TargetMode="External"/><Relationship Id="rId28" Type="http://schemas.openxmlformats.org/officeDocument/2006/relationships/hyperlink" Target="https://fr.wikipedia.org/wiki/Grande_Guerre" TargetMode="External"/><Relationship Id="rId36" Type="http://schemas.openxmlformats.org/officeDocument/2006/relationships/hyperlink" Target="https://fr.wikipedia.org/wiki/Agriculteur" TargetMode="External"/><Relationship Id="rId10" Type="http://schemas.openxmlformats.org/officeDocument/2006/relationships/hyperlink" Target="https://fr.wikipedia.org/wiki/S%C3%A9riciculture" TargetMode="External"/><Relationship Id="rId19" Type="http://schemas.openxmlformats.org/officeDocument/2006/relationships/hyperlink" Target="https://fr.wikipedia.org/wiki/Floriculture" TargetMode="External"/><Relationship Id="rId31" Type="http://schemas.openxmlformats.org/officeDocument/2006/relationships/hyperlink" Target="https://fr.wikipedia.org/wiki/Condition_paysanne_en_France_du_XIXe_au_XXIe_si%C3%A8cle" TargetMode="External"/><Relationship Id="rId4" Type="http://schemas.openxmlformats.org/officeDocument/2006/relationships/hyperlink" Target="https://fr.wikipedia.org/w/index.php?title=Condition_paysanne_en_France_du_XIXe_au_XXIe_si%C3%A8cle&amp;veaction=edit&amp;section=4" TargetMode="External"/><Relationship Id="rId9" Type="http://schemas.openxmlformats.org/officeDocument/2006/relationships/hyperlink" Target="https://fr.wikipedia.org/wiki/Colorant" TargetMode="External"/><Relationship Id="rId14" Type="http://schemas.openxmlformats.org/officeDocument/2006/relationships/hyperlink" Target="https://fr.wikipedia.org/wiki/Languedoc" TargetMode="External"/><Relationship Id="rId22" Type="http://schemas.openxmlformats.org/officeDocument/2006/relationships/hyperlink" Target="https://fr.wikipedia.org/wiki/Chemin_de_fer" TargetMode="External"/><Relationship Id="rId27" Type="http://schemas.openxmlformats.org/officeDocument/2006/relationships/hyperlink" Target="https://fr.wikipedia.org/wiki/Instituteur" TargetMode="External"/><Relationship Id="rId30" Type="http://schemas.openxmlformats.org/officeDocument/2006/relationships/hyperlink" Target="https://fr.wikipedia.org/wiki/Condition_paysanne_en_France_du_XIXe_au_XXIe_si%C3%A8cle" TargetMode="External"/><Relationship Id="rId35" Type="http://schemas.openxmlformats.org/officeDocument/2006/relationships/hyperlink" Target="https://fr.wikipedia.org/wiki/INSEE" TargetMode="External"/><Relationship Id="rId8" Type="http://schemas.openxmlformats.org/officeDocument/2006/relationships/hyperlink" Target="https://fr.wikipedia.org/wiki/Crise_%C3%A9conomique"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1303</Words>
  <Characters>7167</Characters>
  <Application>Microsoft Office Word</Application>
  <DocSecurity>0</DocSecurity>
  <Lines>59</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2020-05-01T16:15:00Z</dcterms:created>
  <dcterms:modified xsi:type="dcterms:W3CDTF">2020-05-01T16:15:00Z</dcterms:modified>
</cp:coreProperties>
</file>