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2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TDE - Aula 04 - Tabelas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uma página que represente a seguinte estrutura ilustrada na imagem utilizando o conceitos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tabelas para os grupos A e B, bem como para os artilheiros (gols) e para os jogos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Obs: desenvolver em uma única página (não precisa repetir o cabeçalho) e focar no primeiro momento os itens estruturais (div e tables).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28848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3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8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56960" cy="2828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13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201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