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60D69" w14:textId="3D12832C" w:rsidR="00AB256C" w:rsidRPr="00575306" w:rsidRDefault="00AF51C0" w:rsidP="00AF51C0">
      <w:pPr>
        <w:jc w:val="center"/>
        <w:rPr>
          <w:b/>
          <w:bCs/>
          <w:sz w:val="28"/>
          <w:szCs w:val="28"/>
        </w:rPr>
      </w:pPr>
      <w:r w:rsidRPr="00575306">
        <w:rPr>
          <w:b/>
          <w:bCs/>
          <w:sz w:val="28"/>
          <w:szCs w:val="28"/>
        </w:rPr>
        <w:t>Fašisma piemērs: Itālija</w:t>
      </w:r>
    </w:p>
    <w:p w14:paraId="54923B16" w14:textId="6EBED4A4" w:rsidR="00AF51C0" w:rsidRPr="00575306" w:rsidRDefault="00AF51C0" w:rsidP="00AF51C0">
      <w:pPr>
        <w:rPr>
          <w:sz w:val="24"/>
          <w:szCs w:val="24"/>
        </w:rPr>
      </w:pPr>
      <w:r w:rsidRPr="00AF51C0">
        <w:rPr>
          <w:sz w:val="24"/>
          <w:szCs w:val="24"/>
        </w:rPr>
        <w:t>Itālijā 20. gs. 20. gadi iezīmē krīzi, bezdarba pieaugumu un strādnieku kustību aktivizēšanos. Tautā pieauga neapmierinātība ar kārtību valstī. Aktivizējās gan labējie, gan kreisie politiskie spēki.</w:t>
      </w:r>
      <w:r w:rsidRPr="00575306">
        <w:rPr>
          <w:sz w:val="24"/>
          <w:szCs w:val="24"/>
        </w:rPr>
        <w:br/>
      </w:r>
      <w:r w:rsidRPr="00575306">
        <w:rPr>
          <w:sz w:val="24"/>
          <w:szCs w:val="24"/>
        </w:rPr>
        <w:br/>
        <w:t>Daudzi Itālijas iedzīvotāji, īpaši lielie zemes īpašnieki, uzņēmēji, tirgotāji, inteliģence, studenti, karavīri un kara veterāni, visas cerības saistīja ar </w:t>
      </w:r>
      <w:r w:rsidRPr="00575306">
        <w:rPr>
          <w:b/>
          <w:bCs/>
          <w:sz w:val="24"/>
          <w:szCs w:val="24"/>
        </w:rPr>
        <w:t>Benito Musolīni</w:t>
      </w:r>
      <w:r w:rsidRPr="00575306">
        <w:rPr>
          <w:sz w:val="24"/>
          <w:szCs w:val="24"/>
        </w:rPr>
        <w:t> un viņa 1919. g. dibināto </w:t>
      </w:r>
      <w:r w:rsidRPr="00575306">
        <w:rPr>
          <w:b/>
          <w:bCs/>
          <w:sz w:val="24"/>
          <w:szCs w:val="24"/>
        </w:rPr>
        <w:t>„Cīņas savienību”</w:t>
      </w:r>
    </w:p>
    <w:p w14:paraId="252555A6" w14:textId="09FE8E82" w:rsidR="00AF51C0" w:rsidRPr="00AF51C0" w:rsidRDefault="00AF51C0" w:rsidP="00AF51C0">
      <w:pPr>
        <w:rPr>
          <w:sz w:val="24"/>
          <w:szCs w:val="24"/>
        </w:rPr>
      </w:pPr>
      <w:r w:rsidRPr="00575306">
        <w:rPr>
          <w:sz w:val="24"/>
          <w:szCs w:val="24"/>
        </w:rPr>
        <w:t>Musolīni pieprasīja, lai viņam ļauj sastādīt valdību, citādi viņš varu sagrābšot ar spēku. Valdošās aprindas vilcinājās</w:t>
      </w:r>
      <w:r w:rsidR="00A063D8" w:rsidRPr="00575306">
        <w:rPr>
          <w:sz w:val="24"/>
          <w:szCs w:val="24"/>
        </w:rPr>
        <w:t>, kas veicināja č</w:t>
      </w:r>
      <w:r w:rsidRPr="00575306">
        <w:rPr>
          <w:sz w:val="24"/>
          <w:szCs w:val="24"/>
        </w:rPr>
        <w:t>etras fašistu kolonnas no dažādām pusēm ie</w:t>
      </w:r>
      <w:r w:rsidR="00A063D8" w:rsidRPr="00575306">
        <w:rPr>
          <w:sz w:val="24"/>
          <w:szCs w:val="24"/>
        </w:rPr>
        <w:t>gājā</w:t>
      </w:r>
      <w:r w:rsidRPr="00575306">
        <w:rPr>
          <w:sz w:val="24"/>
          <w:szCs w:val="24"/>
        </w:rPr>
        <w:t xml:space="preserve"> galvaspilsētā. Piekāpdamies šīs demonstrācijas priekšā, </w:t>
      </w:r>
      <w:r w:rsidRPr="00575306">
        <w:rPr>
          <w:b/>
          <w:bCs/>
          <w:sz w:val="24"/>
          <w:szCs w:val="24"/>
        </w:rPr>
        <w:t>Itālijas karalis Viktors Emanuels III</w:t>
      </w:r>
      <w:r w:rsidRPr="00575306">
        <w:rPr>
          <w:sz w:val="24"/>
          <w:szCs w:val="24"/>
        </w:rPr>
        <w:t xml:space="preserve"> piedāvāja Musolīni kļūt par valdības galvu. </w:t>
      </w:r>
      <w:r w:rsidR="005F735E" w:rsidRPr="00575306">
        <w:rPr>
          <w:sz w:val="24"/>
          <w:szCs w:val="24"/>
        </w:rPr>
        <w:t>1926. g. Musolīni sev piešķīra vadoņa (itāļu valodā Duce) titulu un kļuva par diktatoru ar likumdošanas tiesībām</w:t>
      </w:r>
      <w:r w:rsidRPr="00575306">
        <w:rPr>
          <w:sz w:val="24"/>
          <w:szCs w:val="24"/>
        </w:rPr>
        <w:t>. Karalis Viktors Emanuels III troni saglabāja līdz 1946. gadam, bet reālas varas viņam vairs nebija.</w:t>
      </w:r>
    </w:p>
    <w:p w14:paraId="792E9EBA" w14:textId="77777777" w:rsidR="00A063D8" w:rsidRPr="00575306" w:rsidRDefault="00AF51C0" w:rsidP="00AF51C0">
      <w:pPr>
        <w:rPr>
          <w:sz w:val="24"/>
          <w:szCs w:val="24"/>
        </w:rPr>
      </w:pPr>
      <w:r w:rsidRPr="00575306">
        <w:rPr>
          <w:sz w:val="24"/>
          <w:szCs w:val="24"/>
        </w:rPr>
        <w:t>Valdībai</w:t>
      </w:r>
      <w:r w:rsidR="005F735E" w:rsidRPr="00575306">
        <w:rPr>
          <w:sz w:val="24"/>
          <w:szCs w:val="24"/>
        </w:rPr>
        <w:t xml:space="preserve"> un diktatoram</w:t>
      </w:r>
      <w:r w:rsidRPr="00575306">
        <w:rPr>
          <w:sz w:val="24"/>
          <w:szCs w:val="24"/>
        </w:rPr>
        <w:t xml:space="preserve"> ti</w:t>
      </w:r>
      <w:r w:rsidR="005F735E" w:rsidRPr="00575306">
        <w:rPr>
          <w:sz w:val="24"/>
          <w:szCs w:val="24"/>
        </w:rPr>
        <w:t>ek</w:t>
      </w:r>
      <w:r w:rsidRPr="00575306">
        <w:rPr>
          <w:sz w:val="24"/>
          <w:szCs w:val="24"/>
        </w:rPr>
        <w:t>a piešķirtas neierobežotas pilnvaras atjaunot kārtību un izdarīt reformas</w:t>
      </w:r>
    </w:p>
    <w:p w14:paraId="7D2105E1" w14:textId="0448BCF9" w:rsidR="00A063D8" w:rsidRPr="00575306" w:rsidRDefault="00A063D8" w:rsidP="00AF51C0">
      <w:pPr>
        <w:rPr>
          <w:sz w:val="24"/>
          <w:szCs w:val="24"/>
        </w:rPr>
      </w:pPr>
      <w:r w:rsidRPr="00575306">
        <w:rPr>
          <w:sz w:val="24"/>
          <w:szCs w:val="24"/>
        </w:rPr>
        <w:t>Musolīni mērķis bija nostiprināt Itālijas varenību Vidusjūras reģionā, lai tā kļūtu par „Itālijas jūru”.</w:t>
      </w:r>
    </w:p>
    <w:p w14:paraId="28DD01B5" w14:textId="4E48260A" w:rsidR="00733479" w:rsidRPr="00575306" w:rsidRDefault="005F735E" w:rsidP="00733479">
      <w:pPr>
        <w:jc w:val="center"/>
        <w:rPr>
          <w:sz w:val="24"/>
          <w:szCs w:val="24"/>
        </w:rPr>
      </w:pPr>
      <w:r w:rsidRPr="00575306">
        <w:rPr>
          <w:sz w:val="24"/>
          <w:szCs w:val="24"/>
        </w:rPr>
        <w:br/>
      </w:r>
      <w:r w:rsidR="00A063D8" w:rsidRPr="00575306">
        <w:rPr>
          <w:b/>
          <w:bCs/>
          <w:sz w:val="28"/>
          <w:szCs w:val="28"/>
        </w:rPr>
        <w:t>Fašisma piemērs: Vācija</w:t>
      </w:r>
      <w:r w:rsidR="00733479" w:rsidRPr="00575306">
        <w:rPr>
          <w:b/>
          <w:bCs/>
          <w:sz w:val="28"/>
          <w:szCs w:val="28"/>
        </w:rPr>
        <w:br/>
      </w:r>
    </w:p>
    <w:p w14:paraId="636A9437" w14:textId="77777777" w:rsidR="00BF7DB8" w:rsidRPr="00BF7DB8" w:rsidRDefault="00BF7DB8" w:rsidP="00BF7DB8">
      <w:pPr>
        <w:ind w:left="720"/>
        <w:jc w:val="center"/>
        <w:rPr>
          <w:sz w:val="24"/>
          <w:szCs w:val="24"/>
        </w:rPr>
      </w:pPr>
      <w:r w:rsidRPr="00BF7DB8">
        <w:rPr>
          <w:sz w:val="24"/>
          <w:szCs w:val="24"/>
        </w:rPr>
        <w:t>Vācijā 20. gadsimta 20. gados valsts piedzīvoja smagu ekonomisko un politisko krīzi. Pēc Pirmā pasaules kara sakāves Vācija tika pakļauta smagiem Versaļas līguma nosacījumiem, kas izraisīja hiperinflāciju, augstu bezdarbu un plašu sabiedrības neapmierinātību. Veimāras republikas valdība nespēja efektīvi risināt problēmas, kas veicināja politisko radikālisma pieaugumu.</w:t>
      </w:r>
    </w:p>
    <w:p w14:paraId="0AC4DDD9" w14:textId="77777777" w:rsidR="00BF7DB8" w:rsidRPr="00BF7DB8" w:rsidRDefault="00BF7DB8" w:rsidP="00BF7DB8">
      <w:pPr>
        <w:ind w:left="720"/>
        <w:jc w:val="center"/>
        <w:rPr>
          <w:sz w:val="24"/>
          <w:szCs w:val="24"/>
        </w:rPr>
      </w:pPr>
      <w:r w:rsidRPr="00BF7DB8">
        <w:rPr>
          <w:sz w:val="24"/>
          <w:szCs w:val="24"/>
        </w:rPr>
        <w:t>Sabiedrībā popularitāti guva gan labējie, gan kreisie politiskie spēki, tomēr arvien lielāku atbalstu ieguva Ādolfa Hitlera vadītā Nacionālsociālistiskā vācu strādnieku partija (NSDAP). Hitlera solījumi atjaunot nacionālo lepnumu, likvidēt bezdarbu un pārvarēt ekonomisko krīzi piesaistīja plašus sabiedrības slāņus, īpaši tos, kas jutās atstāti novārtā.</w:t>
      </w:r>
    </w:p>
    <w:p w14:paraId="3D7F7578" w14:textId="6B906520" w:rsidR="00BF7DB8" w:rsidRPr="00575306" w:rsidRDefault="00BF7DB8" w:rsidP="00BF7DB8">
      <w:pPr>
        <w:pStyle w:val="ListParagraph"/>
        <w:numPr>
          <w:ilvl w:val="0"/>
          <w:numId w:val="3"/>
        </w:numPr>
        <w:rPr>
          <w:sz w:val="24"/>
          <w:szCs w:val="24"/>
        </w:rPr>
      </w:pPr>
      <w:r w:rsidRPr="00575306">
        <w:rPr>
          <w:sz w:val="24"/>
          <w:szCs w:val="24"/>
        </w:rPr>
        <w:t xml:space="preserve">gadā Hitlers tika iecelts par diktatoru, un īsā laikā nacisti ieviesa likumus, kas deva viņam un valdībai neierobežotu varu. Pretinieku politiskās partijas tika aizliegtas, preses un vārda brīvība tika ierobežota, un sākās totalitāra režīma veidošanās. Nacisti īstenoja propagandas kampaņas un militarizāciju, lai </w:t>
      </w:r>
      <w:r w:rsidRPr="00575306">
        <w:rPr>
          <w:sz w:val="24"/>
          <w:szCs w:val="24"/>
        </w:rPr>
        <w:lastRenderedPageBreak/>
        <w:t xml:space="preserve">nostiprinātu kontroli pār sabiedrību un sagatavotu valsti saviem agresīvajiem </w:t>
      </w:r>
      <w:r w:rsidR="00D04511">
        <w:rPr>
          <w:sz w:val="24"/>
          <w:szCs w:val="24"/>
        </w:rPr>
        <w:t xml:space="preserve">nākotnes </w:t>
      </w:r>
      <w:r w:rsidRPr="00575306">
        <w:rPr>
          <w:sz w:val="24"/>
          <w:szCs w:val="24"/>
        </w:rPr>
        <w:t>plāniem.</w:t>
      </w:r>
    </w:p>
    <w:p w14:paraId="6B9C2EB4" w14:textId="1D8476B0" w:rsidR="00BF7DB8" w:rsidRPr="00575306" w:rsidRDefault="00BF7DB8" w:rsidP="00BF7DB8">
      <w:pPr>
        <w:ind w:left="720"/>
        <w:rPr>
          <w:sz w:val="24"/>
          <w:szCs w:val="24"/>
        </w:rPr>
      </w:pPr>
      <w:r w:rsidRPr="00BF7DB8">
        <w:rPr>
          <w:sz w:val="24"/>
          <w:szCs w:val="24"/>
        </w:rPr>
        <w:t>Hitlers izvirzīja ambiciozu mērķi pārveidot Vāciju par lielvaru, kas dominētu Eiropā, un uzskatīja, ka tas ir iespējams tikai, īstenojot ekspansiju un iznīcinot tos, kurus nacisti uzskatīja par „valsts ienaidniekiem”</w:t>
      </w:r>
      <w:r w:rsidRPr="00575306">
        <w:rPr>
          <w:sz w:val="24"/>
          <w:szCs w:val="24"/>
        </w:rPr>
        <w:t xml:space="preserve"> </w:t>
      </w:r>
      <w:r w:rsidRPr="00BF7DB8">
        <w:rPr>
          <w:sz w:val="24"/>
          <w:szCs w:val="24"/>
        </w:rPr>
        <w:t>.</w:t>
      </w:r>
      <w:r w:rsidRPr="00575306">
        <w:rPr>
          <w:sz w:val="24"/>
          <w:szCs w:val="24"/>
        </w:rPr>
        <w:t xml:space="preserve"> Svarīga nacistu ideoloģijas sastāvdaļa bija naids pret ebrejiem, kas tika pasniegts kā visu Vācijas problēmu cēlonis. Nacisti izplatīja propagandu, vainojot ebrejus ekonomiskajās grūtībās, sociālajās problēmās un Vācijas sakāvē Pirmajā pasaules karā. Ebreji tika attēloti kā „iekšējie ienaidnieki”, kas apdraud vācu tautas tīrību un valsts nākotni.</w:t>
      </w:r>
    </w:p>
    <w:p w14:paraId="61B8AF24" w14:textId="77777777" w:rsidR="00BF7DB8" w:rsidRPr="00BF7DB8" w:rsidRDefault="00BF7DB8" w:rsidP="00BF7DB8">
      <w:pPr>
        <w:numPr>
          <w:ilvl w:val="0"/>
          <w:numId w:val="4"/>
        </w:numPr>
        <w:rPr>
          <w:sz w:val="24"/>
          <w:szCs w:val="24"/>
        </w:rPr>
      </w:pPr>
      <w:r w:rsidRPr="00BF7DB8">
        <w:rPr>
          <w:sz w:val="24"/>
          <w:szCs w:val="24"/>
        </w:rPr>
        <w:t>gadā tika pieņemti Nirnbergas likumi, kas juridiski diskriminēja ebrejus, atņemot viņiem pilsoniskās tiesības un aizliedzot laulības starp ebrejiem un vāciešiem. Ebreji tika izstumti no sabiedriskās dzīves, viņiem tika liegts strādāt noteiktās profesijās un piekļūt izglītībai.</w:t>
      </w:r>
    </w:p>
    <w:p w14:paraId="0523ECBF" w14:textId="77777777" w:rsidR="00BF7DB8" w:rsidRPr="00BF7DB8" w:rsidRDefault="00BF7DB8" w:rsidP="00BF7DB8">
      <w:pPr>
        <w:ind w:left="720"/>
        <w:rPr>
          <w:sz w:val="24"/>
          <w:szCs w:val="24"/>
        </w:rPr>
      </w:pPr>
      <w:r w:rsidRPr="00BF7DB8">
        <w:rPr>
          <w:sz w:val="24"/>
          <w:szCs w:val="24"/>
        </w:rPr>
        <w:t>Šī politika kulminēja Holokaustā – sistemātiskā un rūpnieciskā ebreju iznīcināšanā. Nacistu režīms uzskatīja šo genocīdu par līdzekli, lai attīrītu Vāciju un Eiropu no tiem, kurus viņi uzskatīja par nevēlamiem vai „zemākiem”. Šī ideoloģija un tās realizācija kļuva par vienu no nacisma vistraģiskākajām sekām.</w:t>
      </w:r>
    </w:p>
    <w:p w14:paraId="5DCA59CE" w14:textId="4E3E07BE" w:rsidR="00BF7DB8" w:rsidRPr="00BF7DB8" w:rsidRDefault="00BF7DB8" w:rsidP="00BF7DB8">
      <w:pPr>
        <w:ind w:left="720"/>
        <w:rPr>
          <w:sz w:val="24"/>
          <w:szCs w:val="24"/>
        </w:rPr>
      </w:pPr>
    </w:p>
    <w:p w14:paraId="50226532" w14:textId="5DC96F6A" w:rsidR="00733479" w:rsidRPr="00733479" w:rsidRDefault="00733479" w:rsidP="00575306">
      <w:pPr>
        <w:ind w:left="720"/>
        <w:rPr>
          <w:sz w:val="24"/>
          <w:szCs w:val="24"/>
        </w:rPr>
      </w:pPr>
      <w:r w:rsidRPr="00575306">
        <w:rPr>
          <w:sz w:val="24"/>
          <w:szCs w:val="24"/>
        </w:rPr>
        <w:br/>
      </w:r>
    </w:p>
    <w:p w14:paraId="6DD4B85D" w14:textId="0E458E57" w:rsidR="00AF51C0" w:rsidRPr="00A063D8" w:rsidRDefault="005F735E" w:rsidP="00A063D8">
      <w:pPr>
        <w:rPr>
          <w:b/>
          <w:bCs/>
          <w:sz w:val="28"/>
          <w:szCs w:val="28"/>
        </w:rPr>
      </w:pPr>
      <w:r w:rsidRPr="00575306">
        <w:rPr>
          <w:b/>
          <w:bCs/>
          <w:sz w:val="28"/>
          <w:szCs w:val="28"/>
        </w:rPr>
        <w:br/>
      </w:r>
    </w:p>
    <w:sectPr w:rsidR="00AF51C0" w:rsidRPr="00A06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A139B"/>
    <w:multiLevelType w:val="multilevel"/>
    <w:tmpl w:val="99085F86"/>
    <w:lvl w:ilvl="0">
      <w:start w:val="1"/>
      <w:numFmt w:val="decimal"/>
      <w:lvlText w:val="%1."/>
      <w:lvlJc w:val="left"/>
      <w:pPr>
        <w:tabs>
          <w:tab w:val="num" w:pos="1170"/>
        </w:tabs>
        <w:ind w:left="1170" w:hanging="360"/>
      </w:pPr>
    </w:lvl>
    <w:lvl w:ilvl="1" w:tentative="1">
      <w:start w:val="1"/>
      <w:numFmt w:val="decimal"/>
      <w:lvlText w:val="%2."/>
      <w:lvlJc w:val="left"/>
      <w:pPr>
        <w:tabs>
          <w:tab w:val="num" w:pos="1890"/>
        </w:tabs>
        <w:ind w:left="1890" w:hanging="360"/>
      </w:p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1" w15:restartNumberingAfterBreak="0">
    <w:nsid w:val="1B111C11"/>
    <w:multiLevelType w:val="hybridMultilevel"/>
    <w:tmpl w:val="A46A113E"/>
    <w:lvl w:ilvl="0" w:tplc="4802F02E">
      <w:start w:val="1933"/>
      <w:numFmt w:val="decimal"/>
      <w:lvlText w:val="%1."/>
      <w:lvlJc w:val="left"/>
      <w:pPr>
        <w:ind w:left="1335" w:hanging="61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090103"/>
    <w:multiLevelType w:val="multilevel"/>
    <w:tmpl w:val="0E482634"/>
    <w:lvl w:ilvl="0">
      <w:start w:val="19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577CCD"/>
    <w:multiLevelType w:val="multilevel"/>
    <w:tmpl w:val="2C32F12E"/>
    <w:lvl w:ilvl="0">
      <w:start w:val="19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289709">
    <w:abstractNumId w:val="0"/>
  </w:num>
  <w:num w:numId="2" w16cid:durableId="196822822">
    <w:abstractNumId w:val="2"/>
  </w:num>
  <w:num w:numId="3" w16cid:durableId="1651639847">
    <w:abstractNumId w:val="1"/>
  </w:num>
  <w:num w:numId="4" w16cid:durableId="4007537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1C0"/>
    <w:rsid w:val="00456CA4"/>
    <w:rsid w:val="00575306"/>
    <w:rsid w:val="005842D8"/>
    <w:rsid w:val="005F735E"/>
    <w:rsid w:val="006E3B29"/>
    <w:rsid w:val="00733479"/>
    <w:rsid w:val="00762BD5"/>
    <w:rsid w:val="0091555E"/>
    <w:rsid w:val="00A063D8"/>
    <w:rsid w:val="00AB256C"/>
    <w:rsid w:val="00AF51C0"/>
    <w:rsid w:val="00BF7DB8"/>
    <w:rsid w:val="00C84D7D"/>
    <w:rsid w:val="00C8602F"/>
    <w:rsid w:val="00D04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6742"/>
  <w15:chartTrackingRefBased/>
  <w15:docId w15:val="{142DB9FA-4BF3-476F-9D6E-79CAD07F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lv-LV"/>
    </w:rPr>
  </w:style>
  <w:style w:type="paragraph" w:styleId="Heading1">
    <w:name w:val="heading 1"/>
    <w:basedOn w:val="Normal"/>
    <w:next w:val="Normal"/>
    <w:link w:val="Heading1Char"/>
    <w:uiPriority w:val="9"/>
    <w:qFormat/>
    <w:rsid w:val="00AF51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51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F51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51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51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51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51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51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51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1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51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F51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51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51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51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51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51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51C0"/>
    <w:rPr>
      <w:rFonts w:eastAsiaTheme="majorEastAsia" w:cstheme="majorBidi"/>
      <w:color w:val="272727" w:themeColor="text1" w:themeTint="D8"/>
    </w:rPr>
  </w:style>
  <w:style w:type="paragraph" w:styleId="Title">
    <w:name w:val="Title"/>
    <w:basedOn w:val="Normal"/>
    <w:next w:val="Normal"/>
    <w:link w:val="TitleChar"/>
    <w:uiPriority w:val="10"/>
    <w:qFormat/>
    <w:rsid w:val="00AF51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1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51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51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51C0"/>
    <w:pPr>
      <w:spacing w:before="160"/>
      <w:jc w:val="center"/>
    </w:pPr>
    <w:rPr>
      <w:i/>
      <w:iCs/>
      <w:color w:val="404040" w:themeColor="text1" w:themeTint="BF"/>
    </w:rPr>
  </w:style>
  <w:style w:type="character" w:customStyle="1" w:styleId="QuoteChar">
    <w:name w:val="Quote Char"/>
    <w:basedOn w:val="DefaultParagraphFont"/>
    <w:link w:val="Quote"/>
    <w:uiPriority w:val="29"/>
    <w:rsid w:val="00AF51C0"/>
    <w:rPr>
      <w:i/>
      <w:iCs/>
      <w:color w:val="404040" w:themeColor="text1" w:themeTint="BF"/>
    </w:rPr>
  </w:style>
  <w:style w:type="paragraph" w:styleId="ListParagraph">
    <w:name w:val="List Paragraph"/>
    <w:basedOn w:val="Normal"/>
    <w:uiPriority w:val="34"/>
    <w:qFormat/>
    <w:rsid w:val="00AF51C0"/>
    <w:pPr>
      <w:ind w:left="720"/>
      <w:contextualSpacing/>
    </w:pPr>
  </w:style>
  <w:style w:type="character" w:styleId="IntenseEmphasis">
    <w:name w:val="Intense Emphasis"/>
    <w:basedOn w:val="DefaultParagraphFont"/>
    <w:uiPriority w:val="21"/>
    <w:qFormat/>
    <w:rsid w:val="00AF51C0"/>
    <w:rPr>
      <w:i/>
      <w:iCs/>
      <w:color w:val="0F4761" w:themeColor="accent1" w:themeShade="BF"/>
    </w:rPr>
  </w:style>
  <w:style w:type="paragraph" w:styleId="IntenseQuote">
    <w:name w:val="Intense Quote"/>
    <w:basedOn w:val="Normal"/>
    <w:next w:val="Normal"/>
    <w:link w:val="IntenseQuoteChar"/>
    <w:uiPriority w:val="30"/>
    <w:qFormat/>
    <w:rsid w:val="00AF51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51C0"/>
    <w:rPr>
      <w:i/>
      <w:iCs/>
      <w:color w:val="0F4761" w:themeColor="accent1" w:themeShade="BF"/>
    </w:rPr>
  </w:style>
  <w:style w:type="character" w:styleId="IntenseReference">
    <w:name w:val="Intense Reference"/>
    <w:basedOn w:val="DefaultParagraphFont"/>
    <w:uiPriority w:val="32"/>
    <w:qFormat/>
    <w:rsid w:val="00AF51C0"/>
    <w:rPr>
      <w:b/>
      <w:bCs/>
      <w:smallCaps/>
      <w:color w:val="0F4761" w:themeColor="accent1" w:themeShade="BF"/>
      <w:spacing w:val="5"/>
    </w:rPr>
  </w:style>
  <w:style w:type="paragraph" w:styleId="NormalWeb">
    <w:name w:val="Normal (Web)"/>
    <w:basedOn w:val="Normal"/>
    <w:uiPriority w:val="99"/>
    <w:semiHidden/>
    <w:unhideWhenUsed/>
    <w:rsid w:val="00BF7DB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95533">
      <w:bodyDiv w:val="1"/>
      <w:marLeft w:val="0"/>
      <w:marRight w:val="0"/>
      <w:marTop w:val="0"/>
      <w:marBottom w:val="0"/>
      <w:divBdr>
        <w:top w:val="none" w:sz="0" w:space="0" w:color="auto"/>
        <w:left w:val="none" w:sz="0" w:space="0" w:color="auto"/>
        <w:bottom w:val="none" w:sz="0" w:space="0" w:color="auto"/>
        <w:right w:val="none" w:sz="0" w:space="0" w:color="auto"/>
      </w:divBdr>
      <w:divsChild>
        <w:div w:id="400249131">
          <w:marLeft w:val="0"/>
          <w:marRight w:val="0"/>
          <w:marTop w:val="375"/>
          <w:marBottom w:val="375"/>
          <w:divBdr>
            <w:top w:val="none" w:sz="0" w:space="0" w:color="auto"/>
            <w:left w:val="none" w:sz="0" w:space="0" w:color="auto"/>
            <w:bottom w:val="none" w:sz="0" w:space="0" w:color="auto"/>
            <w:right w:val="none" w:sz="0" w:space="0" w:color="auto"/>
          </w:divBdr>
        </w:div>
      </w:divsChild>
    </w:div>
    <w:div w:id="461194308">
      <w:bodyDiv w:val="1"/>
      <w:marLeft w:val="0"/>
      <w:marRight w:val="0"/>
      <w:marTop w:val="0"/>
      <w:marBottom w:val="0"/>
      <w:divBdr>
        <w:top w:val="none" w:sz="0" w:space="0" w:color="auto"/>
        <w:left w:val="none" w:sz="0" w:space="0" w:color="auto"/>
        <w:bottom w:val="none" w:sz="0" w:space="0" w:color="auto"/>
        <w:right w:val="none" w:sz="0" w:space="0" w:color="auto"/>
      </w:divBdr>
    </w:div>
    <w:div w:id="532504188">
      <w:bodyDiv w:val="1"/>
      <w:marLeft w:val="0"/>
      <w:marRight w:val="0"/>
      <w:marTop w:val="0"/>
      <w:marBottom w:val="0"/>
      <w:divBdr>
        <w:top w:val="none" w:sz="0" w:space="0" w:color="auto"/>
        <w:left w:val="none" w:sz="0" w:space="0" w:color="auto"/>
        <w:bottom w:val="none" w:sz="0" w:space="0" w:color="auto"/>
        <w:right w:val="none" w:sz="0" w:space="0" w:color="auto"/>
      </w:divBdr>
    </w:div>
    <w:div w:id="677731185">
      <w:bodyDiv w:val="1"/>
      <w:marLeft w:val="0"/>
      <w:marRight w:val="0"/>
      <w:marTop w:val="0"/>
      <w:marBottom w:val="0"/>
      <w:divBdr>
        <w:top w:val="none" w:sz="0" w:space="0" w:color="auto"/>
        <w:left w:val="none" w:sz="0" w:space="0" w:color="auto"/>
        <w:bottom w:val="none" w:sz="0" w:space="0" w:color="auto"/>
        <w:right w:val="none" w:sz="0" w:space="0" w:color="auto"/>
      </w:divBdr>
    </w:div>
    <w:div w:id="677735600">
      <w:bodyDiv w:val="1"/>
      <w:marLeft w:val="0"/>
      <w:marRight w:val="0"/>
      <w:marTop w:val="0"/>
      <w:marBottom w:val="0"/>
      <w:divBdr>
        <w:top w:val="none" w:sz="0" w:space="0" w:color="auto"/>
        <w:left w:val="none" w:sz="0" w:space="0" w:color="auto"/>
        <w:bottom w:val="none" w:sz="0" w:space="0" w:color="auto"/>
        <w:right w:val="none" w:sz="0" w:space="0" w:color="auto"/>
      </w:divBdr>
      <w:divsChild>
        <w:div w:id="1447966068">
          <w:marLeft w:val="0"/>
          <w:marRight w:val="0"/>
          <w:marTop w:val="0"/>
          <w:marBottom w:val="0"/>
          <w:divBdr>
            <w:top w:val="none" w:sz="0" w:space="0" w:color="auto"/>
            <w:left w:val="none" w:sz="0" w:space="0" w:color="auto"/>
            <w:bottom w:val="none" w:sz="0" w:space="0" w:color="auto"/>
            <w:right w:val="none" w:sz="0" w:space="0" w:color="auto"/>
          </w:divBdr>
          <w:divsChild>
            <w:div w:id="2106607460">
              <w:marLeft w:val="0"/>
              <w:marRight w:val="0"/>
              <w:marTop w:val="0"/>
              <w:marBottom w:val="0"/>
              <w:divBdr>
                <w:top w:val="none" w:sz="0" w:space="0" w:color="auto"/>
                <w:left w:val="none" w:sz="0" w:space="0" w:color="auto"/>
                <w:bottom w:val="none" w:sz="0" w:space="0" w:color="auto"/>
                <w:right w:val="none" w:sz="0" w:space="0" w:color="auto"/>
              </w:divBdr>
              <w:divsChild>
                <w:div w:id="454519849">
                  <w:marLeft w:val="0"/>
                  <w:marRight w:val="0"/>
                  <w:marTop w:val="0"/>
                  <w:marBottom w:val="0"/>
                  <w:divBdr>
                    <w:top w:val="none" w:sz="0" w:space="0" w:color="auto"/>
                    <w:left w:val="none" w:sz="0" w:space="0" w:color="auto"/>
                    <w:bottom w:val="none" w:sz="0" w:space="0" w:color="auto"/>
                    <w:right w:val="none" w:sz="0" w:space="0" w:color="auto"/>
                  </w:divBdr>
                  <w:divsChild>
                    <w:div w:id="1967929485">
                      <w:marLeft w:val="0"/>
                      <w:marRight w:val="0"/>
                      <w:marTop w:val="0"/>
                      <w:marBottom w:val="0"/>
                      <w:divBdr>
                        <w:top w:val="none" w:sz="0" w:space="0" w:color="auto"/>
                        <w:left w:val="none" w:sz="0" w:space="0" w:color="auto"/>
                        <w:bottom w:val="none" w:sz="0" w:space="0" w:color="auto"/>
                        <w:right w:val="none" w:sz="0" w:space="0" w:color="auto"/>
                      </w:divBdr>
                      <w:divsChild>
                        <w:div w:id="1555660482">
                          <w:marLeft w:val="0"/>
                          <w:marRight w:val="0"/>
                          <w:marTop w:val="0"/>
                          <w:marBottom w:val="0"/>
                          <w:divBdr>
                            <w:top w:val="none" w:sz="0" w:space="0" w:color="auto"/>
                            <w:left w:val="none" w:sz="0" w:space="0" w:color="auto"/>
                            <w:bottom w:val="none" w:sz="0" w:space="0" w:color="auto"/>
                            <w:right w:val="none" w:sz="0" w:space="0" w:color="auto"/>
                          </w:divBdr>
                          <w:divsChild>
                            <w:div w:id="83133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779510">
      <w:bodyDiv w:val="1"/>
      <w:marLeft w:val="0"/>
      <w:marRight w:val="0"/>
      <w:marTop w:val="0"/>
      <w:marBottom w:val="0"/>
      <w:divBdr>
        <w:top w:val="none" w:sz="0" w:space="0" w:color="auto"/>
        <w:left w:val="none" w:sz="0" w:space="0" w:color="auto"/>
        <w:bottom w:val="none" w:sz="0" w:space="0" w:color="auto"/>
        <w:right w:val="none" w:sz="0" w:space="0" w:color="auto"/>
      </w:divBdr>
    </w:div>
    <w:div w:id="936524374">
      <w:bodyDiv w:val="1"/>
      <w:marLeft w:val="0"/>
      <w:marRight w:val="0"/>
      <w:marTop w:val="0"/>
      <w:marBottom w:val="0"/>
      <w:divBdr>
        <w:top w:val="none" w:sz="0" w:space="0" w:color="auto"/>
        <w:left w:val="none" w:sz="0" w:space="0" w:color="auto"/>
        <w:bottom w:val="none" w:sz="0" w:space="0" w:color="auto"/>
        <w:right w:val="none" w:sz="0" w:space="0" w:color="auto"/>
      </w:divBdr>
    </w:div>
    <w:div w:id="1176117004">
      <w:bodyDiv w:val="1"/>
      <w:marLeft w:val="0"/>
      <w:marRight w:val="0"/>
      <w:marTop w:val="0"/>
      <w:marBottom w:val="0"/>
      <w:divBdr>
        <w:top w:val="none" w:sz="0" w:space="0" w:color="auto"/>
        <w:left w:val="none" w:sz="0" w:space="0" w:color="auto"/>
        <w:bottom w:val="none" w:sz="0" w:space="0" w:color="auto"/>
        <w:right w:val="none" w:sz="0" w:space="0" w:color="auto"/>
      </w:divBdr>
    </w:div>
    <w:div w:id="1206796291">
      <w:bodyDiv w:val="1"/>
      <w:marLeft w:val="0"/>
      <w:marRight w:val="0"/>
      <w:marTop w:val="0"/>
      <w:marBottom w:val="0"/>
      <w:divBdr>
        <w:top w:val="none" w:sz="0" w:space="0" w:color="auto"/>
        <w:left w:val="none" w:sz="0" w:space="0" w:color="auto"/>
        <w:bottom w:val="none" w:sz="0" w:space="0" w:color="auto"/>
        <w:right w:val="none" w:sz="0" w:space="0" w:color="auto"/>
      </w:divBdr>
    </w:div>
    <w:div w:id="1228301949">
      <w:bodyDiv w:val="1"/>
      <w:marLeft w:val="0"/>
      <w:marRight w:val="0"/>
      <w:marTop w:val="0"/>
      <w:marBottom w:val="0"/>
      <w:divBdr>
        <w:top w:val="none" w:sz="0" w:space="0" w:color="auto"/>
        <w:left w:val="none" w:sz="0" w:space="0" w:color="auto"/>
        <w:bottom w:val="none" w:sz="0" w:space="0" w:color="auto"/>
        <w:right w:val="none" w:sz="0" w:space="0" w:color="auto"/>
      </w:divBdr>
    </w:div>
    <w:div w:id="1408500492">
      <w:bodyDiv w:val="1"/>
      <w:marLeft w:val="0"/>
      <w:marRight w:val="0"/>
      <w:marTop w:val="0"/>
      <w:marBottom w:val="0"/>
      <w:divBdr>
        <w:top w:val="none" w:sz="0" w:space="0" w:color="auto"/>
        <w:left w:val="none" w:sz="0" w:space="0" w:color="auto"/>
        <w:bottom w:val="none" w:sz="0" w:space="0" w:color="auto"/>
        <w:right w:val="none" w:sz="0" w:space="0" w:color="auto"/>
      </w:divBdr>
    </w:div>
    <w:div w:id="1508136093">
      <w:bodyDiv w:val="1"/>
      <w:marLeft w:val="0"/>
      <w:marRight w:val="0"/>
      <w:marTop w:val="0"/>
      <w:marBottom w:val="0"/>
      <w:divBdr>
        <w:top w:val="none" w:sz="0" w:space="0" w:color="auto"/>
        <w:left w:val="none" w:sz="0" w:space="0" w:color="auto"/>
        <w:bottom w:val="none" w:sz="0" w:space="0" w:color="auto"/>
        <w:right w:val="none" w:sz="0" w:space="0" w:color="auto"/>
      </w:divBdr>
      <w:divsChild>
        <w:div w:id="1996646506">
          <w:marLeft w:val="0"/>
          <w:marRight w:val="0"/>
          <w:marTop w:val="0"/>
          <w:marBottom w:val="0"/>
          <w:divBdr>
            <w:top w:val="none" w:sz="0" w:space="0" w:color="auto"/>
            <w:left w:val="none" w:sz="0" w:space="0" w:color="auto"/>
            <w:bottom w:val="none" w:sz="0" w:space="0" w:color="auto"/>
            <w:right w:val="none" w:sz="0" w:space="0" w:color="auto"/>
          </w:divBdr>
          <w:divsChild>
            <w:div w:id="2011444057">
              <w:marLeft w:val="0"/>
              <w:marRight w:val="0"/>
              <w:marTop w:val="0"/>
              <w:marBottom w:val="0"/>
              <w:divBdr>
                <w:top w:val="none" w:sz="0" w:space="0" w:color="auto"/>
                <w:left w:val="none" w:sz="0" w:space="0" w:color="auto"/>
                <w:bottom w:val="none" w:sz="0" w:space="0" w:color="auto"/>
                <w:right w:val="none" w:sz="0" w:space="0" w:color="auto"/>
              </w:divBdr>
              <w:divsChild>
                <w:div w:id="1230730688">
                  <w:marLeft w:val="0"/>
                  <w:marRight w:val="0"/>
                  <w:marTop w:val="0"/>
                  <w:marBottom w:val="0"/>
                  <w:divBdr>
                    <w:top w:val="none" w:sz="0" w:space="0" w:color="auto"/>
                    <w:left w:val="none" w:sz="0" w:space="0" w:color="auto"/>
                    <w:bottom w:val="none" w:sz="0" w:space="0" w:color="auto"/>
                    <w:right w:val="none" w:sz="0" w:space="0" w:color="auto"/>
                  </w:divBdr>
                  <w:divsChild>
                    <w:div w:id="403645781">
                      <w:marLeft w:val="0"/>
                      <w:marRight w:val="0"/>
                      <w:marTop w:val="0"/>
                      <w:marBottom w:val="0"/>
                      <w:divBdr>
                        <w:top w:val="none" w:sz="0" w:space="0" w:color="auto"/>
                        <w:left w:val="none" w:sz="0" w:space="0" w:color="auto"/>
                        <w:bottom w:val="none" w:sz="0" w:space="0" w:color="auto"/>
                        <w:right w:val="none" w:sz="0" w:space="0" w:color="auto"/>
                      </w:divBdr>
                      <w:divsChild>
                        <w:div w:id="654409157">
                          <w:marLeft w:val="0"/>
                          <w:marRight w:val="0"/>
                          <w:marTop w:val="0"/>
                          <w:marBottom w:val="0"/>
                          <w:divBdr>
                            <w:top w:val="none" w:sz="0" w:space="0" w:color="auto"/>
                            <w:left w:val="none" w:sz="0" w:space="0" w:color="auto"/>
                            <w:bottom w:val="none" w:sz="0" w:space="0" w:color="auto"/>
                            <w:right w:val="none" w:sz="0" w:space="0" w:color="auto"/>
                          </w:divBdr>
                          <w:divsChild>
                            <w:div w:id="18366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512750">
      <w:bodyDiv w:val="1"/>
      <w:marLeft w:val="0"/>
      <w:marRight w:val="0"/>
      <w:marTop w:val="0"/>
      <w:marBottom w:val="0"/>
      <w:divBdr>
        <w:top w:val="none" w:sz="0" w:space="0" w:color="auto"/>
        <w:left w:val="none" w:sz="0" w:space="0" w:color="auto"/>
        <w:bottom w:val="none" w:sz="0" w:space="0" w:color="auto"/>
        <w:right w:val="none" w:sz="0" w:space="0" w:color="auto"/>
      </w:divBdr>
      <w:divsChild>
        <w:div w:id="618027948">
          <w:marLeft w:val="0"/>
          <w:marRight w:val="0"/>
          <w:marTop w:val="375"/>
          <w:marBottom w:val="375"/>
          <w:divBdr>
            <w:top w:val="none" w:sz="0" w:space="0" w:color="auto"/>
            <w:left w:val="none" w:sz="0" w:space="0" w:color="auto"/>
            <w:bottom w:val="none" w:sz="0" w:space="0" w:color="auto"/>
            <w:right w:val="none" w:sz="0" w:space="0" w:color="auto"/>
          </w:divBdr>
        </w:div>
      </w:divsChild>
    </w:div>
    <w:div w:id="195770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2</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Henrijs Karass</dc:creator>
  <cp:keywords/>
  <dc:description/>
  <cp:lastModifiedBy>Henrijs Karass</cp:lastModifiedBy>
  <cp:revision>3</cp:revision>
  <dcterms:created xsi:type="dcterms:W3CDTF">2024-12-08T18:30:00Z</dcterms:created>
  <dcterms:modified xsi:type="dcterms:W3CDTF">2024-12-08T22:44:00Z</dcterms:modified>
</cp:coreProperties>
</file>