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1E5F9" w14:textId="77777777" w:rsidR="00A67F1F" w:rsidRPr="00E04392" w:rsidRDefault="000615B2" w:rsidP="00E04392">
      <w:pPr>
        <w:pStyle w:val="SourceCode"/>
        <w:spacing w:line="480" w:lineRule="auto"/>
        <w:rPr>
          <w:rFonts w:ascii="Times" w:hAnsi="Times"/>
        </w:rPr>
      </w:pPr>
      <w:r w:rsidRPr="00E04392">
        <w:rPr>
          <w:rStyle w:val="CommentTok"/>
          <w:rFonts w:ascii="Times" w:hAnsi="Times"/>
        </w:rPr>
        <w:t># merge bib files to final.bib</w:t>
      </w:r>
      <w:r w:rsidRPr="00E04392">
        <w:rPr>
          <w:rFonts w:ascii="Times" w:hAnsi="Times"/>
        </w:rPr>
        <w:br/>
      </w:r>
      <w:r w:rsidRPr="00E04392">
        <w:rPr>
          <w:rStyle w:val="ImportTok"/>
          <w:rFonts w:ascii="Times" w:hAnsi="Times"/>
        </w:rPr>
        <w:t>import</w:t>
      </w:r>
      <w:r w:rsidRPr="00E04392">
        <w:rPr>
          <w:rStyle w:val="NormalTok"/>
          <w:rFonts w:ascii="Times" w:hAnsi="Times"/>
        </w:rPr>
        <w:t xml:space="preserve"> os </w:t>
      </w:r>
      <w:r w:rsidRPr="00E04392">
        <w:rPr>
          <w:rFonts w:ascii="Times" w:hAnsi="Times"/>
        </w:rPr>
        <w:br/>
      </w:r>
      <w:r w:rsidRPr="00E04392">
        <w:rPr>
          <w:rStyle w:val="CommentTok"/>
          <w:rFonts w:ascii="Times" w:hAnsi="Times"/>
        </w:rPr>
        <w:t># set dir</w:t>
      </w:r>
      <w:r w:rsidRPr="00E04392">
        <w:rPr>
          <w:rFonts w:ascii="Times" w:hAnsi="Times"/>
        </w:rPr>
        <w:br/>
      </w:r>
      <w:r w:rsidRPr="00E04392">
        <w:rPr>
          <w:rStyle w:val="CommentTok"/>
          <w:rFonts w:ascii="Times" w:hAnsi="Times"/>
        </w:rPr>
        <w:t># os.chdir(f"{os.getcwd()}/../../bib")</w:t>
      </w:r>
      <w:r w:rsidRPr="00E04392">
        <w:rPr>
          <w:rFonts w:ascii="Times" w:hAnsi="Times"/>
        </w:rPr>
        <w:br/>
      </w:r>
      <w:r w:rsidRPr="00E04392">
        <w:rPr>
          <w:rStyle w:val="CommentTok"/>
          <w:rFonts w:ascii="Times" w:hAnsi="Times"/>
        </w:rPr>
        <w:t># open bib files</w:t>
      </w:r>
      <w:r w:rsidRPr="00E04392">
        <w:rPr>
          <w:rFonts w:ascii="Times" w:hAnsi="Times"/>
        </w:rPr>
        <w:br/>
      </w:r>
      <w:r w:rsidRPr="00E04392">
        <w:rPr>
          <w:rStyle w:val="ControlFlowTok"/>
          <w:rFonts w:ascii="Times" w:hAnsi="Times"/>
        </w:rPr>
        <w:t>with</w:t>
      </w:r>
      <w:r w:rsidRPr="00E04392">
        <w:rPr>
          <w:rStyle w:val="NormalTok"/>
          <w:rFonts w:ascii="Times" w:hAnsi="Times"/>
        </w:rPr>
        <w:t xml:space="preserve"> </w:t>
      </w:r>
      <w:r w:rsidRPr="00E04392">
        <w:rPr>
          <w:rStyle w:val="BuiltInTok"/>
          <w:rFonts w:ascii="Times" w:hAnsi="Times"/>
        </w:rPr>
        <w:t>open</w:t>
      </w:r>
      <w:r w:rsidRPr="00E04392">
        <w:rPr>
          <w:rStyle w:val="NormalTok"/>
          <w:rFonts w:ascii="Times" w:hAnsi="Times"/>
        </w:rPr>
        <w:t>(</w:t>
      </w:r>
      <w:r w:rsidRPr="00E04392">
        <w:rPr>
          <w:rStyle w:val="StringTok"/>
          <w:rFonts w:ascii="Times" w:hAnsi="Times"/>
        </w:rPr>
        <w:t>"bib/my_library.bib"</w:t>
      </w:r>
      <w:r w:rsidRPr="00E04392">
        <w:rPr>
          <w:rStyle w:val="NormalTok"/>
          <w:rFonts w:ascii="Times" w:hAnsi="Times"/>
        </w:rPr>
        <w:t xml:space="preserve">, </w:t>
      </w:r>
      <w:r w:rsidRPr="00E04392">
        <w:rPr>
          <w:rStyle w:val="StringTok"/>
          <w:rFonts w:ascii="Times" w:hAnsi="Times"/>
        </w:rPr>
        <w:t>'r+'</w:t>
      </w:r>
      <w:r w:rsidRPr="00E04392">
        <w:rPr>
          <w:rStyle w:val="NormalTok"/>
          <w:rFonts w:ascii="Times" w:hAnsi="Times"/>
        </w:rPr>
        <w:t>, encoding</w:t>
      </w:r>
      <w:r w:rsidRPr="00E04392">
        <w:rPr>
          <w:rStyle w:val="OperatorTok"/>
          <w:rFonts w:ascii="Times" w:hAnsi="Times"/>
        </w:rPr>
        <w:t>=</w:t>
      </w:r>
      <w:r w:rsidRPr="00E04392">
        <w:rPr>
          <w:rStyle w:val="StringTok"/>
          <w:rFonts w:ascii="Times" w:hAnsi="Times"/>
        </w:rPr>
        <w:t>"utf-8"</w:t>
      </w:r>
      <w:r w:rsidRPr="00E04392">
        <w:rPr>
          <w:rStyle w:val="NormalTok"/>
          <w:rFonts w:ascii="Times" w:hAnsi="Times"/>
        </w:rPr>
        <w:t xml:space="preserve">) </w:t>
      </w:r>
      <w:r w:rsidRPr="00E04392">
        <w:rPr>
          <w:rStyle w:val="ImportTok"/>
          <w:rFonts w:ascii="Times" w:hAnsi="Times"/>
        </w:rPr>
        <w:t>as</w:t>
      </w:r>
      <w:r w:rsidRPr="00E04392">
        <w:rPr>
          <w:rStyle w:val="NormalTok"/>
          <w:rFonts w:ascii="Times" w:hAnsi="Times"/>
        </w:rPr>
        <w:t xml:space="preserve"> lib:</w:t>
      </w:r>
      <w:r w:rsidRPr="00E04392">
        <w:rPr>
          <w:rFonts w:ascii="Times" w:hAnsi="Times"/>
        </w:rPr>
        <w:br/>
      </w:r>
      <w:r w:rsidRPr="00E04392">
        <w:rPr>
          <w:rStyle w:val="NormalTok"/>
          <w:rFonts w:ascii="Times" w:hAnsi="Times"/>
        </w:rPr>
        <w:t xml:space="preserve">  library </w:t>
      </w:r>
      <w:r w:rsidRPr="00E04392">
        <w:rPr>
          <w:rStyle w:val="OperatorTok"/>
          <w:rFonts w:ascii="Times" w:hAnsi="Times"/>
        </w:rPr>
        <w:t>=</w:t>
      </w:r>
      <w:r w:rsidRPr="00E04392">
        <w:rPr>
          <w:rStyle w:val="NormalTok"/>
          <w:rFonts w:ascii="Times" w:hAnsi="Times"/>
        </w:rPr>
        <w:t xml:space="preserve"> lib.read()</w:t>
      </w:r>
      <w:r w:rsidRPr="00E04392">
        <w:rPr>
          <w:rFonts w:ascii="Times" w:hAnsi="Times"/>
        </w:rPr>
        <w:br/>
      </w:r>
      <w:r w:rsidRPr="00E04392">
        <w:rPr>
          <w:rStyle w:val="ControlFlowTok"/>
          <w:rFonts w:ascii="Times" w:hAnsi="Times"/>
        </w:rPr>
        <w:t>with</w:t>
      </w:r>
      <w:r w:rsidRPr="00E04392">
        <w:rPr>
          <w:rStyle w:val="NormalTok"/>
          <w:rFonts w:ascii="Times" w:hAnsi="Times"/>
        </w:rPr>
        <w:t xml:space="preserve"> </w:t>
      </w:r>
      <w:r w:rsidRPr="00E04392">
        <w:rPr>
          <w:rStyle w:val="BuiltInTok"/>
          <w:rFonts w:ascii="Times" w:hAnsi="Times"/>
        </w:rPr>
        <w:t>open</w:t>
      </w:r>
      <w:r w:rsidRPr="00E04392">
        <w:rPr>
          <w:rStyle w:val="NormalTok"/>
          <w:rFonts w:ascii="Times" w:hAnsi="Times"/>
        </w:rPr>
        <w:t>(</w:t>
      </w:r>
      <w:r w:rsidRPr="00E04392">
        <w:rPr>
          <w:rStyle w:val="StringTok"/>
          <w:rFonts w:ascii="Times" w:hAnsi="Times"/>
        </w:rPr>
        <w:t>"bib/r-references.bib"</w:t>
      </w:r>
      <w:r w:rsidRPr="00E04392">
        <w:rPr>
          <w:rStyle w:val="NormalTok"/>
          <w:rFonts w:ascii="Times" w:hAnsi="Times"/>
        </w:rPr>
        <w:t xml:space="preserve">, </w:t>
      </w:r>
      <w:r w:rsidRPr="00E04392">
        <w:rPr>
          <w:rStyle w:val="StringTok"/>
          <w:rFonts w:ascii="Times" w:hAnsi="Times"/>
        </w:rPr>
        <w:t>"r"</w:t>
      </w:r>
      <w:r w:rsidRPr="00E04392">
        <w:rPr>
          <w:rStyle w:val="NormalTok"/>
          <w:rFonts w:ascii="Times" w:hAnsi="Times"/>
        </w:rPr>
        <w:t xml:space="preserve">) </w:t>
      </w:r>
      <w:r w:rsidRPr="00E04392">
        <w:rPr>
          <w:rStyle w:val="ImportTok"/>
          <w:rFonts w:ascii="Times" w:hAnsi="Times"/>
        </w:rPr>
        <w:t>as</w:t>
      </w:r>
      <w:r w:rsidRPr="00E04392">
        <w:rPr>
          <w:rStyle w:val="NormalTok"/>
          <w:rFonts w:ascii="Times" w:hAnsi="Times"/>
        </w:rPr>
        <w:t xml:space="preserve"> pkg:</w:t>
      </w:r>
      <w:r w:rsidRPr="00E04392">
        <w:rPr>
          <w:rFonts w:ascii="Times" w:hAnsi="Times"/>
        </w:rPr>
        <w:br/>
      </w:r>
      <w:r w:rsidRPr="00E04392">
        <w:rPr>
          <w:rStyle w:val="NormalTok"/>
          <w:rFonts w:ascii="Times" w:hAnsi="Times"/>
        </w:rPr>
        <w:t xml:space="preserve">  packages </w:t>
      </w:r>
      <w:r w:rsidRPr="00E04392">
        <w:rPr>
          <w:rStyle w:val="OperatorTok"/>
          <w:rFonts w:ascii="Times" w:hAnsi="Times"/>
        </w:rPr>
        <w:t>=</w:t>
      </w:r>
      <w:r w:rsidRPr="00E04392">
        <w:rPr>
          <w:rStyle w:val="NormalTok"/>
          <w:rFonts w:ascii="Times" w:hAnsi="Times"/>
        </w:rPr>
        <w:t xml:space="preserve"> pkg.read()</w:t>
      </w:r>
      <w:r w:rsidRPr="00E04392">
        <w:rPr>
          <w:rFonts w:ascii="Times" w:hAnsi="Times"/>
        </w:rPr>
        <w:br/>
      </w:r>
      <w:r w:rsidRPr="00E04392">
        <w:rPr>
          <w:rStyle w:val="ControlFlowTok"/>
          <w:rFonts w:ascii="Times" w:hAnsi="Times"/>
        </w:rPr>
        <w:t>with</w:t>
      </w:r>
      <w:r w:rsidRPr="00E04392">
        <w:rPr>
          <w:rStyle w:val="NormalTok"/>
          <w:rFonts w:ascii="Times" w:hAnsi="Times"/>
        </w:rPr>
        <w:t xml:space="preserve"> </w:t>
      </w:r>
      <w:r w:rsidRPr="00E04392">
        <w:rPr>
          <w:rStyle w:val="BuiltInTok"/>
          <w:rFonts w:ascii="Times" w:hAnsi="Times"/>
        </w:rPr>
        <w:t>open</w:t>
      </w:r>
      <w:r w:rsidRPr="00E04392">
        <w:rPr>
          <w:rStyle w:val="NormalTok"/>
          <w:rFonts w:ascii="Times" w:hAnsi="Times"/>
        </w:rPr>
        <w:t>(</w:t>
      </w:r>
      <w:r w:rsidRPr="00E04392">
        <w:rPr>
          <w:rStyle w:val="StringTok"/>
          <w:rFonts w:ascii="Times" w:hAnsi="Times"/>
        </w:rPr>
        <w:t>"bib/final.bib"</w:t>
      </w:r>
      <w:r w:rsidRPr="00E04392">
        <w:rPr>
          <w:rStyle w:val="NormalTok"/>
          <w:rFonts w:ascii="Times" w:hAnsi="Times"/>
        </w:rPr>
        <w:t xml:space="preserve">, </w:t>
      </w:r>
      <w:r w:rsidRPr="00E04392">
        <w:rPr>
          <w:rStyle w:val="StringTok"/>
          <w:rFonts w:ascii="Times" w:hAnsi="Times"/>
        </w:rPr>
        <w:t>"w+"</w:t>
      </w:r>
      <w:r w:rsidRPr="00E04392">
        <w:rPr>
          <w:rStyle w:val="NormalTok"/>
          <w:rFonts w:ascii="Times" w:hAnsi="Times"/>
        </w:rPr>
        <w:t xml:space="preserve">, </w:t>
      </w:r>
      <w:r w:rsidRPr="00E04392">
        <w:rPr>
          <w:rStyle w:val="NormalTok"/>
          <w:rFonts w:ascii="Times New Roman" w:hAnsi="Times New Roman" w:cs="Times New Roman"/>
        </w:rPr>
        <w:t>encoding</w:t>
      </w:r>
      <w:r w:rsidRPr="00E04392">
        <w:rPr>
          <w:rStyle w:val="OperatorTok"/>
          <w:rFonts w:ascii="Times" w:hAnsi="Times"/>
        </w:rPr>
        <w:t>=</w:t>
      </w:r>
      <w:r w:rsidRPr="00E04392">
        <w:rPr>
          <w:rStyle w:val="StringTok"/>
          <w:rFonts w:ascii="Times" w:hAnsi="Times"/>
        </w:rPr>
        <w:t>"utf-8"</w:t>
      </w:r>
      <w:r w:rsidRPr="00E04392">
        <w:rPr>
          <w:rStyle w:val="NormalTok"/>
          <w:rFonts w:ascii="Times" w:hAnsi="Times"/>
        </w:rPr>
        <w:t xml:space="preserve">) </w:t>
      </w:r>
      <w:r w:rsidRPr="00E04392">
        <w:rPr>
          <w:rStyle w:val="ImportTok"/>
          <w:rFonts w:ascii="Times" w:hAnsi="Times"/>
        </w:rPr>
        <w:t>as</w:t>
      </w:r>
      <w:r w:rsidRPr="00E04392">
        <w:rPr>
          <w:rStyle w:val="NormalTok"/>
          <w:rFonts w:ascii="Times" w:hAnsi="Times"/>
        </w:rPr>
        <w:t xml:space="preserve"> new_bibfile:</w:t>
      </w:r>
      <w:r w:rsidRPr="00E04392">
        <w:rPr>
          <w:rFonts w:ascii="Times" w:hAnsi="Times"/>
        </w:rPr>
        <w:br/>
      </w:r>
      <w:r w:rsidRPr="00E04392">
        <w:rPr>
          <w:rStyle w:val="NormalTok"/>
          <w:rFonts w:ascii="Times" w:hAnsi="Times"/>
        </w:rPr>
        <w:t xml:space="preserve">  new_bibfile.write(packages </w:t>
      </w:r>
      <w:r w:rsidRPr="00E04392">
        <w:rPr>
          <w:rStyle w:val="OperatorTok"/>
          <w:rFonts w:ascii="Times" w:hAnsi="Times"/>
        </w:rPr>
        <w:t>+</w:t>
      </w:r>
      <w:r w:rsidRPr="00E04392">
        <w:rPr>
          <w:rStyle w:val="NormalTok"/>
          <w:rFonts w:ascii="Times" w:hAnsi="Times"/>
        </w:rPr>
        <w:t xml:space="preserve"> library)</w:t>
      </w:r>
    </w:p>
    <w:p w14:paraId="29E08721" w14:textId="77777777" w:rsidR="00A67F1F" w:rsidRPr="00E04392" w:rsidRDefault="000615B2" w:rsidP="00E04392">
      <w:pPr>
        <w:pStyle w:val="FirstParagraph"/>
        <w:spacing w:line="480" w:lineRule="auto"/>
        <w:rPr>
          <w:rFonts w:ascii="Times" w:hAnsi="Times"/>
        </w:rPr>
      </w:pPr>
      <w:bookmarkStart w:id="0" w:name="_GoBack"/>
      <w:r w:rsidRPr="00E04392">
        <w:rPr>
          <w:rFonts w:ascii="Times" w:hAnsi="Times"/>
        </w:rPr>
        <w:t>To determine the univariate effect of CC attendance (i.e. the effect on each bacterial group individually), we performed Bayesian hierarc</w:t>
      </w:r>
      <w:r w:rsidRPr="00E04392">
        <w:rPr>
          <w:rFonts w:ascii="Times" w:hAnsi="Times"/>
        </w:rPr>
        <w:t>hical generalized linear models as described Kruschke (2013). Bayesian parameter estimation provides richer information than the classical null hypothesis group comparison (Kruschke, 2013). For example, the method provides complete distributional informati</w:t>
      </w:r>
      <w:r w:rsidRPr="00E04392">
        <w:rPr>
          <w:rFonts w:ascii="Times" w:hAnsi="Times"/>
        </w:rPr>
        <w:t>on about model parameters such as means and standard deviations including credibility of all possible combinations of these parameters. Furthermore, it provides more precise information about the uncertainty when estimating group differences. The generaliz</w:t>
      </w:r>
      <w:r w:rsidRPr="00E04392">
        <w:rPr>
          <w:rFonts w:ascii="Times" w:hAnsi="Times"/>
        </w:rPr>
        <w:t xml:space="preserve">ed linear model as presented by Kruschke (2013) in particular is well suited to estimate the mean </w:t>
      </w:r>
      <m:oMath>
        <m:r>
          <w:rPr>
            <w:rFonts w:ascii="Cambria Math" w:hAnsi="Cambria Math"/>
          </w:rPr>
          <m:t>μ</m:t>
        </m:r>
      </m:oMath>
      <w:r w:rsidRPr="00E04392">
        <w:rPr>
          <w:rFonts w:ascii="Times" w:hAnsi="Times"/>
        </w:rPr>
        <w:t xml:space="preserve"> and standard deviation </w:t>
      </w:r>
      <m:oMath>
        <m:r>
          <w:rPr>
            <w:rFonts w:ascii="Cambria Math" w:hAnsi="Cambria Math"/>
          </w:rPr>
          <m:t>σ</m:t>
        </m:r>
      </m:oMath>
      <w:r w:rsidRPr="00E04392">
        <w:rPr>
          <w:rFonts w:ascii="Times" w:hAnsi="Times"/>
        </w:rPr>
        <w:t xml:space="preserve"> when outliers are present as it utilizes the student t-distribution instead of the gaussian distribution. Distributions of clr-tr</w:t>
      </w:r>
      <w:r w:rsidRPr="00E04392">
        <w:rPr>
          <w:rFonts w:ascii="Times" w:hAnsi="Times"/>
        </w:rPr>
        <w:t>ansformed bacterial abundance often have long tails and are skewed so that when estimated by a gaussian model the estimates are highly influenced by the outliers towards the long tail. Furthermore, standard linear models assume homogeneity of variance betw</w:t>
      </w:r>
      <w:r w:rsidRPr="00E04392">
        <w:rPr>
          <w:rFonts w:ascii="Times" w:hAnsi="Times"/>
        </w:rPr>
        <w:t xml:space="preserve">een groups. We know that this assumption is often </w:t>
      </w:r>
      <w:r w:rsidRPr="00E04392">
        <w:rPr>
          <w:rFonts w:ascii="Times" w:hAnsi="Times"/>
        </w:rPr>
        <w:lastRenderedPageBreak/>
        <w:t xml:space="preserve">violated in the context of differential abundance testing and it may even be that a “treatment” or in this case an environmental factor leads to a change in the variance of a distribution (Kruschke, 2013). </w:t>
      </w:r>
      <w:r w:rsidRPr="00E04392">
        <w:rPr>
          <w:rFonts w:ascii="Times" w:hAnsi="Times"/>
        </w:rPr>
        <w:t xml:space="preserve">Our model allows the standard deviation </w:t>
      </w:r>
      <m:oMath>
        <m:r>
          <w:rPr>
            <w:rFonts w:ascii="Cambria Math" w:hAnsi="Cambria Math"/>
          </w:rPr>
          <m:t>σ</m:t>
        </m:r>
      </m:oMath>
      <w:r w:rsidRPr="00E04392">
        <w:rPr>
          <w:rFonts w:ascii="Times" w:hAnsi="Times"/>
        </w:rPr>
        <w:t xml:space="preserve"> to vary between the groups by modeling </w:t>
      </w:r>
      <m:oMath>
        <m:r>
          <w:rPr>
            <w:rFonts w:ascii="Cambria Math" w:hAnsi="Cambria Math"/>
          </w:rPr>
          <m:t>σ</m:t>
        </m:r>
      </m:oMath>
      <w:r w:rsidRPr="00E04392">
        <w:rPr>
          <w:rFonts w:ascii="Times" w:hAnsi="Times"/>
        </w:rPr>
        <w:t xml:space="preserve"> as a linear function of the two grouping variables CC (HOME vs CC) and time (PRE vs POST). We can write our model as:</w:t>
      </w:r>
    </w:p>
    <w:p w14:paraId="25ACD8A1" w14:textId="77777777" w:rsidR="00A67F1F" w:rsidRPr="00E04392" w:rsidRDefault="000615B2" w:rsidP="00E04392">
      <w:pPr>
        <w:pStyle w:val="BodyText"/>
        <w:spacing w:line="480" w:lineRule="auto"/>
        <w:rPr>
          <w:rFonts w:ascii="Times" w:hAnsi="Times"/>
        </w:rPr>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T</m:t>
          </m:r>
          <m:r>
            <w:rPr>
              <w:rFonts w:ascii="Cambria Math" w:hAnsi="Cambria Math"/>
            </w:rPr>
            <m:t>(</m:t>
          </m:r>
          <m:r>
            <w:rPr>
              <w:rFonts w:ascii="Cambria Math" w:hAnsi="Cambria Math"/>
            </w:rPr>
            <m:t>ν</m:t>
          </m:r>
          <m:r>
            <w:rPr>
              <w:rFonts w:ascii="Cambria Math" w:hAnsi="Cambria Math"/>
            </w:rPr>
            <m:t>,</m:t>
          </m:r>
          <m:r>
            <w:rPr>
              <w:rFonts w:ascii="Cambria Math" w:hAnsi="Cambria Math"/>
            </w:rPr>
            <m:t>μ</m:t>
          </m:r>
          <m:r>
            <w:rPr>
              <w:rFonts w:ascii="Cambria Math" w:hAnsi="Cambria Math"/>
            </w:rPr>
            <m:t>,</m:t>
          </m:r>
          <m:r>
            <w:rPr>
              <w:rFonts w:ascii="Cambria Math" w:hAnsi="Cambria Math"/>
            </w:rPr>
            <m:t>σ</m:t>
          </m:r>
          <m:r>
            <w:rPr>
              <w:rFonts w:ascii="Cambria Math" w:hAnsi="Cambria Math"/>
            </w:rPr>
            <m:t>)</m:t>
          </m:r>
        </m:oMath>
      </m:oMathPara>
    </w:p>
    <w:p w14:paraId="72FF5195" w14:textId="77777777" w:rsidR="00A67F1F" w:rsidRPr="00E04392" w:rsidRDefault="000615B2" w:rsidP="00E04392">
      <w:pPr>
        <w:pStyle w:val="FirstParagraph"/>
        <w:spacing w:line="480" w:lineRule="auto"/>
        <w:rPr>
          <w:rFonts w:ascii="Times" w:hAnsi="Times"/>
        </w:rPr>
      </w:pPr>
      <w:r w:rsidRPr="00E04392">
        <w:rPr>
          <w:rFonts w:ascii="Times" w:hAnsi="Times"/>
        </w:rPr>
        <w:t xml:space="preserve">We model </w:t>
      </w:r>
      <m:oMath>
        <m:r>
          <w:rPr>
            <w:rFonts w:ascii="Cambria Math" w:hAnsi="Cambria Math"/>
          </w:rPr>
          <m:t>μ</m:t>
        </m:r>
      </m:oMath>
      <w:r w:rsidRPr="00E04392">
        <w:rPr>
          <w:rFonts w:ascii="Times" w:hAnsi="Times"/>
        </w:rPr>
        <w:t xml:space="preserve"> and </w:t>
      </w:r>
      <m:oMath>
        <m:r>
          <w:rPr>
            <w:rFonts w:ascii="Cambria Math" w:hAnsi="Cambria Math"/>
          </w:rPr>
          <m:t>σ</m:t>
        </m:r>
      </m:oMath>
      <w:r w:rsidRPr="00E04392">
        <w:rPr>
          <w:rFonts w:ascii="Times" w:hAnsi="Times"/>
        </w:rPr>
        <w:t xml:space="preserve"> each as a linear</w:t>
      </w:r>
      <w:r w:rsidRPr="00E04392">
        <w:rPr>
          <w:rFonts w:ascii="Times" w:hAnsi="Times"/>
        </w:rPr>
        <w:t xml:space="preserve"> function:</w:t>
      </w:r>
      <w:r w:rsidRPr="00E04392">
        <w:rPr>
          <w:rFonts w:ascii="Times" w:hAnsi="Times"/>
        </w:rPr>
        <w:br/>
      </w:r>
    </w:p>
    <w:p w14:paraId="47E9AAB4" w14:textId="77777777" w:rsidR="00A67F1F" w:rsidRPr="00E04392" w:rsidRDefault="000615B2" w:rsidP="00E04392">
      <w:pPr>
        <w:pStyle w:val="BodyText"/>
        <w:spacing w:line="480" w:lineRule="auto"/>
        <w:rPr>
          <w:rFonts w:ascii="Times" w:hAnsi="Times"/>
        </w:rPr>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i</m:t>
              </m:r>
              <m:r>
                <w:rPr>
                  <w:rFonts w:ascii="Cambria Math" w:hAnsi="Cambria Math"/>
                </w:rPr>
                <m:t>[</m:t>
              </m:r>
              <m:r>
                <w:rPr>
                  <w:rFonts w:ascii="Cambria Math" w:hAnsi="Cambria Math"/>
                </w:rPr>
                <m:t>j</m:t>
              </m:r>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rPr>
            <m:t>group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r>
            <w:rPr>
              <w:rFonts w:ascii="Cambria Math" w:hAnsi="Cambria Math"/>
            </w:rPr>
            <m:t>time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r>
            <w:rPr>
              <w:rFonts w:ascii="Cambria Math" w:hAnsi="Cambria Math"/>
            </w:rPr>
            <m:t>group</m:t>
          </m:r>
          <m:r>
            <w:rPr>
              <w:rFonts w:ascii="Cambria Math" w:hAnsi="Cambria Math"/>
            </w:rPr>
            <m:t>×</m:t>
          </m:r>
          <m:r>
            <w:rPr>
              <w:rFonts w:ascii="Cambria Math" w:hAnsi="Cambria Math"/>
            </w:rPr>
            <m:t>time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r>
            <w:rPr>
              <w:rFonts w:ascii="Cambria Math" w:hAnsi="Cambria Math"/>
            </w:rPr>
            <m:t>age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m:t>
          </m:r>
          <m:r>
            <w:rPr>
              <w:rFonts w:ascii="Cambria Math" w:hAnsi="Cambria Math"/>
            </w:rPr>
            <m:t>breastfeeding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m:t>
          </m:r>
          <m:r>
            <w:rPr>
              <w:rFonts w:ascii="Cambria Math" w:hAnsi="Cambria Math"/>
            </w:rPr>
            <m:t>sibling</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m:t>
          </m:r>
          <m:r>
            <w:rPr>
              <w:rFonts w:ascii="Cambria Math" w:hAnsi="Cambria Math"/>
            </w:rPr>
            <m:t>csection</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m:t>
          </m:r>
          <m:r>
            <w:rPr>
              <w:rFonts w:ascii="Cambria Math" w:hAnsi="Cambria Math"/>
            </w:rPr>
            <m:t>sibling</m:t>
          </m:r>
          <m:r>
            <w:rPr>
              <w:rFonts w:ascii="Cambria Math" w:hAnsi="Cambria Math"/>
            </w:rPr>
            <m:t>×</m:t>
          </m:r>
          <m:r>
            <w:rPr>
              <w:rFonts w:ascii="Cambria Math" w:hAnsi="Cambria Math"/>
            </w:rPr>
            <m:t>csection</m:t>
          </m:r>
        </m:oMath>
      </m:oMathPara>
    </w:p>
    <w:p w14:paraId="6A4692AE" w14:textId="77777777" w:rsidR="00A67F1F" w:rsidRPr="00E04392" w:rsidRDefault="000615B2" w:rsidP="00E04392">
      <w:pPr>
        <w:pStyle w:val="FirstParagraph"/>
        <w:spacing w:line="480" w:lineRule="auto"/>
        <w:rPr>
          <w:rFonts w:ascii="Times" w:hAnsi="Times"/>
        </w:rPr>
      </w:pPr>
      <w:r w:rsidRPr="00E04392">
        <w:rPr>
          <w:rFonts w:ascii="Times" w:hAnsi="Times"/>
        </w:rPr>
        <w:br/>
      </w:r>
    </w:p>
    <w:p w14:paraId="30760E81" w14:textId="77777777" w:rsidR="00A67F1F" w:rsidRPr="00E04392" w:rsidRDefault="000615B2" w:rsidP="00E04392">
      <w:pPr>
        <w:pStyle w:val="BodyText"/>
        <w:spacing w:line="480" w:lineRule="auto"/>
        <w:rPr>
          <w:rFonts w:ascii="Times" w:hAnsi="Times"/>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σ</m:t>
              </m:r>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σ</m:t>
              </m:r>
              <m:r>
                <w:rPr>
                  <w:rFonts w:ascii="Cambria Math" w:hAnsi="Cambria Math"/>
                </w:rPr>
                <m:t>1</m:t>
              </m:r>
            </m:sub>
          </m:sSub>
          <m:r>
            <w:rPr>
              <w:rFonts w:ascii="Cambria Math" w:hAnsi="Cambria Math"/>
            </w:rPr>
            <m:t>×</m:t>
          </m:r>
          <m:r>
            <w:rPr>
              <w:rFonts w:ascii="Cambria Math" w:hAnsi="Cambria Math"/>
            </w:rPr>
            <m:t>group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σ</m:t>
              </m:r>
              <m:r>
                <w:rPr>
                  <w:rFonts w:ascii="Cambria Math" w:hAnsi="Cambria Math"/>
                </w:rPr>
                <m:t>2</m:t>
              </m:r>
            </m:sub>
          </m:sSub>
          <m:r>
            <w:rPr>
              <w:rFonts w:ascii="Cambria Math" w:hAnsi="Cambria Math"/>
            </w:rPr>
            <m:t>×</m:t>
          </m:r>
          <m:r>
            <w:rPr>
              <w:rFonts w:ascii="Cambria Math" w:hAnsi="Cambria Math"/>
            </w:rPr>
            <m:t>time</m:t>
          </m:r>
        </m:oMath>
      </m:oMathPara>
    </w:p>
    <w:p w14:paraId="3C1736EB" w14:textId="77777777" w:rsidR="00A67F1F" w:rsidRPr="00E04392" w:rsidRDefault="000615B2" w:rsidP="00E04392">
      <w:pPr>
        <w:pStyle w:val="FirstParagraph"/>
        <w:spacing w:line="480" w:lineRule="auto"/>
        <w:rPr>
          <w:rFonts w:ascii="Times" w:hAnsi="Times"/>
        </w:rPr>
      </w:pPr>
      <w:r w:rsidRPr="00E04392">
        <w:rPr>
          <w:rFonts w:ascii="Times" w:hAnsi="Times"/>
        </w:rPr>
        <w:t xml:space="preserve">The </w:t>
      </w:r>
      <w:r w:rsidRPr="00E04392">
        <w:rPr>
          <w:rFonts w:ascii="Times" w:hAnsi="Times"/>
          <w:i/>
        </w:rPr>
        <w:t>j</w:t>
      </w:r>
      <w:r w:rsidRPr="00E04392">
        <w:rPr>
          <w:rFonts w:ascii="Times" w:hAnsi="Times"/>
        </w:rPr>
        <w:t xml:space="preserve"> in </w:t>
      </w:r>
      <m:oMath>
        <m:sSub>
          <m:sSubPr>
            <m:ctrlPr>
              <w:rPr>
                <w:rFonts w:ascii="Cambria Math" w:hAnsi="Cambria Math"/>
              </w:rPr>
            </m:ctrlPr>
          </m:sSubPr>
          <m:e>
            <m:r>
              <w:rPr>
                <w:rFonts w:ascii="Cambria Math" w:hAnsi="Cambria Math"/>
              </w:rPr>
              <m:t>β</m:t>
            </m:r>
          </m:e>
          <m:sub>
            <m:r>
              <w:rPr>
                <w:rFonts w:ascii="Cambria Math" w:hAnsi="Cambria Math"/>
              </w:rPr>
              <m:t>0</m:t>
            </m:r>
            <m:r>
              <w:rPr>
                <w:rFonts w:ascii="Cambria Math" w:hAnsi="Cambria Math"/>
              </w:rPr>
              <m:t>i</m:t>
            </m:r>
            <m:r>
              <w:rPr>
                <w:rFonts w:ascii="Cambria Math" w:hAnsi="Cambria Math"/>
              </w:rPr>
              <m:t>[</m:t>
            </m:r>
            <m:r>
              <w:rPr>
                <w:rFonts w:ascii="Cambria Math" w:hAnsi="Cambria Math"/>
              </w:rPr>
              <m:t>j</m:t>
            </m:r>
            <m:r>
              <w:rPr>
                <w:rFonts w:ascii="Cambria Math" w:hAnsi="Cambria Math"/>
              </w:rPr>
              <m:t>]</m:t>
            </m:r>
          </m:sub>
        </m:sSub>
      </m:oMath>
      <w:r w:rsidRPr="00E04392">
        <w:rPr>
          <w:rFonts w:ascii="Times" w:hAnsi="Times"/>
        </w:rPr>
        <w:t xml:space="preserve"> indicates that each subject can deviate from the overall mean but the individual mean is partially pooled and dragged towards the overall mean.</w:t>
      </w:r>
    </w:p>
    <w:p w14:paraId="61A296DB" w14:textId="77777777" w:rsidR="00A67F1F" w:rsidRPr="00E04392" w:rsidRDefault="000615B2" w:rsidP="00E04392">
      <w:pPr>
        <w:pStyle w:val="BodyText"/>
        <w:spacing w:line="480" w:lineRule="auto"/>
        <w:rPr>
          <w:rFonts w:ascii="Times" w:hAnsi="Times"/>
        </w:rPr>
      </w:pPr>
      <w:r w:rsidRPr="00E04392">
        <w:rPr>
          <w:rFonts w:ascii="Times" w:hAnsi="Times"/>
        </w:rPr>
        <w:t xml:space="preserve">The goal of the method is to predict differences in </w:t>
      </w:r>
      <m:oMath>
        <m:r>
          <w:rPr>
            <w:rFonts w:ascii="Cambria Math" w:hAnsi="Cambria Math"/>
          </w:rPr>
          <m:t>μ</m:t>
        </m:r>
      </m:oMath>
      <w:r w:rsidRPr="00E04392">
        <w:rPr>
          <w:rFonts w:ascii="Times" w:hAnsi="Times"/>
        </w:rPr>
        <w:t xml:space="preserve"> and </w:t>
      </w:r>
      <m:oMath>
        <m:r>
          <w:rPr>
            <w:rFonts w:ascii="Cambria Math" w:hAnsi="Cambria Math"/>
          </w:rPr>
          <m:t>σ</m:t>
        </m:r>
      </m:oMath>
      <w:r w:rsidRPr="00E04392">
        <w:rPr>
          <w:rFonts w:ascii="Times" w:hAnsi="Times"/>
        </w:rPr>
        <w:t xml:space="preserve"> between the subgroups that arise from CC vs H</w:t>
      </w:r>
      <w:r w:rsidRPr="00E04392">
        <w:rPr>
          <w:rFonts w:ascii="Times" w:hAnsi="Times"/>
        </w:rPr>
        <w:t>OME and PRE vs POST. In the classical approach we would be concerned about limiting type I error rates. However, it makes more sense to think in terms of type S and type M errors in this context (see Gelman, Hill, &amp; Yajima (2012); Gelman &amp; Tuerlinckx (2000</w:t>
      </w:r>
      <w:r w:rsidRPr="00E04392">
        <w:rPr>
          <w:rFonts w:ascii="Times" w:hAnsi="Times"/>
        </w:rPr>
        <w:t xml:space="preserve">)). We used the standard prior distributions as implemented in </w:t>
      </w:r>
      <w:r w:rsidRPr="00E04392">
        <w:rPr>
          <w:rFonts w:ascii="Times" w:hAnsi="Times"/>
          <w:i/>
        </w:rPr>
        <w:t>BRMS</w:t>
      </w:r>
      <w:r w:rsidRPr="00E04392">
        <w:rPr>
          <w:rFonts w:ascii="Times" w:hAnsi="Times"/>
        </w:rPr>
        <w:t xml:space="preserve"> except for a normal prior centered </w:t>
      </w:r>
      <w:r w:rsidRPr="00E04392">
        <w:rPr>
          <w:rFonts w:ascii="Times" w:hAnsi="Times"/>
        </w:rPr>
        <w:lastRenderedPageBreak/>
        <w:t xml:space="preserve">at 0 with a standard deviation of 1 for each effect. With a normal prior centered at 0, the Bayesian 95% credible interval (CI) is always more likely to </w:t>
      </w:r>
      <w:r w:rsidRPr="00E04392">
        <w:rPr>
          <w:rFonts w:ascii="Times" w:hAnsi="Times"/>
        </w:rPr>
        <w:t>include zero compared to the classical confidence interval. Thus, Bayesian inference is more conservative (Gelman &amp; Tuerlinckx, 2000; Gelman et al., 2012).</w:t>
      </w:r>
    </w:p>
    <w:bookmarkEnd w:id="0"/>
    <w:p w14:paraId="35824652" w14:textId="77777777" w:rsidR="00A67F1F" w:rsidRPr="00E04392" w:rsidRDefault="000615B2" w:rsidP="00E04392">
      <w:pPr>
        <w:pStyle w:val="Bibliography"/>
        <w:spacing w:line="480" w:lineRule="auto"/>
        <w:rPr>
          <w:rFonts w:ascii="Times" w:hAnsi="Times"/>
        </w:rPr>
      </w:pPr>
      <w:r w:rsidRPr="00E04392">
        <w:rPr>
          <w:rFonts w:ascii="Times" w:hAnsi="Times"/>
        </w:rPr>
        <w:t>Gelman, A., &amp; Tuerlinckx, F. (2000). Type S error rates for classical and Bayesian single and multip</w:t>
      </w:r>
      <w:r w:rsidRPr="00E04392">
        <w:rPr>
          <w:rFonts w:ascii="Times" w:hAnsi="Times"/>
        </w:rPr>
        <w:t xml:space="preserve">le comparison procedures. </w:t>
      </w:r>
      <w:r w:rsidRPr="00E04392">
        <w:rPr>
          <w:rFonts w:ascii="Times" w:hAnsi="Times"/>
          <w:i/>
        </w:rPr>
        <w:t>Computational Statistics</w:t>
      </w:r>
      <w:r w:rsidRPr="00E04392">
        <w:rPr>
          <w:rFonts w:ascii="Times" w:hAnsi="Times"/>
        </w:rPr>
        <w:t xml:space="preserve">, </w:t>
      </w:r>
      <w:r w:rsidRPr="00E04392">
        <w:rPr>
          <w:rFonts w:ascii="Times" w:hAnsi="Times"/>
          <w:i/>
        </w:rPr>
        <w:t>15</w:t>
      </w:r>
      <w:r w:rsidRPr="00E04392">
        <w:rPr>
          <w:rFonts w:ascii="Times" w:hAnsi="Times"/>
        </w:rPr>
        <w:t xml:space="preserve">(3), 373–390. </w:t>
      </w:r>
      <w:hyperlink r:id="rId7">
        <w:r w:rsidRPr="00E04392">
          <w:rPr>
            <w:rStyle w:val="Hyperlink"/>
            <w:rFonts w:ascii="Times" w:hAnsi="Times"/>
          </w:rPr>
          <w:t>https://doi.org/10.1007/s001800000040</w:t>
        </w:r>
      </w:hyperlink>
    </w:p>
    <w:p w14:paraId="61D08DCE" w14:textId="77777777" w:rsidR="00A67F1F" w:rsidRPr="00E04392" w:rsidRDefault="000615B2" w:rsidP="00E04392">
      <w:pPr>
        <w:pStyle w:val="Bibliography"/>
        <w:spacing w:line="480" w:lineRule="auto"/>
        <w:rPr>
          <w:rFonts w:ascii="Times" w:hAnsi="Times"/>
        </w:rPr>
      </w:pPr>
      <w:r w:rsidRPr="00E04392">
        <w:rPr>
          <w:rFonts w:ascii="Times" w:hAnsi="Times"/>
        </w:rPr>
        <w:t>Gelman, A., Hill, J., &amp; Yajima, M. (2012). Why We (Usually) Don’t Have to Worry About Multipl</w:t>
      </w:r>
      <w:r w:rsidRPr="00E04392">
        <w:rPr>
          <w:rFonts w:ascii="Times" w:hAnsi="Times"/>
        </w:rPr>
        <w:t xml:space="preserve">e Comparisons. </w:t>
      </w:r>
      <w:r w:rsidRPr="00E04392">
        <w:rPr>
          <w:rFonts w:ascii="Times" w:hAnsi="Times"/>
          <w:i/>
        </w:rPr>
        <w:t>Journal of Research on Educational Effectiveness</w:t>
      </w:r>
      <w:r w:rsidRPr="00E04392">
        <w:rPr>
          <w:rFonts w:ascii="Times" w:hAnsi="Times"/>
        </w:rPr>
        <w:t xml:space="preserve">, </w:t>
      </w:r>
      <w:r w:rsidRPr="00E04392">
        <w:rPr>
          <w:rFonts w:ascii="Times" w:hAnsi="Times"/>
          <w:i/>
        </w:rPr>
        <w:t>5</w:t>
      </w:r>
      <w:r w:rsidRPr="00E04392">
        <w:rPr>
          <w:rFonts w:ascii="Times" w:hAnsi="Times"/>
        </w:rPr>
        <w:t xml:space="preserve">(2), 189–211. </w:t>
      </w:r>
      <w:hyperlink r:id="rId8">
        <w:r w:rsidRPr="00E04392">
          <w:rPr>
            <w:rStyle w:val="Hyperlink"/>
            <w:rFonts w:ascii="Times" w:hAnsi="Times"/>
          </w:rPr>
          <w:t>https://doi.org/10.1080/19345747.2011.618213</w:t>
        </w:r>
      </w:hyperlink>
    </w:p>
    <w:p w14:paraId="18DD05C2" w14:textId="77777777" w:rsidR="00A67F1F" w:rsidRPr="00E04392" w:rsidRDefault="000615B2" w:rsidP="00E04392">
      <w:pPr>
        <w:pStyle w:val="Bibliography"/>
        <w:spacing w:line="480" w:lineRule="auto"/>
        <w:rPr>
          <w:rFonts w:ascii="Times" w:hAnsi="Times"/>
        </w:rPr>
      </w:pPr>
      <w:r w:rsidRPr="00E04392">
        <w:rPr>
          <w:rFonts w:ascii="Times" w:hAnsi="Times"/>
        </w:rPr>
        <w:t xml:space="preserve">Kruschke, J. K. (2013). Bayesian estimation supersedes the t test. </w:t>
      </w:r>
      <w:r w:rsidRPr="00E04392">
        <w:rPr>
          <w:rFonts w:ascii="Times" w:hAnsi="Times"/>
          <w:i/>
        </w:rPr>
        <w:t>Journal of Experimental Psychology: General</w:t>
      </w:r>
      <w:r w:rsidRPr="00E04392">
        <w:rPr>
          <w:rFonts w:ascii="Times" w:hAnsi="Times"/>
        </w:rPr>
        <w:t xml:space="preserve">, </w:t>
      </w:r>
      <w:r w:rsidRPr="00E04392">
        <w:rPr>
          <w:rFonts w:ascii="Times" w:hAnsi="Times"/>
          <w:i/>
        </w:rPr>
        <w:t>142</w:t>
      </w:r>
      <w:r w:rsidRPr="00E04392">
        <w:rPr>
          <w:rFonts w:ascii="Times" w:hAnsi="Times"/>
        </w:rPr>
        <w:t xml:space="preserve">(2), 573–603. </w:t>
      </w:r>
      <w:hyperlink r:id="rId9">
        <w:r w:rsidRPr="00E04392">
          <w:rPr>
            <w:rStyle w:val="Hyperlink"/>
            <w:rFonts w:ascii="Times" w:hAnsi="Times"/>
          </w:rPr>
          <w:t>https://doi.org/10.1037/a0029146</w:t>
        </w:r>
      </w:hyperlink>
    </w:p>
    <w:sectPr w:rsidR="00A67F1F" w:rsidRPr="00E0439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709EDF" w14:textId="77777777" w:rsidR="000615B2" w:rsidRDefault="000615B2">
      <w:pPr>
        <w:spacing w:after="0"/>
      </w:pPr>
      <w:r>
        <w:separator/>
      </w:r>
    </w:p>
  </w:endnote>
  <w:endnote w:type="continuationSeparator" w:id="0">
    <w:p w14:paraId="4F53BA6B" w14:textId="77777777" w:rsidR="000615B2" w:rsidRDefault="000615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C2BC1" w14:textId="77777777" w:rsidR="000615B2" w:rsidRDefault="000615B2">
      <w:r>
        <w:separator/>
      </w:r>
    </w:p>
  </w:footnote>
  <w:footnote w:type="continuationSeparator" w:id="0">
    <w:p w14:paraId="7C6BACE2" w14:textId="77777777" w:rsidR="000615B2" w:rsidRDefault="00061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4B0DA54"/>
    <w:multiLevelType w:val="multilevel"/>
    <w:tmpl w:val="5BB820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9E2EF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15B2"/>
    <w:rsid w:val="004E29B3"/>
    <w:rsid w:val="00590D07"/>
    <w:rsid w:val="00784D58"/>
    <w:rsid w:val="0085325F"/>
    <w:rsid w:val="008D6863"/>
    <w:rsid w:val="00A67F1F"/>
    <w:rsid w:val="00B86B75"/>
    <w:rsid w:val="00BC48D5"/>
    <w:rsid w:val="00C36279"/>
    <w:rsid w:val="00E043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D9CF2D"/>
  <w15:docId w15:val="{0BC79890-F267-1E4A-A873-76194AB7C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19345747.2011.618213" TargetMode="External"/><Relationship Id="rId3" Type="http://schemas.openxmlformats.org/officeDocument/2006/relationships/settings" Target="settings.xml"/><Relationship Id="rId7" Type="http://schemas.openxmlformats.org/officeDocument/2006/relationships/hyperlink" Target="https://doi.org/10.1007/s0018000000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37/a0029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Henrik Eckermann</cp:lastModifiedBy>
  <cp:revision>2</cp:revision>
  <dcterms:created xsi:type="dcterms:W3CDTF">2019-03-01T14:53:00Z</dcterms:created>
  <dcterms:modified xsi:type="dcterms:W3CDTF">2019-03-03T12:38:00Z</dcterms:modified>
</cp:coreProperties>
</file>