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1.png" ContentType="image/png"/>
  <Override PartName="/word/media/rId23.png" ContentType="image/png"/>
  <Override PartName="/word/media/rId26.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results"/>
      <w:bookmarkEnd w:id="21"/>
      <w:r>
        <w:t xml:space="preserve">3. Results</w:t>
      </w:r>
    </w:p>
    <w:p>
      <w:pPr>
        <w:pStyle w:val="Heading2"/>
      </w:pPr>
      <w:bookmarkStart w:id="22" w:name="microbiota-composition"/>
      <w:bookmarkEnd w:id="22"/>
      <w:r>
        <w:t xml:space="preserve">3.1. Microbiota composition</w:t>
      </w:r>
    </w:p>
    <w:p>
      <w:pPr>
        <w:pStyle w:val="FirstParagraph"/>
      </w:pPr>
      <w:r>
        <w:t xml:space="preserve">Thirteen genus like groups from the</w:t>
      </w:r>
      <w:r>
        <w:t xml:space="preserve"> </w:t>
      </w:r>
      <w:r>
        <w:rPr>
          <w:i/>
        </w:rPr>
        <w:t xml:space="preserve">Actinobacteria</w:t>
      </w:r>
      <w:r>
        <w:t xml:space="preserve">,</w:t>
      </w:r>
      <w:r>
        <w:t xml:space="preserve"> </w:t>
      </w:r>
      <w:r>
        <w:rPr>
          <w:i/>
        </w:rPr>
        <w:t xml:space="preserve">Firmicutes</w:t>
      </w:r>
      <w:r>
        <w:t xml:space="preserve">,</w:t>
      </w:r>
      <w:r>
        <w:t xml:space="preserve"> </w:t>
      </w:r>
      <w:r>
        <w:rPr>
          <w:i/>
        </w:rPr>
        <w:t xml:space="preserve">Proteobacteria</w:t>
      </w:r>
      <w:r>
        <w:t xml:space="preserve"> </w:t>
      </w:r>
      <w:r>
        <w:t xml:space="preserve">and phyla showed an average abundance of</w:t>
      </w:r>
      <w:r>
        <w:t xml:space="preserve"> </w:t>
      </w:r>
      <m:oMath>
        <m:r>
          <m:t>≥</m:t>
        </m:r>
        <m:r>
          <m:t>0.05</m:t>
        </m:r>
      </m:oMath>
      <w:r>
        <w:t xml:space="preserve"> </w:t>
      </w:r>
      <w:r>
        <w:t xml:space="preserve">% in at least 20% of the samples (Figure 1). Overall the microbiota was dominated by</w:t>
      </w:r>
      <w:r>
        <w:t xml:space="preserve"> </w:t>
      </w:r>
      <w:r>
        <w:rPr>
          <w:i/>
        </w:rPr>
        <w:t xml:space="preserve">Bifidobacterium</w:t>
      </w:r>
      <w:r>
        <w:t xml:space="preserve"> </w:t>
      </w:r>
      <w:r>
        <w:t xml:space="preserve">with an average abundance of more than 50%. Followed by facultative anaerobic</w:t>
      </w:r>
      <w:r>
        <w:t xml:space="preserve"> </w:t>
      </w:r>
      <w:r>
        <w:rPr>
          <w:i/>
        </w:rPr>
        <w:t xml:space="preserve">Bacilli</w:t>
      </w:r>
      <w:r>
        <w:t xml:space="preserve"> </w:t>
      </w:r>
      <w:r>
        <w:t xml:space="preserve">(</w:t>
      </w:r>
      <w:r>
        <w:rPr>
          <w:i/>
        </w:rPr>
        <w:t xml:space="preserve">Streptococcus spp</w:t>
      </w:r>
      <w:r>
        <w:t xml:space="preserve">,</w:t>
      </w:r>
      <w:r>
        <w:t xml:space="preserve"> </w:t>
      </w:r>
      <w:r>
        <w:rPr>
          <w:i/>
        </w:rPr>
        <w:t xml:space="preserve">Enterococcus</w:t>
      </w:r>
      <w:r>
        <w:t xml:space="preserve">,</w:t>
      </w:r>
      <w:r>
        <w:t xml:space="preserve"> </w:t>
      </w:r>
      <w:r>
        <w:rPr>
          <w:i/>
        </w:rPr>
        <w:t xml:space="preserve">Lactobacilllus</w:t>
      </w:r>
      <w:r>
        <w:t xml:space="preserve"> </w:t>
      </w:r>
      <w:r>
        <w:t xml:space="preserve">and</w:t>
      </w:r>
      <w:r>
        <w:t xml:space="preserve"> </w:t>
      </w:r>
      <w:r>
        <w:rPr>
          <w:i/>
        </w:rPr>
        <w:t xml:space="preserve">Granulicatella</w:t>
      </w:r>
      <w:r>
        <w:t xml:space="preserve">). The general variation of relative abundance of all taxa was quite high, with</w:t>
      </w:r>
      <w:r>
        <w:t xml:space="preserve"> </w:t>
      </w:r>
      <w:r>
        <w:rPr>
          <w:i/>
        </w:rPr>
        <w:t xml:space="preserve">Bifidobacterium</w:t>
      </w:r>
      <w:r>
        <w:t xml:space="preserve"> </w:t>
      </w:r>
      <w:r>
        <w:t xml:space="preserve">for instance ranging from 0.2% to 89%.</w:t>
      </w:r>
    </w:p>
    <w:p>
      <w:pPr>
        <w:pStyle w:val="BodyText"/>
      </w:pPr>
      <w:r>
        <w:t xml:space="preserve">Figure 2 shows microbiota composition (Aitchison distance) for the first four principal components within the CC (A) and within the HOME (B) group. The starting points of the arrows indicate the microbiota composition in space at PRE, whereas the endpoint corresponds the composition at POST. There appear to be no differences in in location between CC and HOME at PRE or POST. Also we did not identify a uniform direction of the shifts over time in either group. Instead, microbiota composition development between time points appears to be highly individual.</w:t>
      </w:r>
    </w:p>
    <w:p>
      <w:pPr>
        <w:pStyle w:val="FigureWithCaption"/>
      </w:pPr>
      <w:r>
        <w:drawing>
          <wp:inline>
            <wp:extent cx="5334000" cy="2667000"/>
            <wp:effectExtent b="0" l="0" r="0" t="0"/>
            <wp:docPr descr="Development of microbiota composition over time within CC (A and C) and no CC (B and D)." title="" id="1" name="Picture"/>
            <a:graphic>
              <a:graphicData uri="http://schemas.openxmlformats.org/drawingml/2006/picture">
                <pic:pic>
                  <pic:nvPicPr>
                    <pic:cNvPr descr="results_files/figure-docx/unnamed-chunk-5-1.png" id="0" name="Picture"/>
                    <pic:cNvPicPr>
                      <a:picLocks noChangeArrowheads="1" noChangeAspect="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Development of microbiota composition over time within CC (A and C) and no CC (B and D).</w:t>
      </w:r>
    </w:p>
    <w:p>
      <w:pPr>
        <w:pStyle w:val="Heading2"/>
      </w:pPr>
      <w:bookmarkStart w:id="24" w:name="effects-of-cc-on-microbiota-composition"/>
      <w:bookmarkEnd w:id="24"/>
      <w:r>
        <w:t xml:space="preserve">3.2 Effects of CC on microbiota composition</w:t>
      </w:r>
    </w:p>
    <w:p>
      <w:pPr>
        <w:pStyle w:val="FirstParagraph"/>
      </w:pPr>
      <w:r>
        <w:t xml:space="preserve">We used age and the average number of breast-feedings per day as covariates in all linear models. Table 1 shows these and other variables for both groups. There was a significant difference in age between groups</w:t>
      </w:r>
      <w:r>
        <w:t xml:space="preserve"> </w:t>
      </w:r>
      <w:r>
        <w:rPr>
          <w:i/>
        </w:rPr>
        <w:t xml:space="preserve">t</w:t>
      </w:r>
      <w:r>
        <w:t xml:space="preserve">(62.42) = -4.54,</w:t>
      </w:r>
      <w:r>
        <w:t xml:space="preserve"> </w:t>
      </w:r>
      <w:r>
        <w:rPr>
          <w:i/>
        </w:rPr>
        <w:t xml:space="preserve">p</w:t>
      </w:r>
      <w:r>
        <w:t xml:space="preserve"> </w:t>
      </w:r>
      <w:r>
        <w:t xml:space="preserve">&lt; .001. Besides that, there were no difference between groups for any of the variables.</w:t>
      </w:r>
    </w:p>
    <w:p>
      <w:pPr>
        <w:pStyle w:val="Compact"/>
      </w:pPr>
      <w:r>
        <w:t xml:space="preserve">(#tab:unnamed-chunk-6)</w:t>
      </w:r>
    </w:p>
    <w:p>
      <w:pPr>
        <w:pStyle w:val="Compact"/>
      </w:pPr>
      <w:r>
        <w:rPr>
          <w:i/>
        </w:rPr>
        <w:t xml:space="preserve">Descriptive statistics for demographic variables of infants and mothers included in the present study.</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CC (n = 49)</w:t>
            </w:r>
          </w:p>
        </w:tc>
        <w:tc>
          <w:tcPr>
            <w:tcBorders>
              <w:bottom w:val="single"/>
            </w:tcBorders>
            <w:vAlign w:val="bottom"/>
          </w:tcPr>
          <w:p>
            <w:pPr>
              <w:pStyle w:val="Compact"/>
              <w:jc w:val="left"/>
            </w:pPr>
            <w:r>
              <w:t xml:space="preserve">HOME (n = 49)</w:t>
            </w:r>
          </w:p>
        </w:tc>
      </w:tr>
      <w:tr>
        <w:tc>
          <w:p>
            <w:pPr>
              <w:pStyle w:val="Compact"/>
              <w:jc w:val="left"/>
            </w:pPr>
            <w:r>
              <w:rPr>
                <w:b/>
              </w:rPr>
              <w:t xml:space="preserve">Gender</w:t>
            </w:r>
          </w:p>
        </w:tc>
        <w:tc>
          <w:p>
            <w:pPr>
              <w:pStyle w:val="Compact"/>
            </w:pPr>
          </w:p>
        </w:tc>
        <w:tc>
          <w:p>
            <w:pPr>
              <w:pStyle w:val="Compact"/>
            </w:pPr>
          </w:p>
        </w:tc>
      </w:tr>
      <w:tr>
        <w:tc>
          <w:p>
            <w:pPr>
              <w:pStyle w:val="Compact"/>
              <w:jc w:val="left"/>
            </w:pPr>
            <w:r>
              <w:t xml:space="preserve">   male</w:t>
            </w:r>
          </w:p>
        </w:tc>
        <w:tc>
          <w:p>
            <w:pPr>
              <w:pStyle w:val="Compact"/>
              <w:jc w:val="left"/>
            </w:pPr>
            <w:r>
              <w:t xml:space="preserve">29</w:t>
            </w:r>
          </w:p>
        </w:tc>
        <w:tc>
          <w:p>
            <w:pPr>
              <w:pStyle w:val="Compact"/>
              <w:jc w:val="left"/>
            </w:pPr>
            <w:r>
              <w:t xml:space="preserve">25</w:t>
            </w:r>
          </w:p>
        </w:tc>
      </w:tr>
      <w:tr>
        <w:tc>
          <w:p>
            <w:pPr>
              <w:pStyle w:val="Compact"/>
              <w:jc w:val="left"/>
            </w:pPr>
            <w:r>
              <w:t xml:space="preserve">   female</w:t>
            </w:r>
          </w:p>
        </w:tc>
        <w:tc>
          <w:p>
            <w:pPr>
              <w:pStyle w:val="Compact"/>
              <w:jc w:val="left"/>
            </w:pPr>
            <w:r>
              <w:t xml:space="preserve">20</w:t>
            </w:r>
          </w:p>
        </w:tc>
        <w:tc>
          <w:p>
            <w:pPr>
              <w:pStyle w:val="Compact"/>
              <w:jc w:val="left"/>
            </w:pPr>
            <w:r>
              <w:t xml:space="preserve">24</w:t>
            </w:r>
          </w:p>
        </w:tc>
      </w:tr>
      <w:tr>
        <w:tc>
          <w:p>
            <w:pPr>
              <w:pStyle w:val="Compact"/>
              <w:jc w:val="left"/>
            </w:pPr>
            <w:r>
              <w:rPr>
                <w:b/>
              </w:rPr>
              <w:t xml:space="preserve">Age (weeks)</w:t>
            </w:r>
          </w:p>
        </w:tc>
        <w:tc>
          <w:p>
            <w:pPr>
              <w:pStyle w:val="Compact"/>
            </w:pPr>
          </w:p>
        </w:tc>
        <w:tc>
          <w:p>
            <w:pPr>
              <w:pStyle w:val="Compact"/>
            </w:pPr>
          </w:p>
        </w:tc>
      </w:tr>
      <w:tr>
        <w:tc>
          <w:p>
            <w:pPr>
              <w:pStyle w:val="Compact"/>
              <w:jc w:val="left"/>
            </w:pPr>
            <w:r>
              <w:t xml:space="preserve">   mean (sd)</w:t>
            </w:r>
          </w:p>
        </w:tc>
        <w:tc>
          <w:p>
            <w:pPr>
              <w:pStyle w:val="Compact"/>
              <w:jc w:val="left"/>
            </w:pPr>
            <w:r>
              <w:t xml:space="preserve">12.8</w:t>
            </w:r>
            <w:r>
              <w:t xml:space="preserve"> </w:t>
            </w:r>
            <m:oMath>
              <m:r>
                <m:t>±</m:t>
              </m:r>
            </m:oMath>
            <w:r>
              <w:t xml:space="preserve"> </w:t>
            </w:r>
            <w:r>
              <w:t xml:space="preserve">2.3</w:t>
            </w:r>
          </w:p>
        </w:tc>
        <w:tc>
          <w:p>
            <w:pPr>
              <w:pStyle w:val="Compact"/>
              <w:jc w:val="left"/>
            </w:pPr>
            <w:r>
              <w:t xml:space="preserve">11.2</w:t>
            </w:r>
            <w:r>
              <w:t xml:space="preserve"> </w:t>
            </w:r>
            <m:oMath>
              <m:r>
                <m:t>±</m:t>
              </m:r>
            </m:oMath>
            <w:r>
              <w:t xml:space="preserve"> </w:t>
            </w:r>
            <w:r>
              <w:t xml:space="preserve">0.9</w:t>
            </w:r>
          </w:p>
        </w:tc>
      </w:tr>
      <w:tr>
        <w:tc>
          <w:p>
            <w:pPr>
              <w:pStyle w:val="Compact"/>
              <w:jc w:val="left"/>
            </w:pPr>
            <w:r>
              <w:t xml:space="preserve">   min</w:t>
            </w:r>
          </w:p>
        </w:tc>
        <w:tc>
          <w:p>
            <w:pPr>
              <w:pStyle w:val="Compact"/>
              <w:jc w:val="left"/>
            </w:pPr>
            <w:r>
              <w:t xml:space="preserve">8.6</w:t>
            </w:r>
          </w:p>
        </w:tc>
        <w:tc>
          <w:p>
            <w:pPr>
              <w:pStyle w:val="Compact"/>
              <w:jc w:val="left"/>
            </w:pPr>
            <w:r>
              <w:t xml:space="preserve">10.0</w:t>
            </w:r>
          </w:p>
        </w:tc>
      </w:tr>
      <w:tr>
        <w:tc>
          <w:p>
            <w:pPr>
              <w:pStyle w:val="Compact"/>
              <w:jc w:val="left"/>
            </w:pPr>
            <w:r>
              <w:t xml:space="preserve">   max</w:t>
            </w:r>
          </w:p>
        </w:tc>
        <w:tc>
          <w:p>
            <w:pPr>
              <w:pStyle w:val="Compact"/>
              <w:jc w:val="left"/>
            </w:pPr>
            <w:r>
              <w:t xml:space="preserve">17.9</w:t>
            </w:r>
          </w:p>
        </w:tc>
        <w:tc>
          <w:p>
            <w:pPr>
              <w:pStyle w:val="Compact"/>
              <w:jc w:val="left"/>
            </w:pPr>
            <w:r>
              <w:t xml:space="preserve">13.1</w:t>
            </w:r>
          </w:p>
        </w:tc>
      </w:tr>
      <w:tr>
        <w:tc>
          <w:p>
            <w:pPr>
              <w:pStyle w:val="Compact"/>
              <w:jc w:val="left"/>
            </w:pPr>
            <w:r>
              <w:rPr>
                <w:b/>
              </w:rPr>
              <w:t xml:space="preserve">Maternal Education</w:t>
            </w:r>
          </w:p>
        </w:tc>
        <w:tc>
          <w:p>
            <w:pPr>
              <w:pStyle w:val="Compact"/>
            </w:pPr>
          </w:p>
        </w:tc>
        <w:tc>
          <w:p>
            <w:pPr>
              <w:pStyle w:val="Compact"/>
            </w:pPr>
          </w:p>
        </w:tc>
      </w:tr>
      <w:tr>
        <w:tc>
          <w:p>
            <w:pPr>
              <w:pStyle w:val="Compact"/>
              <w:jc w:val="left"/>
            </w:pPr>
            <w:r>
              <w:t xml:space="preserve">   mean (sd)</w:t>
            </w:r>
          </w:p>
        </w:tc>
        <w:tc>
          <w:p>
            <w:pPr>
              <w:pStyle w:val="Compact"/>
              <w:jc w:val="left"/>
            </w:pPr>
            <w:r>
              <w:t xml:space="preserve">32.9</w:t>
            </w:r>
            <w:r>
              <w:t xml:space="preserve"> </w:t>
            </w:r>
            <m:oMath>
              <m:r>
                <m:t>±</m:t>
              </m:r>
            </m:oMath>
            <w:r>
              <w:t xml:space="preserve"> </w:t>
            </w:r>
            <w:r>
              <w:t xml:space="preserve">3.0</w:t>
            </w:r>
          </w:p>
        </w:tc>
        <w:tc>
          <w:p>
            <w:pPr>
              <w:pStyle w:val="Compact"/>
              <w:jc w:val="left"/>
            </w:pPr>
            <w:r>
              <w:t xml:space="preserve">32.2</w:t>
            </w:r>
            <w:r>
              <w:t xml:space="preserve"> </w:t>
            </w:r>
            <m:oMath>
              <m:r>
                <m:t>±</m:t>
              </m:r>
            </m:oMath>
            <w:r>
              <w:t xml:space="preserve"> </w:t>
            </w:r>
            <w:r>
              <w:t xml:space="preserve">3.6</w:t>
            </w:r>
          </w:p>
        </w:tc>
      </w:tr>
      <w:tr>
        <w:tc>
          <w:p>
            <w:pPr>
              <w:pStyle w:val="Compact"/>
              <w:jc w:val="left"/>
            </w:pPr>
            <w:r>
              <w:t xml:space="preserve">   min</w:t>
            </w:r>
          </w:p>
        </w:tc>
        <w:tc>
          <w:p>
            <w:pPr>
              <w:pStyle w:val="Compact"/>
              <w:jc w:val="left"/>
            </w:pPr>
            <w:r>
              <w:t xml:space="preserve">25.1</w:t>
            </w:r>
          </w:p>
        </w:tc>
        <w:tc>
          <w:p>
            <w:pPr>
              <w:pStyle w:val="Compact"/>
              <w:jc w:val="left"/>
            </w:pPr>
            <w:r>
              <w:t xml:space="preserve">24.9</w:t>
            </w:r>
          </w:p>
        </w:tc>
      </w:tr>
      <w:tr>
        <w:tc>
          <w:p>
            <w:pPr>
              <w:pStyle w:val="Compact"/>
              <w:jc w:val="left"/>
            </w:pPr>
            <w:r>
              <w:t xml:space="preserve">   max</w:t>
            </w:r>
          </w:p>
        </w:tc>
        <w:tc>
          <w:p>
            <w:pPr>
              <w:pStyle w:val="Compact"/>
              <w:jc w:val="left"/>
            </w:pPr>
            <w:r>
              <w:t xml:space="preserve">42.0</w:t>
            </w:r>
          </w:p>
        </w:tc>
        <w:tc>
          <w:p>
            <w:pPr>
              <w:pStyle w:val="Compact"/>
              <w:jc w:val="left"/>
            </w:pPr>
            <w:r>
              <w:t xml:space="preserve">40.1</w:t>
            </w:r>
          </w:p>
        </w:tc>
      </w:tr>
      <w:tr>
        <w:tc>
          <w:p>
            <w:pPr>
              <w:pStyle w:val="Compact"/>
              <w:jc w:val="left"/>
            </w:pPr>
            <w:r>
              <w:rPr>
                <w:b/>
              </w:rPr>
              <w:t xml:space="preserve">Birthweight</w:t>
            </w:r>
          </w:p>
        </w:tc>
        <w:tc>
          <w:p>
            <w:pPr>
              <w:pStyle w:val="Compact"/>
            </w:pPr>
          </w:p>
        </w:tc>
        <w:tc>
          <w:p>
            <w:pPr>
              <w:pStyle w:val="Compact"/>
            </w:pPr>
          </w:p>
        </w:tc>
      </w:tr>
      <w:tr>
        <w:tc>
          <w:p>
            <w:pPr>
              <w:pStyle w:val="Compact"/>
              <w:jc w:val="left"/>
            </w:pPr>
            <w:r>
              <w:t xml:space="preserve">   mean (sd)</w:t>
            </w:r>
          </w:p>
        </w:tc>
        <w:tc>
          <w:p>
            <w:pPr>
              <w:pStyle w:val="Compact"/>
              <w:jc w:val="left"/>
            </w:pPr>
            <w:r>
              <w:t xml:space="preserve">3630.4</w:t>
            </w:r>
            <w:r>
              <w:t xml:space="preserve"> </w:t>
            </w:r>
            <m:oMath>
              <m:r>
                <m:t>±</m:t>
              </m:r>
            </m:oMath>
            <w:r>
              <w:t xml:space="preserve"> </w:t>
            </w:r>
            <w:r>
              <w:t xml:space="preserve">508.9</w:t>
            </w:r>
          </w:p>
        </w:tc>
        <w:tc>
          <w:p>
            <w:pPr>
              <w:pStyle w:val="Compact"/>
              <w:jc w:val="left"/>
            </w:pPr>
            <w:r>
              <w:t xml:space="preserve">3636.0</w:t>
            </w:r>
            <w:r>
              <w:t xml:space="preserve"> </w:t>
            </w:r>
            <m:oMath>
              <m:r>
                <m:t>±</m:t>
              </m:r>
            </m:oMath>
            <w:r>
              <w:t xml:space="preserve"> </w:t>
            </w:r>
            <w:r>
              <w:t xml:space="preserve">438.4</w:t>
            </w:r>
          </w:p>
        </w:tc>
      </w:tr>
      <w:tr>
        <w:tc>
          <w:p>
            <w:pPr>
              <w:pStyle w:val="Compact"/>
              <w:jc w:val="left"/>
            </w:pPr>
            <w:r>
              <w:t xml:space="preserve">   min</w:t>
            </w:r>
          </w:p>
        </w:tc>
        <w:tc>
          <w:p>
            <w:pPr>
              <w:pStyle w:val="Compact"/>
              <w:jc w:val="left"/>
            </w:pPr>
            <w:r>
              <w:t xml:space="preserve">2708</w:t>
            </w:r>
          </w:p>
        </w:tc>
        <w:tc>
          <w:p>
            <w:pPr>
              <w:pStyle w:val="Compact"/>
              <w:jc w:val="left"/>
            </w:pPr>
            <w:r>
              <w:t xml:space="preserve">2810</w:t>
            </w:r>
          </w:p>
        </w:tc>
      </w:tr>
      <w:tr>
        <w:tc>
          <w:p>
            <w:pPr>
              <w:pStyle w:val="Compact"/>
              <w:jc w:val="left"/>
            </w:pPr>
            <w:r>
              <w:t xml:space="preserve">   max</w:t>
            </w:r>
          </w:p>
        </w:tc>
        <w:tc>
          <w:p>
            <w:pPr>
              <w:pStyle w:val="Compact"/>
              <w:jc w:val="left"/>
            </w:pPr>
            <w:r>
              <w:t xml:space="preserve">4600</w:t>
            </w:r>
          </w:p>
        </w:tc>
        <w:tc>
          <w:p>
            <w:pPr>
              <w:pStyle w:val="Compact"/>
              <w:jc w:val="left"/>
            </w:pPr>
            <w:r>
              <w:t xml:space="preserve">4700</w:t>
            </w:r>
          </w:p>
        </w:tc>
      </w:tr>
      <w:tr>
        <w:tc>
          <w:p>
            <w:pPr>
              <w:pStyle w:val="Compact"/>
              <w:jc w:val="left"/>
            </w:pPr>
            <w:r>
              <w:rPr>
                <w:b/>
              </w:rPr>
              <w:t xml:space="preserve">Breastfeeding (Birth - PRE)</w:t>
            </w:r>
          </w:p>
        </w:tc>
        <w:tc>
          <w:p>
            <w:pPr>
              <w:pStyle w:val="Compact"/>
            </w:pPr>
          </w:p>
        </w:tc>
        <w:tc>
          <w:p>
            <w:pPr>
              <w:pStyle w:val="Compact"/>
            </w:pPr>
          </w:p>
        </w:tc>
      </w:tr>
      <w:tr>
        <w:tc>
          <w:p>
            <w:pPr>
              <w:pStyle w:val="Compact"/>
              <w:jc w:val="left"/>
            </w:pPr>
            <w:r>
              <w:t xml:space="preserve">   mean (sd)</w:t>
            </w:r>
          </w:p>
        </w:tc>
        <w:tc>
          <w:p>
            <w:pPr>
              <w:pStyle w:val="Compact"/>
              <w:jc w:val="left"/>
            </w:pPr>
            <w:r>
              <w:t xml:space="preserve">5.1</w:t>
            </w:r>
            <w:r>
              <w:t xml:space="preserve"> </w:t>
            </w:r>
            <m:oMath>
              <m:r>
                <m:t>±</m:t>
              </m:r>
            </m:oMath>
            <w:r>
              <w:t xml:space="preserve"> </w:t>
            </w:r>
            <w:r>
              <w:t xml:space="preserve">2.9</w:t>
            </w:r>
          </w:p>
        </w:tc>
        <w:tc>
          <w:p>
            <w:pPr>
              <w:pStyle w:val="Compact"/>
              <w:jc w:val="left"/>
            </w:pPr>
            <w:r>
              <w:t xml:space="preserve">6.0</w:t>
            </w:r>
            <w:r>
              <w:t xml:space="preserve"> </w:t>
            </w:r>
            <m:oMath>
              <m:r>
                <m:t>±</m:t>
              </m:r>
            </m:oMath>
            <w:r>
              <w:t xml:space="preserve"> </w:t>
            </w:r>
            <w:r>
              <w:t xml:space="preserve">2.2</w:t>
            </w:r>
          </w:p>
        </w:tc>
      </w:tr>
      <w:tr>
        <w:tc>
          <w:p>
            <w:pPr>
              <w:pStyle w:val="Compact"/>
              <w:jc w:val="left"/>
            </w:pPr>
            <w:r>
              <w:t xml:space="preserve">   min</w:t>
            </w:r>
          </w:p>
        </w:tc>
        <w:tc>
          <w:p>
            <w:pPr>
              <w:pStyle w:val="Compact"/>
              <w:jc w:val="left"/>
            </w:pPr>
            <w:r>
              <w:t xml:space="preserve">0</w:t>
            </w:r>
          </w:p>
        </w:tc>
        <w:tc>
          <w:p>
            <w:pPr>
              <w:pStyle w:val="Compact"/>
              <w:jc w:val="left"/>
            </w:pPr>
            <w:r>
              <w:t xml:space="preserve">0</w:t>
            </w:r>
          </w:p>
        </w:tc>
      </w:tr>
      <w:tr>
        <w:tc>
          <w:p>
            <w:pPr>
              <w:pStyle w:val="Compact"/>
              <w:jc w:val="left"/>
            </w:pPr>
            <w:r>
              <w:t xml:space="preserve">   max</w:t>
            </w:r>
          </w:p>
        </w:tc>
        <w:tc>
          <w:p>
            <w:pPr>
              <w:pStyle w:val="Compact"/>
              <w:jc w:val="left"/>
            </w:pPr>
            <w:r>
              <w:t xml:space="preserve">8.9</w:t>
            </w:r>
          </w:p>
        </w:tc>
        <w:tc>
          <w:p>
            <w:pPr>
              <w:pStyle w:val="Compact"/>
              <w:jc w:val="left"/>
            </w:pPr>
            <w:r>
              <w:t xml:space="preserve">11.4</w:t>
            </w:r>
          </w:p>
        </w:tc>
      </w:tr>
      <w:tr>
        <w:tc>
          <w:p>
            <w:pPr>
              <w:pStyle w:val="Compact"/>
              <w:jc w:val="left"/>
            </w:pPr>
            <w:r>
              <w:rPr>
                <w:b/>
              </w:rPr>
              <w:t xml:space="preserve">Breastfeeding (PRE - POST)</w:t>
            </w:r>
          </w:p>
        </w:tc>
        <w:tc>
          <w:p>
            <w:pPr>
              <w:pStyle w:val="Compact"/>
            </w:pPr>
          </w:p>
        </w:tc>
        <w:tc>
          <w:p>
            <w:pPr>
              <w:pStyle w:val="Compact"/>
            </w:pPr>
          </w:p>
        </w:tc>
      </w:tr>
      <w:tr>
        <w:tc>
          <w:p>
            <w:pPr>
              <w:pStyle w:val="Compact"/>
              <w:jc w:val="left"/>
            </w:pPr>
            <w:r>
              <w:t xml:space="preserve">   mean (sd)</w:t>
            </w:r>
          </w:p>
        </w:tc>
        <w:tc>
          <w:p>
            <w:pPr>
              <w:pStyle w:val="Compact"/>
              <w:jc w:val="left"/>
            </w:pPr>
            <w:r>
              <w:t xml:space="preserve">4.0</w:t>
            </w:r>
            <w:r>
              <w:t xml:space="preserve"> </w:t>
            </w:r>
            <m:oMath>
              <m:r>
                <m:t>±</m:t>
              </m:r>
            </m:oMath>
            <w:r>
              <w:t xml:space="preserve"> </w:t>
            </w:r>
            <w:r>
              <w:t xml:space="preserve">2.8</w:t>
            </w:r>
          </w:p>
        </w:tc>
        <w:tc>
          <w:p>
            <w:pPr>
              <w:pStyle w:val="Compact"/>
              <w:jc w:val="left"/>
            </w:pPr>
            <w:r>
              <w:t xml:space="preserve">3.8</w:t>
            </w:r>
            <w:r>
              <w:t xml:space="preserve"> </w:t>
            </w:r>
            <m:oMath>
              <m:r>
                <m:t>±</m:t>
              </m:r>
            </m:oMath>
            <w:r>
              <w:t xml:space="preserve"> </w:t>
            </w:r>
            <w:r>
              <w:t xml:space="preserve">3.0</w:t>
            </w:r>
          </w:p>
        </w:tc>
      </w:tr>
      <w:tr>
        <w:tc>
          <w:p>
            <w:pPr>
              <w:pStyle w:val="Compact"/>
              <w:jc w:val="left"/>
            </w:pPr>
            <w:r>
              <w:t xml:space="preserve">   min</w:t>
            </w:r>
          </w:p>
        </w:tc>
        <w:tc>
          <w:p>
            <w:pPr>
              <w:pStyle w:val="Compact"/>
              <w:jc w:val="left"/>
            </w:pPr>
            <w:r>
              <w:t xml:space="preserve">0</w:t>
            </w:r>
          </w:p>
        </w:tc>
        <w:tc>
          <w:p>
            <w:pPr>
              <w:pStyle w:val="Compact"/>
              <w:jc w:val="left"/>
            </w:pPr>
            <w:r>
              <w:t xml:space="preserve">0</w:t>
            </w:r>
          </w:p>
        </w:tc>
      </w:tr>
      <w:tr>
        <w:tc>
          <w:p>
            <w:pPr>
              <w:pStyle w:val="Compact"/>
              <w:jc w:val="left"/>
            </w:pPr>
            <w:r>
              <w:t xml:space="preserve">   max</w:t>
            </w:r>
          </w:p>
        </w:tc>
        <w:tc>
          <w:p>
            <w:pPr>
              <w:pStyle w:val="Compact"/>
              <w:jc w:val="left"/>
            </w:pPr>
            <w:r>
              <w:t xml:space="preserve">8.5</w:t>
            </w:r>
          </w:p>
        </w:tc>
        <w:tc>
          <w:p>
            <w:pPr>
              <w:pStyle w:val="Compact"/>
              <w:jc w:val="left"/>
            </w:pPr>
            <w:r>
              <w:t xml:space="preserve">8.5</w:t>
            </w:r>
          </w:p>
        </w:tc>
      </w:tr>
    </w:tbl>
    <w:p>
      <w:pPr>
        <w:pStyle w:val="Compact"/>
      </w:pPr>
      <w:r>
        <w:rPr>
          <w:i/>
        </w:rPr>
        <w:t xml:space="preserve">Note.</w:t>
      </w:r>
      <w:r>
        <w:t xml:space="preserve"> </w:t>
      </w:r>
      <w:r>
        <w:t xml:space="preserve">CC = childcare. Breastfeeding refers to the average number of breast-feedings per day.</w:t>
      </w:r>
    </w:p>
    <w:p>
      <w:pPr>
        <w:pStyle w:val="Heading2"/>
      </w:pPr>
      <w:bookmarkStart w:id="25" w:name="permutational-multivariate-anova"/>
      <w:bookmarkEnd w:id="25"/>
      <w:r>
        <w:t xml:space="preserve">3.2.1 Permutational multivariate ANOVA</w:t>
      </w:r>
    </w:p>
    <w:p>
      <w:pPr>
        <w:pStyle w:val="FirstParagraph"/>
      </w:pPr>
      <w:r>
        <w:t xml:space="preserve">We compared the overall community composition using PERMANOVA based on Aitchison distance metric. An assumption for PERMANOVA is multivariate homogeneity of group dispersions (variances)</w:t>
      </w:r>
      <w:r>
        <w:t xml:space="preserve"> </w:t>
      </w:r>
      <w:r>
        <w:t xml:space="preserve">[@andersonPermutationalMultivariateAnalysis2017]</w:t>
      </w:r>
      <w:r>
        <w:t xml:space="preserve">. We used the function</w:t>
      </w:r>
      <w:r>
        <w:t xml:space="preserve"> </w:t>
      </w:r>
      <w:r>
        <w:rPr>
          <w:i/>
        </w:rPr>
        <w:t xml:space="preserve">betadisper</w:t>
      </w:r>
      <w:r>
        <w:t xml:space="preserve"> </w:t>
      </w:r>
      <w:r>
        <w:t xml:space="preserve">[@R-vegan]</w:t>
      </w:r>
      <w:r>
        <w:t xml:space="preserve">, which utilizes the</w:t>
      </w:r>
      <w:r>
        <w:t xml:space="preserve"> </w:t>
      </w:r>
      <w:r>
        <w:rPr>
          <w:i/>
        </w:rPr>
        <w:t xml:space="preserve">PERMDISP2</w:t>
      </w:r>
      <w:r>
        <w:t xml:space="preserve"> </w:t>
      </w:r>
      <w:r>
        <w:t xml:space="preserve">procedure as implemented by Marti Anderson and found that this assumption was met for the factors</w:t>
      </w:r>
      <w:r>
        <w:t xml:space="preserve"> </w:t>
      </w:r>
      <w:r>
        <w:rPr>
          <w:i/>
        </w:rPr>
        <w:t xml:space="preserve">childcare</w:t>
      </w:r>
      <w:r>
        <w:t xml:space="preserve"> </w:t>
      </w:r>
      <w:r>
        <w:rPr>
          <w:i/>
        </w:rPr>
        <w:t xml:space="preserve">F</w:t>
      </w:r>
      <w:r>
        <w:t xml:space="preserve">(1,194) = 0.19,</w:t>
      </w:r>
      <w:r>
        <w:t xml:space="preserve"> </w:t>
      </w:r>
      <w:r>
        <w:rPr>
          <w:i/>
        </w:rPr>
        <w:t xml:space="preserve">p</w:t>
      </w:r>
      <w:r>
        <w:t xml:space="preserve"> </w:t>
      </w:r>
      <w:r>
        <w:t xml:space="preserve">= .188,</w:t>
      </w:r>
      <w:r>
        <w:t xml:space="preserve"> </w:t>
      </w:r>
      <w:r>
        <w:rPr>
          <w:i/>
        </w:rPr>
        <w:t xml:space="preserve">time</w:t>
      </w:r>
      <w:r>
        <w:t xml:space="preserve"> </w:t>
      </w:r>
      <w:r>
        <w:rPr>
          <w:i/>
        </w:rPr>
        <w:t xml:space="preserve">F</w:t>
      </w:r>
      <w:r>
        <w:t xml:space="preserve">(1,194) = 1.73,</w:t>
      </w:r>
      <w:r>
        <w:t xml:space="preserve"> </w:t>
      </w:r>
      <w:r>
        <w:rPr>
          <w:i/>
        </w:rPr>
        <w:t xml:space="preserve">p</w:t>
      </w:r>
      <w:r>
        <w:t xml:space="preserve"> </w:t>
      </w:r>
      <w:r>
        <w:t xml:space="preserve">= .190 and the subgroups that result out of the interaction of</w:t>
      </w:r>
      <w:r>
        <w:t xml:space="preserve"> </w:t>
      </w:r>
      <w:r>
        <w:rPr>
          <w:i/>
        </w:rPr>
        <w:t xml:space="preserve">time</w:t>
      </w:r>
      <w:r>
        <w:t xml:space="preserve"> </w:t>
      </w:r>
      <w:r>
        <w:t xml:space="preserve">and</w:t>
      </w:r>
      <w:r>
        <w:t xml:space="preserve"> </w:t>
      </w:r>
      <w:r>
        <w:rPr>
          <w:i/>
        </w:rPr>
        <w:t xml:space="preserve">cc</w:t>
      </w:r>
      <w:r>
        <w:t xml:space="preserve"> </w:t>
      </w:r>
      <w:r>
        <w:rPr>
          <w:i/>
        </w:rPr>
        <w:t xml:space="preserve">F</w:t>
      </w:r>
      <w:r>
        <w:t xml:space="preserve">(3,192) = 1.19,</w:t>
      </w:r>
      <w:r>
        <w:t xml:space="preserve"> </w:t>
      </w:r>
      <w:r>
        <w:rPr>
          <w:i/>
        </w:rPr>
        <w:t xml:space="preserve">p</w:t>
      </w:r>
      <w:r>
        <w:t xml:space="preserve"> </w:t>
      </w:r>
      <w:r>
        <w:t xml:space="preserve">= .313. We did not find a significant effect of CC over time on overall community composition (see table x). Breastfeeding and age significantly predicted overall community composition. Figure x shows the genera that mostly changed as a function of each significant predictor.</w:t>
      </w:r>
    </w:p>
    <w:p>
      <w:pPr>
        <w:pStyle w:val="Compact"/>
      </w:pPr>
      <w:r>
        <w:t xml:space="preserve">(#tab:unnamed-chunk-7)</w:t>
      </w:r>
    </w:p>
    <w:p>
      <w:pPr>
        <w:pStyle w:val="Compact"/>
      </w:pPr>
      <w:r>
        <w:rPr>
          <w:i/>
        </w:rPr>
        <w:t xml:space="preserve">Table x. Model Output PERMANOVA</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 Parameter</w:t>
            </w:r>
          </w:p>
        </w:tc>
        <w:tc>
          <w:tcPr>
            <w:tcBorders>
              <w:bottom w:val="single"/>
            </w:tcBorders>
            <w:vAlign w:val="bottom"/>
          </w:tcPr>
          <w:p>
            <w:pPr>
              <w:pStyle w:val="Compact"/>
              <w:jc w:val="left"/>
            </w:pPr>
            <w:r>
              <w:t xml:space="preserve">Sum of Squares</w:t>
            </w:r>
          </w:p>
        </w:tc>
        <w:tc>
          <w:tcPr>
            <w:tcBorders>
              <w:bottom w:val="single"/>
            </w:tcBorders>
            <w:vAlign w:val="bottom"/>
          </w:tcPr>
          <w:p>
            <w:pPr>
              <w:pStyle w:val="Compact"/>
              <w:jc w:val="left"/>
            </w:pPr>
            <w:r>
              <w:t xml:space="preserve">Mean Sum of Squares</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Df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R Square</w:t>
            </w:r>
          </w:p>
        </w:tc>
      </w:tr>
      <w:tr>
        <w:tc>
          <w:p>
            <w:pPr>
              <w:pStyle w:val="Compact"/>
              <w:jc w:val="left"/>
            </w:pPr>
            <w:r>
              <w:t xml:space="preserve">time</w:t>
            </w:r>
          </w:p>
        </w:tc>
        <w:tc>
          <w:p>
            <w:pPr>
              <w:pStyle w:val="Compact"/>
              <w:jc w:val="left"/>
            </w:pPr>
            <w:r>
              <w:t xml:space="preserve">58.44</w:t>
            </w:r>
          </w:p>
        </w:tc>
        <w:tc>
          <w:p>
            <w:pPr>
              <w:pStyle w:val="Compact"/>
              <w:jc w:val="left"/>
            </w:pPr>
            <w:r>
              <w:t xml:space="preserve">58.444</w:t>
            </w:r>
          </w:p>
        </w:tc>
        <w:tc>
          <w:p>
            <w:pPr>
              <w:pStyle w:val="Compact"/>
              <w:jc w:val="left"/>
            </w:pPr>
            <w:r>
              <w:t xml:space="preserve">1.469</w:t>
            </w:r>
          </w:p>
        </w:tc>
        <w:tc>
          <w:p>
            <w:pPr>
              <w:pStyle w:val="Compact"/>
              <w:jc w:val="left"/>
            </w:pPr>
            <w:r>
              <w:t xml:space="preserve">1.00</w:t>
            </w:r>
          </w:p>
        </w:tc>
        <w:tc>
          <w:p>
            <w:pPr>
              <w:pStyle w:val="Compact"/>
              <w:jc w:val="left"/>
            </w:pPr>
            <w:r>
              <w:t xml:space="preserve">0.118</w:t>
            </w:r>
          </w:p>
        </w:tc>
        <w:tc>
          <w:p>
            <w:pPr>
              <w:pStyle w:val="Compact"/>
              <w:jc w:val="left"/>
            </w:pPr>
            <w:r>
              <w:t xml:space="preserve">0.01</w:t>
            </w:r>
          </w:p>
        </w:tc>
      </w:tr>
      <w:tr>
        <w:tc>
          <w:p>
            <w:pPr>
              <w:pStyle w:val="Compact"/>
              <w:jc w:val="left"/>
            </w:pPr>
            <w:r>
              <w:t xml:space="preserve">cc</w:t>
            </w:r>
          </w:p>
        </w:tc>
        <w:tc>
          <w:p>
            <w:pPr>
              <w:pStyle w:val="Compact"/>
              <w:jc w:val="left"/>
            </w:pPr>
            <w:r>
              <w:t xml:space="preserve">52.64</w:t>
            </w:r>
          </w:p>
        </w:tc>
        <w:tc>
          <w:p>
            <w:pPr>
              <w:pStyle w:val="Compact"/>
              <w:jc w:val="left"/>
            </w:pPr>
            <w:r>
              <w:t xml:space="preserve">52.636</w:t>
            </w:r>
          </w:p>
        </w:tc>
        <w:tc>
          <w:p>
            <w:pPr>
              <w:pStyle w:val="Compact"/>
              <w:jc w:val="left"/>
            </w:pPr>
            <w:r>
              <w:t xml:space="preserve">1.323</w:t>
            </w:r>
          </w:p>
        </w:tc>
        <w:tc>
          <w:p>
            <w:pPr>
              <w:pStyle w:val="Compact"/>
              <w:jc w:val="left"/>
            </w:pPr>
            <w:r>
              <w:t xml:space="preserve">1.00</w:t>
            </w:r>
          </w:p>
        </w:tc>
        <w:tc>
          <w:p>
            <w:pPr>
              <w:pStyle w:val="Compact"/>
              <w:jc w:val="left"/>
            </w:pPr>
            <w:r>
              <w:t xml:space="preserve">0.192</w:t>
            </w:r>
          </w:p>
        </w:tc>
        <w:tc>
          <w:p>
            <w:pPr>
              <w:pStyle w:val="Compact"/>
              <w:jc w:val="left"/>
            </w:pPr>
            <w:r>
              <w:t xml:space="preserve">0.01</w:t>
            </w:r>
          </w:p>
        </w:tc>
      </w:tr>
      <w:tr>
        <w:tc>
          <w:p>
            <w:pPr>
              <w:pStyle w:val="Compact"/>
              <w:jc w:val="left"/>
            </w:pPr>
            <w:r>
              <w:t xml:space="preserve">age_d_s</w:t>
            </w:r>
          </w:p>
        </w:tc>
        <w:tc>
          <w:p>
            <w:pPr>
              <w:pStyle w:val="Compact"/>
              <w:jc w:val="left"/>
            </w:pPr>
            <w:r>
              <w:t xml:space="preserve">79.55</w:t>
            </w:r>
          </w:p>
        </w:tc>
        <w:tc>
          <w:p>
            <w:pPr>
              <w:pStyle w:val="Compact"/>
              <w:jc w:val="left"/>
            </w:pPr>
            <w:r>
              <w:t xml:space="preserve">79.553</w:t>
            </w:r>
          </w:p>
        </w:tc>
        <w:tc>
          <w:p>
            <w:pPr>
              <w:pStyle w:val="Compact"/>
              <w:jc w:val="left"/>
            </w:pPr>
            <w:r>
              <w:t xml:space="preserve">2</w:t>
            </w:r>
          </w:p>
        </w:tc>
        <w:tc>
          <w:p>
            <w:pPr>
              <w:pStyle w:val="Compact"/>
              <w:jc w:val="left"/>
            </w:pPr>
            <w:r>
              <w:t xml:space="preserve">1.00</w:t>
            </w:r>
          </w:p>
        </w:tc>
        <w:tc>
          <w:p>
            <w:pPr>
              <w:pStyle w:val="Compact"/>
              <w:jc w:val="left"/>
            </w:pPr>
            <w:r>
              <w:t xml:space="preserve">0.023</w:t>
            </w:r>
          </w:p>
        </w:tc>
        <w:tc>
          <w:p>
            <w:pPr>
              <w:pStyle w:val="Compact"/>
              <w:jc w:val="left"/>
            </w:pPr>
            <w:r>
              <w:t xml:space="preserve">0.01</w:t>
            </w:r>
          </w:p>
        </w:tc>
      </w:tr>
      <w:tr>
        <w:tc>
          <w:p>
            <w:pPr>
              <w:pStyle w:val="Compact"/>
              <w:jc w:val="left"/>
            </w:pPr>
            <w:r>
              <w:t xml:space="preserve">bf_count_s</w:t>
            </w:r>
          </w:p>
        </w:tc>
        <w:tc>
          <w:p>
            <w:pPr>
              <w:pStyle w:val="Compact"/>
              <w:jc w:val="left"/>
            </w:pPr>
            <w:r>
              <w:t xml:space="preserve">197.06</w:t>
            </w:r>
          </w:p>
        </w:tc>
        <w:tc>
          <w:p>
            <w:pPr>
              <w:pStyle w:val="Compact"/>
              <w:jc w:val="left"/>
            </w:pPr>
            <w:r>
              <w:t xml:space="preserve">197.06</w:t>
            </w:r>
          </w:p>
        </w:tc>
        <w:tc>
          <w:p>
            <w:pPr>
              <w:pStyle w:val="Compact"/>
              <w:jc w:val="left"/>
            </w:pPr>
            <w:r>
              <w:t xml:space="preserve">4.954</w:t>
            </w:r>
          </w:p>
        </w:tc>
        <w:tc>
          <w:p>
            <w:pPr>
              <w:pStyle w:val="Compact"/>
              <w:jc w:val="left"/>
            </w:pPr>
            <w:r>
              <w:t xml:space="preserve">1.00</w:t>
            </w:r>
          </w:p>
        </w:tc>
        <w:tc>
          <w:p>
            <w:pPr>
              <w:pStyle w:val="Compact"/>
              <w:jc w:val="left"/>
            </w:pPr>
            <w:r>
              <w:t xml:space="preserve">0.001</w:t>
            </w:r>
          </w:p>
        </w:tc>
        <w:tc>
          <w:p>
            <w:pPr>
              <w:pStyle w:val="Compact"/>
              <w:jc w:val="left"/>
            </w:pPr>
            <w:r>
              <w:t xml:space="preserve">0.02</w:t>
            </w:r>
          </w:p>
        </w:tc>
      </w:tr>
      <w:tr>
        <w:tc>
          <w:p>
            <w:pPr>
              <w:pStyle w:val="Compact"/>
              <w:jc w:val="left"/>
            </w:pPr>
            <w:r>
              <w:t xml:space="preserve">time:cc</w:t>
            </w:r>
          </w:p>
        </w:tc>
        <w:tc>
          <w:p>
            <w:pPr>
              <w:pStyle w:val="Compact"/>
              <w:jc w:val="left"/>
            </w:pPr>
            <w:r>
              <w:t xml:space="preserve">36.23</w:t>
            </w:r>
          </w:p>
        </w:tc>
        <w:tc>
          <w:p>
            <w:pPr>
              <w:pStyle w:val="Compact"/>
              <w:jc w:val="left"/>
            </w:pPr>
            <w:r>
              <w:t xml:space="preserve">36.229</w:t>
            </w:r>
          </w:p>
        </w:tc>
        <w:tc>
          <w:p>
            <w:pPr>
              <w:pStyle w:val="Compact"/>
              <w:jc w:val="left"/>
            </w:pPr>
            <w:r>
              <w:t xml:space="preserve">0.911</w:t>
            </w:r>
          </w:p>
        </w:tc>
        <w:tc>
          <w:p>
            <w:pPr>
              <w:pStyle w:val="Compact"/>
              <w:jc w:val="left"/>
            </w:pPr>
            <w:r>
              <w:t xml:space="preserve">1.00</w:t>
            </w:r>
          </w:p>
        </w:tc>
        <w:tc>
          <w:p>
            <w:pPr>
              <w:pStyle w:val="Compact"/>
              <w:jc w:val="left"/>
            </w:pPr>
            <w:r>
              <w:t xml:space="preserve">0.506</w:t>
            </w:r>
          </w:p>
        </w:tc>
        <w:tc>
          <w:p>
            <w:pPr>
              <w:pStyle w:val="Compact"/>
              <w:jc w:val="left"/>
            </w:pPr>
            <w:r>
              <w:t xml:space="preserve">0.00</w:t>
            </w:r>
          </w:p>
        </w:tc>
      </w:tr>
      <w:tr>
        <w:tc>
          <w:p>
            <w:pPr>
              <w:pStyle w:val="Compact"/>
              <w:jc w:val="left"/>
            </w:pPr>
            <w:r>
              <w:t xml:space="preserve">Residuals</w:t>
            </w:r>
          </w:p>
        </w:tc>
        <w:tc>
          <w:p>
            <w:pPr>
              <w:pStyle w:val="Compact"/>
              <w:jc w:val="left"/>
            </w:pPr>
            <w:r>
              <w:t xml:space="preserve">7,558.55</w:t>
            </w:r>
          </w:p>
        </w:tc>
        <w:tc>
          <w:p>
            <w:pPr>
              <w:pStyle w:val="Compact"/>
              <w:jc w:val="left"/>
            </w:pPr>
            <w:r>
              <w:t xml:space="preserve">39.782</w:t>
            </w:r>
          </w:p>
        </w:tc>
        <w:tc>
          <w:p>
            <w:pPr>
              <w:pStyle w:val="Compact"/>
              <w:jc w:val="left"/>
            </w:pPr>
            <w:r>
              <w:t xml:space="preserve">-</w:t>
            </w:r>
          </w:p>
        </w:tc>
        <w:tc>
          <w:p>
            <w:pPr>
              <w:pStyle w:val="Compact"/>
              <w:jc w:val="left"/>
            </w:pPr>
            <w:r>
              <w:t xml:space="preserve">190.00</w:t>
            </w:r>
          </w:p>
        </w:tc>
        <w:tc>
          <w:p>
            <w:pPr>
              <w:pStyle w:val="Compact"/>
              <w:jc w:val="left"/>
            </w:pPr>
            <w:r>
              <w:t xml:space="preserve">-</w:t>
            </w:r>
          </w:p>
        </w:tc>
        <w:tc>
          <w:p>
            <w:pPr>
              <w:pStyle w:val="Compact"/>
              <w:jc w:val="left"/>
            </w:pPr>
            <w:r>
              <w:t xml:space="preserve">0.95</w:t>
            </w:r>
          </w:p>
        </w:tc>
      </w:tr>
      <w:tr>
        <w:tc>
          <w:p>
            <w:pPr>
              <w:pStyle w:val="Compact"/>
              <w:jc w:val="left"/>
            </w:pPr>
            <w:r>
              <w:t xml:space="preserve">Total</w:t>
            </w:r>
          </w:p>
        </w:tc>
        <w:tc>
          <w:p>
            <w:pPr>
              <w:pStyle w:val="Compact"/>
              <w:jc w:val="left"/>
            </w:pPr>
            <w:r>
              <w:t xml:space="preserve">7,982.47</w:t>
            </w:r>
          </w:p>
        </w:tc>
        <w:tc>
          <w:p>
            <w:pPr>
              <w:pStyle w:val="Compact"/>
              <w:jc w:val="left"/>
            </w:pPr>
            <w:r>
              <w:t xml:space="preserve">-</w:t>
            </w:r>
          </w:p>
        </w:tc>
        <w:tc>
          <w:p>
            <w:pPr>
              <w:pStyle w:val="Compact"/>
              <w:jc w:val="left"/>
            </w:pPr>
            <w:r>
              <w:t xml:space="preserve">-</w:t>
            </w:r>
          </w:p>
        </w:tc>
        <w:tc>
          <w:p>
            <w:pPr>
              <w:pStyle w:val="Compact"/>
              <w:jc w:val="left"/>
            </w:pPr>
            <w:r>
              <w:t xml:space="preserve">195.00</w:t>
            </w:r>
          </w:p>
        </w:tc>
        <w:tc>
          <w:p>
            <w:pPr>
              <w:pStyle w:val="Compact"/>
              <w:jc w:val="left"/>
            </w:pPr>
            <w:r>
              <w:t xml:space="preserve">-</w:t>
            </w:r>
          </w:p>
        </w:tc>
        <w:tc>
          <w:p>
            <w:pPr>
              <w:pStyle w:val="Compact"/>
              <w:jc w:val="left"/>
            </w:pPr>
            <w:r>
              <w:t xml:space="preserve">1.00</w:t>
            </w:r>
          </w:p>
        </w:tc>
      </w:tr>
    </w:tbl>
    <w:p>
      <w:pPr>
        <w:pStyle w:val="FigureWithCaption"/>
      </w:pPr>
      <w:r>
        <w:drawing>
          <wp:inline>
            <wp:extent cx="5334000" cy="2667000"/>
            <wp:effectExtent b="0" l="0" r="0" t="0"/>
            <wp:docPr descr="Top Taxa that differ most as a function of each predictor." title="" id="1" name="Picture"/>
            <a:graphic>
              <a:graphicData uri="http://schemas.openxmlformats.org/drawingml/2006/picture">
                <pic:pic>
                  <pic:nvPicPr>
                    <pic:cNvPr descr="results_files/figure-docx/unnamed-chunk-8-1.png" id="0" name="Picture"/>
                    <pic:cNvPicPr>
                      <a:picLocks noChangeArrowheads="1" noChangeAspect="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Top Taxa that differ most as a function of each predictor.</w:t>
      </w:r>
    </w:p>
    <w:p>
      <w:pPr>
        <w:pStyle w:val="Heading3"/>
      </w:pPr>
      <w:bookmarkStart w:id="27" w:name="differential-abundance-with-bayesian-glm"/>
      <w:bookmarkEnd w:id="27"/>
      <w:r>
        <w:t xml:space="preserve">3.3 Differential abundance with Bayesian GLM</w:t>
      </w:r>
    </w:p>
    <w:p>
      <w:pPr>
        <w:pStyle w:val="FirstParagraph"/>
      </w:pPr>
      <w:r>
        <w:t xml:space="preserve">We modeled clr-transformed bacterial abundance using the generalized Gaussian distribution with constant variance</w:t>
      </w:r>
      <w:r>
        <w:t xml:space="preserve"> </w:t>
      </w:r>
      <m:oMath>
        <m:r>
          <m:t>σ</m:t>
        </m:r>
      </m:oMath>
      <w:r>
        <w:t xml:space="preserve"> </w:t>
      </w:r>
      <w:r>
        <w:t xml:space="preserve">and skewness parameter</w:t>
      </w:r>
      <w:r>
        <w:t xml:space="preserve"> </w:t>
      </w:r>
      <m:oMath>
        <m:r>
          <m:t>α</m:t>
        </m:r>
      </m:oMath>
      <w:r>
        <w:t xml:space="preserve">. The parameter</w:t>
      </w:r>
      <w:r>
        <w:t xml:space="preserve"> </w:t>
      </w:r>
      <m:oMath>
        <m:r>
          <m:t>μ</m:t>
        </m:r>
      </m:oMath>
      <w:r>
        <w:t xml:space="preserve"> </w:t>
      </w:r>
      <w:r>
        <w:t xml:space="preserve">is modeled as a linear function of the predictors</w:t>
      </w:r>
      <w:r>
        <w:t xml:space="preserve"> </w:t>
      </w:r>
      <w:r>
        <w:t xml:space="preserve">“</w:t>
      </w:r>
      <w:r>
        <w:t xml:space="preserve">cc</w:t>
      </w:r>
      <w:r>
        <w:t xml:space="preserve">”</w:t>
      </w:r>
      <w:r>
        <w:t xml:space="preserve">,</w:t>
      </w:r>
      <w:r>
        <w:t xml:space="preserve"> </w:t>
      </w:r>
      <w:r>
        <w:t xml:space="preserve">“</w:t>
      </w:r>
      <w:r>
        <w:t xml:space="preserve">time</w:t>
      </w:r>
      <w:r>
        <w:t xml:space="preserve">”</w:t>
      </w:r>
      <w:r>
        <w:t xml:space="preserve">,</w:t>
      </w:r>
      <w:r>
        <w:t xml:space="preserve"> </w:t>
      </w:r>
      <w:r>
        <w:t xml:space="preserve">“</w:t>
      </w:r>
      <w:r>
        <w:t xml:space="preserve">breastfeeding</w:t>
      </w:r>
      <w:r>
        <w:t xml:space="preserve">”</w:t>
      </w:r>
      <w:r>
        <w:t xml:space="preserve"> </w:t>
      </w:r>
      <w:r>
        <w:t xml:space="preserve">and</w:t>
      </w:r>
      <w:r>
        <w:t xml:space="preserve"> </w:t>
      </w:r>
      <w:r>
        <w:t xml:space="preserve">“</w:t>
      </w:r>
      <w:r>
        <w:t xml:space="preserve">age</w:t>
      </w:r>
      <w:r>
        <w:t xml:space="preserve">”</w:t>
      </w:r>
      <w:r>
        <w:t xml:space="preserve">. Note that</w:t>
      </w:r>
      <w:r>
        <w:t xml:space="preserve"> </w:t>
      </w:r>
      <m:oMath>
        <m:r>
          <m:t>μ</m:t>
        </m:r>
      </m:oMath>
      <w:r>
        <w:t xml:space="preserve"> </w:t>
      </w:r>
      <w:r>
        <w:t xml:space="preserve">does only represent the mean if</w:t>
      </w:r>
      <w:r>
        <w:t xml:space="preserve"> </w:t>
      </w:r>
      <m:oMath>
        <m:r>
          <m:t>α</m:t>
        </m:r>
        <m:r>
          <m:t>=</m:t>
        </m:r>
        <m:r>
          <m:t>0</m:t>
        </m:r>
      </m:oMath>
      <w:r>
        <w:t xml:space="preserve">. Figures x-x show the arithmetric means of the posterior distribution of the differences in</w:t>
      </w:r>
      <w:r>
        <w:t xml:space="preserve"> </w:t>
      </w:r>
      <m:oMath>
        <m:r>
          <m:t>μ</m:t>
        </m:r>
      </m:oMath>
      <w:r>
        <w:t xml:space="preserve"> </w:t>
      </w:r>
      <w:r>
        <w:t xml:space="preserve">between the groups with 95% highest probability density interval. Only those genera are shown that were different with high certainty in at least one comparison. Figure x shows the comparison between CC and HOME for each time point whereas figure x shows the difference between PRE and POST within each group. There are similar trends in all comparisons for</w:t>
      </w:r>
      <w:r>
        <w:t xml:space="preserve"> </w:t>
      </w:r>
      <w:r>
        <w:rPr>
          <w:i/>
        </w:rPr>
        <w:t xml:space="preserve">Streptococcus intermedius et rel</w:t>
      </w:r>
      <w:r>
        <w:t xml:space="preserve">,</w:t>
      </w:r>
      <w:r>
        <w:t xml:space="preserve"> </w:t>
      </w:r>
      <w:r>
        <w:rPr>
          <w:i/>
        </w:rPr>
        <w:t xml:space="preserve">Streptococcus mitis et rel</w:t>
      </w:r>
      <w:r>
        <w:t xml:space="preserve"> </w:t>
      </w:r>
      <w:r>
        <w:t xml:space="preserve">and</w:t>
      </w:r>
      <w:r>
        <w:t xml:space="preserve"> </w:t>
      </w:r>
      <w:r>
        <w:rPr>
          <w:i/>
        </w:rPr>
        <w:t xml:space="preserve">Granulicatella</w:t>
      </w:r>
      <w:r>
        <w:t xml:space="preserve">. However it seems as if this change is stronger in the CC group since here these genera are decreasing over time with higher certainty (</w:t>
      </w:r>
      <m:oMath>
        <m:r>
          <m:t>≥</m:t>
        </m:r>
        <m:r>
          <m:t>95</m:t>
        </m:r>
      </m:oMath>
      <w:r>
        <w:t xml:space="preserve"> </w:t>
      </w:r>
      <w:r>
        <w:t xml:space="preserve">%). Since we are looking at clr-transformed abundances it is also possible that all other genera increased relative to the above mentioned genera (</w:t>
      </w:r>
      <w:r>
        <w:rPr>
          <w:b/>
        </w:rPr>
        <w:t xml:space="preserve">at Gerben: you have more experience with interpreting clr-transformed abundances. I am still reading about this so please edit this so that we make those interpretation we can make</w:t>
      </w:r>
      <w:r>
        <w:t xml:space="preserve">).</w:t>
      </w:r>
    </w:p>
    <w:p>
      <w:pPr>
        <w:pStyle w:val="FigureWithCaption"/>
      </w:pPr>
      <w:r>
        <w:drawing>
          <wp:inline>
            <wp:extent cx="5334000" cy="5334000"/>
            <wp:effectExtent b="0" l="0" r="0" t="0"/>
            <wp:docPr descr="Posterior distribution of the difference in mu between CC and HOME." title="" id="1" name="Picture"/>
            <a:graphic>
              <a:graphicData uri="http://schemas.openxmlformats.org/drawingml/2006/picture">
                <pic:pic>
                  <pic:nvPicPr>
                    <pic:cNvPr descr="results_files/figure-docx/unnamed-chunk-9-1.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Posterior distribution of the difference in mu between CC and HOME.</w:t>
      </w:r>
    </w:p>
    <w:p>
      <w:pPr>
        <w:pStyle w:val="FigureWithCaption"/>
      </w:pPr>
      <w:r>
        <w:drawing>
          <wp:inline>
            <wp:extent cx="5334000" cy="5334000"/>
            <wp:effectExtent b="0" l="0" r="0" t="0"/>
            <wp:docPr descr="Posterior distribution of the difference in mu within CC and HOME." title="" id="1" name="Picture"/>
            <a:graphic>
              <a:graphicData uri="http://schemas.openxmlformats.org/drawingml/2006/picture">
                <pic:pic>
                  <pic:nvPicPr>
                    <pic:cNvPr descr="results_files/figure-docx/unnamed-chunk-10-1.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Posterior distribution of the difference in mu within CC and HOME.</w:t>
      </w:r>
    </w:p>
    <w:p>
      <w:pPr>
        <w:pStyle w:val="Heading3"/>
      </w:pPr>
      <w:bookmarkStart w:id="30" w:name="alpha-diversity-with-bayesian"/>
      <w:bookmarkEnd w:id="30"/>
      <w:r>
        <w:t xml:space="preserve">3.4 Alpha diversity with Bayesian</w:t>
      </w:r>
    </w:p>
    <w:p>
      <w:pPr>
        <w:pStyle w:val="FirstParagraph"/>
      </w:pPr>
      <w:r>
        <w:rPr>
          <w:b/>
        </w:rPr>
        <w:t xml:space="preserve">Should we maybe only report one? I reported three only be because the results are slightly different depending on the index)</w:t>
      </w:r>
    </w:p>
    <w:p>
      <w:pPr>
        <w:pStyle w:val="BodyText"/>
      </w:pPr>
      <w:r>
        <w:t xml:space="preserve">Alpha diversity (Shannon) was calculated using the</w:t>
      </w:r>
      <w:r>
        <w:t xml:space="preserve"> </w:t>
      </w:r>
      <w:r>
        <w:rPr>
          <w:i/>
        </w:rPr>
        <w:t xml:space="preserve">microbiome</w:t>
      </w:r>
      <w:r>
        <w:t xml:space="preserve"> </w:t>
      </w:r>
      <w:r>
        <w:t xml:space="preserve">package before the clr-transformation. Alpha-diversity was assumed to be Gaussian distributed with constant variance</w:t>
      </w:r>
      <w:r>
        <w:t xml:space="preserve"> </w:t>
      </w:r>
      <m:oMath>
        <m:r>
          <m:t>σ</m:t>
        </m:r>
      </m:oMath>
      <w:r>
        <w:t xml:space="preserve"> </w:t>
      </w:r>
      <w:r>
        <w:t xml:space="preserve">and skewness parameter</w:t>
      </w:r>
      <w:r>
        <w:t xml:space="preserve"> </w:t>
      </w:r>
      <m:oMath>
        <m:r>
          <m:t>α</m:t>
        </m:r>
      </m:oMath>
      <w:r>
        <w:t xml:space="preserve">. Table x shows the estimated difference in the parameter</w:t>
      </w:r>
      <w:r>
        <w:t xml:space="preserve"> </w:t>
      </w:r>
      <m:oMath>
        <m:r>
          <m:t>μ</m:t>
        </m:r>
      </m:oMath>
      <w:r>
        <w:t xml:space="preserve"> </w:t>
      </w:r>
      <w:r>
        <w:t xml:space="preserve">of the generalized Gaussian distribution between groups as well as the estimated</w:t>
      </w:r>
      <w:r>
        <w:t xml:space="preserve"> </w:t>
      </w:r>
      <m:oMath>
        <m:r>
          <m:t>α</m:t>
        </m:r>
      </m:oMath>
      <w:r>
        <w:t xml:space="preserve"> </w:t>
      </w:r>
      <w:r>
        <w:t xml:space="preserve">and</w:t>
      </w:r>
      <w:r>
        <w:t xml:space="preserve"> </w:t>
      </w:r>
      <m:oMath>
        <m:r>
          <m:t>σ</m:t>
        </m:r>
      </m:oMath>
      <w:r>
        <w:t xml:space="preserve">. There was no difference in alpha diversity within the HOME group or between HOME and CC before childcare entrance. Comparing</w:t>
      </w:r>
      <w:r>
        <w:t xml:space="preserve"> </w:t>
      </w:r>
      <m:oMath>
        <m:r>
          <m:t>μ</m:t>
        </m:r>
      </m:oMath>
      <w:r>
        <w:t xml:space="preserve"> </w:t>
      </w:r>
      <w:r>
        <w:t xml:space="preserve">within CC or between HOME and CC after entrance, we see that diversity is lower in the CC group with high certainty suggesting that CC leads to a decrease in alpha diversity. Figure 3 shows alpha diversity for each subject for each subgroup. It furthermore shows the highest probability density interval of</w:t>
      </w:r>
      <w:r>
        <w:t xml:space="preserve"> </w:t>
      </w:r>
      <m:oMath>
        <m:r>
          <m:t>μ</m:t>
        </m:r>
      </m:oMath>
      <w:r>
        <w:t xml:space="preserve"> </w:t>
      </w:r>
      <w:r>
        <w:t xml:space="preserve">for each group. We see that</w:t>
      </w:r>
      <w:r>
        <w:t xml:space="preserve"> </w:t>
      </w:r>
      <m:oMath>
        <m:r>
          <m:t>μ</m:t>
        </m:r>
      </m:oMath>
      <w:r>
        <w:t xml:space="preserve"> </w:t>
      </w:r>
      <w:r>
        <w:t xml:space="preserve">was highest in the CC group before entrance and lowest of all groups after CC attendance. However, we see large individual variation within each group and the difference in</w:t>
      </w:r>
      <w:r>
        <w:t xml:space="preserve"> </w:t>
      </w:r>
      <m:oMath>
        <m:r>
          <m:t>μ</m:t>
        </m:r>
      </m:oMath>
      <w:r>
        <w:t xml:space="preserve"> </w:t>
      </w:r>
      <w:r>
        <w:t xml:space="preserve">is small (table x).</w:t>
      </w:r>
    </w:p>
    <w:p>
      <w:pPr>
        <w:pStyle w:val="Compact"/>
      </w:pPr>
      <w:r>
        <w:t xml:space="preserve">(#tab:unnamed-chunk-11)</w:t>
      </w:r>
    </w:p>
    <w:p>
      <w:pPr>
        <w:pStyle w:val="Compact"/>
      </w:pPr>
      <w:r>
        <w:rPr>
          <w:i/>
        </w:rPr>
        <w:t xml:space="preserve">Estimated model parameters alpha diversity.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95% HPDI</w:t>
            </w:r>
          </w:p>
        </w:tc>
        <w:tc>
          <w:tcPr>
            <w:tcBorders>
              <w:bottom w:val="single"/>
            </w:tcBorders>
            <w:vAlign w:val="bottom"/>
          </w:tcPr>
          <w:p>
            <w:pPr>
              <w:pStyle w:val="Compact"/>
              <w:jc w:val="left"/>
            </w:pPr>
            <w:r>
              <w:t xml:space="preserve">P(Parameter &lt; 0)</w:t>
            </w:r>
          </w:p>
        </w:tc>
      </w:tr>
      <w:tr>
        <w:tc>
          <w:p>
            <w:pPr>
              <w:pStyle w:val="Compact"/>
              <w:jc w:val="left"/>
            </w:pPr>
            <w:r>
              <w:t xml:space="preserve">Alpha</w:t>
            </w:r>
          </w:p>
        </w:tc>
        <w:tc>
          <w:p>
            <w:pPr>
              <w:pStyle w:val="Compact"/>
              <w:jc w:val="left"/>
            </w:pPr>
            <w:r>
              <w:t xml:space="preserve">-1.60</w:t>
            </w:r>
          </w:p>
        </w:tc>
        <w:tc>
          <w:p>
            <w:pPr>
              <w:pStyle w:val="Compact"/>
              <w:jc w:val="left"/>
            </w:pPr>
            <w:r>
              <w:t xml:space="preserve">[-6.22, 2.21]</w:t>
            </w:r>
          </w:p>
        </w:tc>
        <w:tc>
          <w:p>
            <w:pPr>
              <w:pStyle w:val="Compact"/>
              <w:jc w:val="left"/>
            </w:pPr>
            <w:r>
              <w:t xml:space="preserve">0.75</w:t>
            </w:r>
          </w:p>
        </w:tc>
      </w:tr>
      <w:tr>
        <w:tc>
          <w:p>
            <w:pPr>
              <w:pStyle w:val="Compact"/>
              <w:jc w:val="left"/>
            </w:pPr>
            <w:r>
              <w:t xml:space="preserve">CC_POST - CC_PRE</w:t>
            </w:r>
          </w:p>
        </w:tc>
        <w:tc>
          <w:p>
            <w:pPr>
              <w:pStyle w:val="Compact"/>
              <w:jc w:val="left"/>
            </w:pPr>
            <w:r>
              <w:t xml:space="preserve">-0.29</w:t>
            </w:r>
          </w:p>
        </w:tc>
        <w:tc>
          <w:p>
            <w:pPr>
              <w:pStyle w:val="Compact"/>
              <w:jc w:val="left"/>
            </w:pPr>
            <w:r>
              <w:t xml:space="preserve">[-0.52, -0.07]</w:t>
            </w:r>
          </w:p>
        </w:tc>
        <w:tc>
          <w:p>
            <w:pPr>
              <w:pStyle w:val="Compact"/>
              <w:jc w:val="left"/>
            </w:pPr>
            <w:r>
              <w:t xml:space="preserve">0.99</w:t>
            </w:r>
          </w:p>
        </w:tc>
      </w:tr>
      <w:tr>
        <w:tc>
          <w:p>
            <w:pPr>
              <w:pStyle w:val="Compact"/>
              <w:jc w:val="left"/>
            </w:pPr>
            <w:r>
              <w:t xml:space="preserve">CC_POST - HOME_POST</w:t>
            </w:r>
          </w:p>
        </w:tc>
        <w:tc>
          <w:p>
            <w:pPr>
              <w:pStyle w:val="Compact"/>
              <w:jc w:val="left"/>
            </w:pPr>
            <w:r>
              <w:t xml:space="preserve">-0.22</w:t>
            </w:r>
          </w:p>
        </w:tc>
        <w:tc>
          <w:p>
            <w:pPr>
              <w:pStyle w:val="Compact"/>
              <w:jc w:val="left"/>
            </w:pPr>
            <w:r>
              <w:t xml:space="preserve">[-0.4, -0.03]</w:t>
            </w:r>
          </w:p>
        </w:tc>
        <w:tc>
          <w:p>
            <w:pPr>
              <w:pStyle w:val="Compact"/>
              <w:jc w:val="left"/>
            </w:pPr>
            <w:r>
              <w:t xml:space="preserve">0.99</w:t>
            </w:r>
          </w:p>
        </w:tc>
      </w:tr>
      <w:tr>
        <w:tc>
          <w:p>
            <w:pPr>
              <w:pStyle w:val="Compact"/>
              <w:jc w:val="left"/>
            </w:pPr>
            <w:r>
              <w:t xml:space="preserve">CC_PRE - HOME_PRE</w:t>
            </w:r>
          </w:p>
        </w:tc>
        <w:tc>
          <w:p>
            <w:pPr>
              <w:pStyle w:val="Compact"/>
              <w:jc w:val="left"/>
            </w:pPr>
            <w:r>
              <w:t xml:space="preserve">0.05</w:t>
            </w:r>
          </w:p>
        </w:tc>
        <w:tc>
          <w:p>
            <w:pPr>
              <w:pStyle w:val="Compact"/>
              <w:jc w:val="left"/>
            </w:pPr>
            <w:r>
              <w:t xml:space="preserve">[-0.14, 0.23]</w:t>
            </w:r>
          </w:p>
        </w:tc>
        <w:tc>
          <w:p>
            <w:pPr>
              <w:pStyle w:val="Compact"/>
              <w:jc w:val="left"/>
            </w:pPr>
            <w:r>
              <w:t xml:space="preserve">0.31</w:t>
            </w:r>
          </w:p>
        </w:tc>
      </w:tr>
      <w:tr>
        <w:tc>
          <w:p>
            <w:pPr>
              <w:pStyle w:val="Compact"/>
              <w:jc w:val="left"/>
            </w:pPr>
            <w:r>
              <w:t xml:space="preserve">HOME_POST - HOME_PRE</w:t>
            </w:r>
          </w:p>
        </w:tc>
        <w:tc>
          <w:p>
            <w:pPr>
              <w:pStyle w:val="Compact"/>
              <w:jc w:val="left"/>
            </w:pPr>
            <w:r>
              <w:t xml:space="preserve">-0.03</w:t>
            </w:r>
          </w:p>
        </w:tc>
        <w:tc>
          <w:p>
            <w:pPr>
              <w:pStyle w:val="Compact"/>
              <w:jc w:val="left"/>
            </w:pPr>
            <w:r>
              <w:t xml:space="preserve">[-0.25, 0.19]</w:t>
            </w:r>
          </w:p>
        </w:tc>
        <w:tc>
          <w:p>
            <w:pPr>
              <w:pStyle w:val="Compact"/>
              <w:jc w:val="left"/>
            </w:pPr>
            <w:r>
              <w:t xml:space="preserve">0.60</w:t>
            </w:r>
          </w:p>
        </w:tc>
      </w:tr>
      <w:tr>
        <w:tc>
          <w:p>
            <w:pPr>
              <w:pStyle w:val="Compact"/>
              <w:jc w:val="left"/>
            </w:pPr>
            <w:r>
              <w:t xml:space="preserve">Sigma</w:t>
            </w:r>
          </w:p>
        </w:tc>
        <w:tc>
          <w:p>
            <w:pPr>
              <w:pStyle w:val="Compact"/>
              <w:jc w:val="left"/>
            </w:pPr>
            <w:r>
              <w:t xml:space="preserve">0.33</w:t>
            </w:r>
          </w:p>
        </w:tc>
        <w:tc>
          <w:p>
            <w:pPr>
              <w:pStyle w:val="Compact"/>
              <w:jc w:val="left"/>
            </w:pPr>
            <w:r>
              <w:t xml:space="preserve">[0.27, 0.39]</w:t>
            </w:r>
          </w:p>
        </w:tc>
        <w:tc>
          <w:p>
            <w:pPr>
              <w:pStyle w:val="Compact"/>
              <w:jc w:val="left"/>
            </w:pPr>
            <w:r>
              <w:t xml:space="preserve">0.00</w:t>
            </w:r>
          </w:p>
        </w:tc>
      </w:tr>
    </w:tbl>
    <w:p>
      <w:pPr>
        <w:pStyle w:val="FigureWithCaption"/>
      </w:pPr>
      <w:r>
        <w:drawing>
          <wp:inline>
            <wp:extent cx="5334000" cy="5334000"/>
            <wp:effectExtent b="0" l="0" r="0" t="0"/>
            <wp:docPr descr="Observed values of alpha-diversity, individual paths and posterior distribution of mu." title="" id="1" name="Picture"/>
            <a:graphic>
              <a:graphicData uri="http://schemas.openxmlformats.org/drawingml/2006/picture">
                <pic:pic>
                  <pic:nvPicPr>
                    <pic:cNvPr descr="results_files/figure-docx/unnamed-chunk-12-1.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Observed values of alpha-diversity, individual paths and posterior distribution of mu.</w:t>
      </w:r>
    </w:p>
    <w:p>
      <w:pPr>
        <w:pStyle w:val="Heading2"/>
      </w:pPr>
      <w:bookmarkStart w:id="32" w:name="random-forest"/>
      <w:bookmarkEnd w:id="32"/>
      <w:r>
        <w:t xml:space="preserve">3.4 Random Forest</w:t>
      </w:r>
    </w:p>
    <w:p>
      <w:pPr>
        <w:pStyle w:val="FirstParagraph"/>
      </w:pPr>
      <w:r>
        <w:t xml:space="preserve">RF is a tree based ensemble learning method that is well suited for classification based on microbial abundances of samples</w:t>
      </w:r>
      <w:r>
        <w:t xml:space="preserve"> </w:t>
      </w:r>
      <w:r>
        <w:t xml:space="preserve">[@knightsSupervisedClassificationHuman2011]</w:t>
      </w:r>
      <w:r>
        <w:t xml:space="preserve">. We randomly selected 80% of the collected samples that constituted the training data set. We first tuned the RF models based on out-of-bag error. Node splitting was based on the gini criterion. Then we evaluated whether we can correctly classify CC based on 130 genus abundances using the hold out set. According to our hypotheses, we would expect to be able to classify whether an infant in the test data set belongs to the CC group at T1. In contrast, at T0 we would expect prediction accuracy to be lower since there should be no differences between CC and HOME. However, neither the T0 model, nor the model for T1 achieved a higher prediction accuracy than 0.5 suggesting that there was no systematic effect of childcare entrance on microbiota composition.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ffcb33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2019-01-21T17:15:36Z</dcterms:created>
  <dcterms:modified xsi:type="dcterms:W3CDTF">2019-01-21T17:15:36Z</dcterms:modified>
</cp:coreProperties>
</file>