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0d04d762245439d" /><Relationship Type="http://schemas.openxmlformats.org/package/2006/relationships/metadata/core-properties" Target="/docProps/core.xml" Id="Rbe50794c5889432d" /><Relationship Type="http://schemas.openxmlformats.org/officeDocument/2006/relationships/extended-properties" Target="/docProps/app.xml" Id="Rd82742f7eccd42f4" /><Relationship Type="http://schemas.openxmlformats.org/officeDocument/2006/relationships/custom-properties" Target="/docProps/custom.xml" Id="Rb9b86b4dc4b0495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48"/>
        </w:rPr>
        <w:t xml:space="preserve">Acme GmbH — Internal Finance Reporting Guidelines</w:t>
      </w:r>
    </w:p>
    <w:p w14:paraId="00100002" w14:textId="00100003">
      <w:pPr>
        <w:spacing w:after="480"/>
        <w:jc w:val="center"/>
      </w:pPr>
      <w:r>
        <w:rPr>
          <w:color w:val="888888"/>
          <w:sz w:val="20"/>
        </w:rPr>
        <w:t xml:space="preserve">Version 3.2 | Effective: January 2024 | Owner: Group Finance Controller</w:t>
      </w:r>
    </w:p>
    <w:p w14:paraId="00100004" w14:textId="00100005">
      <w:pPr>
        <w:pStyle w:val="Heading1"/>
        <w:spacing w:before="240" w:after="120"/>
      </w:pPr>
      <w:r>
        <w:rPr>
          <w:b/>
          <w:sz w:val="32"/>
        </w:rPr>
        <w:t xml:space="preserve">1. Purpose and Scope</w:t>
      </w:r>
    </w:p>
    <w:p w14:paraId="00100006" w14:textId="00100007">
      <w:pPr>
        <w:spacing w:after="160"/>
      </w:pPr>
      <w:r>
        <w:rPr>
          <w:sz w:val="22"/>
        </w:rPr>
        <w:t xml:space="preserve">These guidelines apply to all budget reporting and variance analysis produced by the Finance department and submitted to senior management or the CFO. They cover monthly, quarterly, and annual reporting cycles.</w:t>
      </w:r>
    </w:p>
    <w:p w14:paraId="00100008" w14:textId="00100009">
      <w:pPr>
        <w:spacing w:after="160"/>
      </w:pPr>
      <w:r>
        <w:rPr>
          <w:sz w:val="22"/>
        </w:rPr>
        <w:t xml:space="preserve">All reports must be submitted via the central Finance SharePoint before the deadlines defined in Section 5. Late submissions require written approval from the Finance Controller.</w:t>
      </w:r>
    </w:p>
    <w:p w14:paraId="0010000A" w14:textId="0010000B">
      <w:pPr>
        <w:pStyle w:val="Heading1"/>
        <w:spacing w:before="240" w:after="120"/>
      </w:pPr>
      <w:r>
        <w:rPr>
          <w:b/>
          <w:sz w:val="32"/>
        </w:rPr>
        <w:t xml:space="preserve">2. Budget vs. Actual Reporting Standards</w:t>
      </w:r>
    </w:p>
    <w:p w14:paraId="0010000C" w14:textId="0010000D">
      <w:pPr>
        <w:pStyle w:val="Heading2"/>
        <w:spacing w:before="160" w:after="80"/>
      </w:pPr>
      <w:r>
        <w:rPr>
          <w:b/>
          <w:sz w:val="26"/>
        </w:rPr>
        <w:t xml:space="preserve">2.1 Variance Thresholds</w:t>
      </w:r>
    </w:p>
    <w:p w14:paraId="0010000E" w14:textId="0010000F">
      <w:pPr>
        <w:spacing w:after="120"/>
      </w:pPr>
      <w:r>
        <w:rPr>
          <w:sz w:val="22"/>
        </w:rPr>
        <w:t xml:space="preserve">All cost centers must report variances against approved plan. The following thresholds define required escalation levels:</w:t>
      </w:r>
    </w:p>
    <w:p w14:paraId="00100012" w14:textId="00100013">
      <w:pPr>
        <w:pStyle w:val="Heading2"/>
        <w:spacing w:before="160" w:after="80"/>
      </w:pPr>
      <w:r>
        <w:rPr>
          <w:b/>
          <w:sz w:val="26"/>
        </w:rPr>
        <w:t xml:space="preserve">2.2 Variance Explanations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Variance Band</w:t>
            </w:r>
          </w:p>
        </w:tc>
        <w:tc>
          <w:p w14:paraId="00100044" w14:textId="00100045">
            <w:r>
              <w:t xml:space="preserve">Required Action</w:t>
            </w:r>
          </w:p>
        </w:tc>
        <w:tc>
          <w:p w14:paraId="00100046" w14:textId="00100047">
            <w:r>
              <w:t xml:space="preserve">Approval Required</w:t>
            </w:r>
          </w:p>
        </w:tc>
      </w:tr>
      <w:tr>
        <w:trPr/>
        <w:tc>
          <w:p w14:paraId="00100048" w14:textId="00100049">
            <w:r>
              <w:t xml:space="preserve">&lt; ±5%</w:t>
            </w:r>
          </w:p>
        </w:tc>
        <w:tc>
          <w:p w14:paraId="0010004A" w14:textId="0010004B">
            <w:r>
              <w:t xml:space="preserve">No additional commentary required</w:t>
            </w:r>
          </w:p>
        </w:tc>
        <w:tc>
          <w:p w14:paraId="0010004C" w14:textId="0010004D">
            <w:r>
              <w:t xml:space="preserve">None</w:t>
            </w:r>
          </w:p>
        </w:tc>
      </w:tr>
      <w:tr>
        <w:trPr/>
        <w:tc>
          <w:p w14:paraId="0010004E" w14:textId="0010004F">
            <w:r>
              <w:t xml:space="preserve">±5% to ±10%</w:t>
            </w:r>
          </w:p>
        </w:tc>
        <w:tc>
          <w:p w14:paraId="00100050" w14:textId="00100051">
            <w:r>
              <w:t xml:space="preserve">Written explanation in comments field</w:t>
            </w:r>
          </w:p>
        </w:tc>
        <w:tc>
          <w:p w14:paraId="00100052" w14:textId="00100053">
            <w:r>
              <w:t xml:space="preserve">Cost Center Manager</w:t>
            </w:r>
          </w:p>
        </w:tc>
      </w:tr>
      <w:tr>
        <w:trPr/>
        <w:tc>
          <w:p w14:paraId="00100054" w14:textId="00100055">
            <w:r>
              <w:t xml:space="preserve">&gt; ±10%</w:t>
            </w:r>
          </w:p>
        </w:tc>
        <w:tc>
          <w:p w14:paraId="00100056" w14:textId="00100057">
            <w:r>
              <w:t xml:space="preserve">Written explanation + corrective action plan</w:t>
            </w:r>
          </w:p>
        </w:tc>
        <w:tc>
          <w:p w14:paraId="00100058" w14:textId="00100059">
            <w:r>
              <w:t xml:space="preserve">Finance Controller + CFO</w:t>
            </w:r>
          </w:p>
        </w:tc>
      </w:tr>
    </w:tbl>
    <w:p w14:paraId="00100014" w14:textId="00100015">
      <w:pPr>
        <w:spacing w:after="120"/>
      </w:pPr>
      <w:r>
        <w:rPr>
          <w:sz w:val="22"/>
        </w:rPr>
        <w:t xml:space="preserve">Every variance above 5% (positive or negative) requires a written explanation in the 'Comments' column of the reporting template. Explanations must reference one of the following root-cause categories:</w:t>
      </w:r>
    </w:p>
    <w:p w14:paraId="00100016" w14:textId="00100017">
      <w:pPr>
        <w:numPr>
          <w:ilvl w:val="0"/>
          <w:numId w:val="1"/>
        </w:numPr>
        <w:spacing w:after="40"/>
      </w:pPr>
      <w:r>
        <w:rPr>
          <w:sz w:val="22"/>
        </w:rPr>
        <w:t xml:space="preserve">Volume: Activity was higher or lower than planned</w:t>
      </w:r>
    </w:p>
    <w:p w14:paraId="00100018" w14:textId="00100019">
      <w:pPr>
        <w:numPr>
          <w:ilvl w:val="0"/>
          <w:numId w:val="1"/>
        </w:numPr>
        <w:spacing w:after="40"/>
      </w:pPr>
      <w:r>
        <w:rPr>
          <w:sz w:val="22"/>
        </w:rPr>
        <w:t xml:space="preserve">Timing: Expense occurred in a different period than planned</w:t>
      </w:r>
    </w:p>
    <w:p w14:paraId="0010001A" w14:textId="0010001B">
      <w:pPr>
        <w:numPr>
          <w:ilvl w:val="0"/>
          <w:numId w:val="1"/>
        </w:numPr>
        <w:spacing w:after="40"/>
      </w:pPr>
      <w:r>
        <w:rPr>
          <w:sz w:val="22"/>
        </w:rPr>
        <w:t xml:space="preserve">Price: Unit cost differed from assumption</w:t>
      </w:r>
    </w:p>
    <w:p w14:paraId="0010001C" w14:textId="0010001D">
      <w:pPr>
        <w:numPr>
          <w:ilvl w:val="0"/>
          <w:numId w:val="1"/>
        </w:numPr>
        <w:spacing w:after="40"/>
      </w:pPr>
      <w:r>
        <w:rPr>
          <w:sz w:val="22"/>
        </w:rPr>
        <w:t xml:space="preserve">One-off: Non-recurring exceptional item (requires CFO sign-off if &gt; €50,000)</w:t>
      </w:r>
    </w:p>
    <w:p w14:paraId="0010001E" w14:textId="0010001F">
      <w:pPr>
        <w:numPr>
          <w:ilvl w:val="0"/>
          <w:numId w:val="1"/>
        </w:numPr>
        <w:spacing w:after="160"/>
      </w:pPr>
      <w:r>
        <w:rPr>
          <w:sz w:val="22"/>
        </w:rPr>
        <w:t xml:space="preserve">Reclassification: Booking was moved to a different cost center or account</w:t>
      </w:r>
    </w:p>
    <w:p w14:paraId="00100020" w14:textId="00100021">
      <w:pPr>
        <w:pStyle w:val="Heading2"/>
        <w:spacing w:before="160" w:after="80"/>
      </w:pPr>
      <w:r>
        <w:rPr>
          <w:b/>
          <w:sz w:val="26"/>
        </w:rPr>
        <w:t xml:space="preserve">2.3 Currency</w:t>
      </w:r>
    </w:p>
    <w:p w14:paraId="00100022" w14:textId="00100023">
      <w:pPr>
        <w:spacing w:after="160"/>
      </w:pPr>
      <w:r>
        <w:rPr>
          <w:sz w:val="22"/>
        </w:rPr>
        <w:t xml:space="preserve">All internal reporting is in EUR. Transactions originally booked in foreign currencies must be converted using the monthly average FX rate published by Group Treasury on the first business day of each month. Do not use spot rates or year-end rates for interim reporting.</w:t>
      </w:r>
    </w:p>
    <w:p w14:paraId="00100024" w14:textId="00100025">
      <w:pPr>
        <w:pStyle w:val="Heading1"/>
        <w:spacing w:before="240" w:after="120"/>
      </w:pPr>
      <w:r>
        <w:rPr>
          <w:b/>
          <w:sz w:val="32"/>
        </w:rPr>
        <w:t xml:space="preserve">3. Data Quality Requirements</w:t>
      </w:r>
    </w:p>
    <w:p w14:paraId="00100026" w14:textId="00100027">
      <w:pPr>
        <w:pStyle w:val="Heading2"/>
        <w:spacing w:before="160" w:after="80"/>
      </w:pPr>
      <w:r>
        <w:rPr>
          <w:b/>
          <w:sz w:val="26"/>
        </w:rPr>
        <w:t xml:space="preserve">3.1 Completeness</w:t>
      </w:r>
    </w:p>
    <w:p w14:paraId="00100028" w14:textId="00100029">
      <w:pPr>
        <w:spacing w:after="160"/>
      </w:pPr>
      <w:r>
        <w:rPr>
          <w:sz w:val="22"/>
        </w:rPr>
        <w:t xml:space="preserve">Reports must include 100% of approved bookings for the reporting period. Known missing items (e.g., invoices not yet received) must be accrued and clearly flagged as estimates. Estimates exceeding €10,000 require controller approval.</w:t>
      </w:r>
    </w:p>
    <w:p w14:paraId="0010002A" w14:textId="0010002B">
      <w:pPr>
        <w:pStyle w:val="Heading2"/>
        <w:spacing w:before="160" w:after="80"/>
      </w:pPr>
      <w:r>
        <w:rPr>
          <w:b/>
          <w:sz w:val="26"/>
        </w:rPr>
        <w:t xml:space="preserve">3.2 Duplicate Bookings</w:t>
      </w:r>
    </w:p>
    <w:p w14:paraId="0010002C" w14:textId="0010002D">
      <w:pPr>
        <w:spacing w:after="160"/>
      </w:pPr>
      <w:r>
        <w:rPr>
          <w:sz w:val="22"/>
        </w:rPr>
        <w:t xml:space="preserve">Finance is responsible for running a duplicate-detection check before submitting any report. A duplicate is defined as two or more transactions with the same vendor, the same amount, and a booking date within 5 calendar days of each other. All detected duplicates must be reviewed and resolved before submission.</w:t>
      </w:r>
    </w:p>
    <w:p w14:paraId="0010002E" w14:textId="0010002F">
      <w:pPr>
        <w:pStyle w:val="Heading2"/>
        <w:spacing w:before="160" w:after="80"/>
      </w:pPr>
      <w:r>
        <w:rPr>
          <w:b/>
          <w:sz w:val="26"/>
        </w:rPr>
        <w:t xml:space="preserve">3.3 Unapproved Transactions</w:t>
      </w:r>
    </w:p>
    <w:p w14:paraId="00100030" w14:textId="00100031">
      <w:pPr>
        <w:spacing w:after="160"/>
      </w:pPr>
      <w:r>
        <w:rPr>
          <w:sz w:val="22"/>
        </w:rPr>
        <w:t xml:space="preserve">Transactions without an approval status of 'Yes' must not be included in actuals reporting. If a significant volume of transactions is pending approval at period close, this must be disclosed separately. The approval rate must not fall below 90% of total transaction volume.</w:t>
      </w:r>
    </w:p>
    <w:p w14:paraId="00100032" w14:textId="00100033">
      <w:pPr>
        <w:pStyle w:val="Heading1"/>
        <w:spacing w:before="240" w:after="120"/>
      </w:pPr>
      <w:r>
        <w:rPr>
          <w:b/>
          <w:sz w:val="32"/>
        </w:rPr>
        <w:t xml:space="preserve">4. Report Format</w:t>
      </w:r>
    </w:p>
    <w:p w14:paraId="00100034" w14:textId="00100035">
      <w:pPr>
        <w:spacing w:after="160"/>
      </w:pPr>
      <w:r>
        <w:rPr>
          <w:sz w:val="22"/>
        </w:rPr>
        <w:t xml:space="preserve">All management reports must be submitted as .xlsx files using the standard Acme Finance template (available on SharePoint). PDF versions may be submitted additionally for archiving purposes. Do not submit reports in .csv or unformatted Excel formats.</w:t>
      </w:r>
    </w:p>
    <w:p w14:paraId="00100036" w14:textId="00100037">
      <w:pPr>
        <w:spacing w:after="120"/>
      </w:pPr>
      <w:r>
        <w:rPr>
          <w:sz w:val="22"/>
        </w:rPr>
        <w:t xml:space="preserve">Reports must include the following sheets as a minimum:</w:t>
      </w:r>
    </w:p>
    <w:p w14:paraId="00100038" w14:textId="00100039">
      <w:pPr>
        <w:numPr>
          <w:ilvl w:val="0"/>
          <w:numId w:val="2"/>
        </w:numPr>
        <w:spacing w:after="40"/>
      </w:pPr>
      <w:r>
        <w:rPr>
          <w:sz w:val="22"/>
        </w:rPr>
        <w:t xml:space="preserve">Summary: High-level P&amp;L or budget overview for executive audience</w:t>
      </w:r>
    </w:p>
    <w:p w14:paraId="0010003A" w14:textId="0010003B">
      <w:pPr>
        <w:numPr>
          <w:ilvl w:val="0"/>
          <w:numId w:val="2"/>
        </w:numPr>
        <w:spacing w:after="40"/>
      </w:pPr>
      <w:r>
        <w:rPr>
          <w:sz w:val="22"/>
        </w:rPr>
        <w:t xml:space="preserve">Detail by Cost Center: Full plan vs. actual table, all cost centers</w:t>
      </w:r>
    </w:p>
    <w:p w14:paraId="0010003C" w14:textId="0010003D">
      <w:pPr>
        <w:numPr>
          <w:ilvl w:val="0"/>
          <w:numId w:val="2"/>
        </w:numPr>
        <w:spacing w:after="40"/>
      </w:pPr>
      <w:r>
        <w:rPr>
          <w:sz w:val="22"/>
        </w:rPr>
        <w:t xml:space="preserve">Anomalies: Duplicates, unapproved items, and significant one-offs</w:t>
      </w:r>
    </w:p>
    <w:p w14:paraId="0010003E" w14:textId="0010003F">
      <w:pPr>
        <w:numPr>
          <w:ilvl w:val="0"/>
          <w:numId w:val="2"/>
        </w:numPr>
        <w:spacing w:after="160"/>
      </w:pPr>
      <w:r>
        <w:rPr>
          <w:sz w:val="22"/>
        </w:rPr>
        <w:t xml:space="preserve">Assumptions &amp; Notes: FX rates used, accrual basis, known issues</w:t>
      </w:r>
    </w:p>
    <w:p w14:paraId="00100040" w14:textId="00100041">
      <w:pPr>
        <w:pStyle w:val="Heading1"/>
        <w:spacing w:before="240" w:after="120"/>
      </w:pPr>
      <w:r>
        <w:rPr>
          <w:b/>
          <w:sz w:val="32"/>
        </w:rPr>
        <w:t xml:space="preserve">5. Reporting Calendar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A" w14:textId="0010005B">
            <w:r>
              <w:t xml:space="preserve">Report Type</w:t>
            </w:r>
          </w:p>
        </w:tc>
        <w:tc>
          <w:p w14:paraId="0010005C" w14:textId="0010005D">
            <w:r>
              <w:t xml:space="preserve">Submission Deadline</w:t>
            </w:r>
          </w:p>
        </w:tc>
        <w:tc>
          <w:p w14:paraId="0010005E" w14:textId="0010005F">
            <w:r>
              <w:t xml:space="preserve">Recipient</w:t>
            </w:r>
          </w:p>
        </w:tc>
      </w:tr>
      <w:tr>
        <w:trPr/>
        <w:tc>
          <w:p w14:paraId="00100060" w14:textId="00100061">
            <w:r>
              <w:t xml:space="preserve">Monthly Flash (top-level only)</w:t>
            </w:r>
          </w:p>
        </w:tc>
        <w:tc>
          <w:p w14:paraId="00100062" w14:textId="00100063">
            <w:r>
              <w:t xml:space="preserve">3rd business day of following month</w:t>
            </w:r>
          </w:p>
        </w:tc>
        <w:tc>
          <w:p w14:paraId="00100064" w14:textId="00100065">
            <w:r>
              <w:t xml:space="preserve">CFO, COO</w:t>
            </w:r>
          </w:p>
        </w:tc>
      </w:tr>
      <w:tr>
        <w:trPr/>
        <w:tc>
          <w:p w14:paraId="00100066" w14:textId="00100067">
            <w:r>
              <w:t xml:space="preserve">Full Monthly Report (all cost centers)</w:t>
            </w:r>
          </w:p>
        </w:tc>
        <w:tc>
          <w:p w14:paraId="00100068" w14:textId="00100069">
            <w:r>
              <w:t xml:space="preserve">5th business day of following month</w:t>
            </w:r>
          </w:p>
        </w:tc>
        <w:tc>
          <w:p w14:paraId="0010006A" w14:textId="0010006B">
            <w:r>
              <w:t xml:space="preserve">Finance Controller, cost center managers</w:t>
            </w:r>
          </w:p>
        </w:tc>
      </w:tr>
      <w:tr>
        <w:trPr/>
        <w:tc>
          <w:p w14:paraId="0010006C" w14:textId="0010006D">
            <w:r>
              <w:t xml:space="preserve">Quarterly Review Package</w:t>
            </w:r>
          </w:p>
        </w:tc>
        <w:tc>
          <w:p w14:paraId="0010006E" w14:textId="0010006F">
            <w:r>
              <w:t xml:space="preserve">10th business day after quarter-end</w:t>
            </w:r>
          </w:p>
        </w:tc>
        <w:tc>
          <w:p w14:paraId="00100070" w14:textId="00100071">
            <w:r>
              <w:t xml:space="preserve">Board Finance Committee</w:t>
            </w:r>
          </w:p>
        </w:tc>
      </w:tr>
      <w:tr>
        <w:trPr/>
        <w:tc>
          <w:p w14:paraId="00100072" w14:textId="00100073">
            <w:r>
              <w:t xml:space="preserve">Annual Budget vs. Actual Summary</w:t>
            </w:r>
          </w:p>
        </w:tc>
        <w:tc>
          <w:p w14:paraId="00100074" w14:textId="00100075">
            <w:r>
              <w:t xml:space="preserve">January 20 of following year</w:t>
            </w:r>
          </w:p>
        </w:tc>
        <w:tc>
          <w:p w14:paraId="00100076" w14:textId="00100077">
            <w:r>
              <w:t xml:space="preserve">Board, Shareholders (via Investor Relations)</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389fbc715824a0b" /><Relationship Type="http://schemas.openxmlformats.org/officeDocument/2006/relationships/styles" Target="/word/styles.xml" Id="R1a5585aee6d1414e" /><Relationship Type="http://schemas.openxmlformats.org/officeDocument/2006/relationships/theme" Target="/word/theme/theme1.xml" Id="Rdb1682b86b964bdd" /><Relationship Type="http://schemas.openxmlformats.org/officeDocument/2006/relationships/numbering" Target="/word/numbering.xml" Id="R957cbe363a5840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2026-09-25T12:13:19Z</dcterms:created>
  <cp:lastModifiedBy>OfficeCLI</cp:lastModifiedBy>
  <dcterms:modified xsi:type="dcterms:W3CDTF">2026-09-25T12:13:19Z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2026-09-25T12:14:13Z</vt:lpwstr>
  </op:property>
</op:Properties>
</file>