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42F2" w14:textId="77777777" w:rsidR="00BE5D5D" w:rsidRPr="00182EB2" w:rsidRDefault="00BE5D5D" w:rsidP="00BE5D5D">
      <w:pPr>
        <w:pStyle w:val="Heading3"/>
        <w:rPr>
          <w:lang w:val="en-GB"/>
        </w:rPr>
      </w:pPr>
      <w:bookmarkStart w:id="0" w:name="_Toc216244198"/>
      <w:r w:rsidRPr="00182EB2">
        <w:rPr>
          <w:lang w:val="en-GB"/>
        </w:rPr>
        <w:t>1.3.1 Chaves et. al. (2024): Effects of Resistance Training Overload Progression Protocols on Strength and Muscle Mass</w:t>
      </w:r>
      <w:bookmarkEnd w:id="0"/>
    </w:p>
    <w:p w14:paraId="484A3101" w14:textId="77777777" w:rsidR="00BE5D5D" w:rsidRPr="00182EB2" w:rsidRDefault="00BE5D5D" w:rsidP="00BE5D5D">
      <w:pPr>
        <w:pStyle w:val="Body"/>
        <w:rPr>
          <w:b/>
          <w:bCs/>
          <w:lang w:val="en-GB"/>
        </w:rPr>
      </w:pPr>
      <w:r w:rsidRPr="00182EB2">
        <w:rPr>
          <w:b/>
          <w:bCs/>
          <w:lang w:val="en-GB"/>
        </w:rPr>
        <w:t>Study design</w:t>
      </w:r>
    </w:p>
    <w:p w14:paraId="743B158F" w14:textId="4D5FA870" w:rsidR="00BE5D5D" w:rsidRPr="00182EB2" w:rsidRDefault="00BE5D5D" w:rsidP="00BE5D5D">
      <w:pPr>
        <w:pStyle w:val="Body"/>
        <w:rPr>
          <w:lang w:val="en-GB"/>
        </w:rPr>
      </w:pPr>
      <w:r w:rsidRPr="00182EB2">
        <w:rPr>
          <w:lang w:val="en-GB"/>
        </w:rPr>
        <w:t>Prospective, randomized controlled, single-blinded, within-subject trial. With the goal of comparing two different methods of progressive overload in resistance training (RT). One method was increasing load (</w:t>
      </w:r>
      <w:proofErr w:type="spellStart"/>
      <w:r w:rsidRPr="00182EB2">
        <w:rPr>
          <w:lang w:val="en-GB"/>
        </w:rPr>
        <w:t>LOADprog</w:t>
      </w:r>
      <w:proofErr w:type="spellEnd"/>
      <w:r w:rsidRPr="00182EB2">
        <w:rPr>
          <w:lang w:val="en-GB"/>
        </w:rPr>
        <w:t>), the other increasing repetitions (</w:t>
      </w:r>
      <w:proofErr w:type="spellStart"/>
      <w:r w:rsidRPr="00182EB2">
        <w:rPr>
          <w:lang w:val="en-GB"/>
        </w:rPr>
        <w:t>REPSprog</w:t>
      </w:r>
      <w:proofErr w:type="spellEnd"/>
      <w:r w:rsidRPr="00182EB2">
        <w:rPr>
          <w:lang w:val="en-GB"/>
        </w:rPr>
        <w:t>).</w:t>
      </w:r>
    </w:p>
    <w:p w14:paraId="19B70EB4" w14:textId="77777777" w:rsidR="00BE5D5D" w:rsidRPr="00182EB2" w:rsidRDefault="00BE5D5D" w:rsidP="00BE5D5D">
      <w:pPr>
        <w:pStyle w:val="Body"/>
        <w:rPr>
          <w:b/>
          <w:bCs/>
          <w:lang w:val="en-GB"/>
        </w:rPr>
      </w:pPr>
      <w:r w:rsidRPr="00182EB2">
        <w:rPr>
          <w:b/>
          <w:bCs/>
          <w:lang w:val="en-GB"/>
        </w:rPr>
        <w:t>Participants</w:t>
      </w:r>
    </w:p>
    <w:p w14:paraId="1EBBDDB1" w14:textId="77777777" w:rsidR="00BE5D5D" w:rsidRPr="00182EB2" w:rsidRDefault="00BE5D5D" w:rsidP="00BE5D5D">
      <w:pPr>
        <w:pStyle w:val="Body"/>
        <w:rPr>
          <w:lang w:val="en-GB"/>
        </w:rPr>
      </w:pPr>
      <w:r w:rsidRPr="00182EB2">
        <w:rPr>
          <w:lang w:val="en-GB"/>
        </w:rPr>
        <w:t xml:space="preserve">39 (20 men and 19 women) participants who had not participated in any type of physical training program the last 6 months. Each participants’ leg was randomly allocated to the </w:t>
      </w:r>
      <w:proofErr w:type="spellStart"/>
      <w:r w:rsidRPr="00182EB2">
        <w:rPr>
          <w:lang w:val="en-GB"/>
        </w:rPr>
        <w:t>LOADprog</w:t>
      </w:r>
      <w:proofErr w:type="spellEnd"/>
      <w:r w:rsidRPr="00182EB2">
        <w:rPr>
          <w:lang w:val="en-GB"/>
        </w:rPr>
        <w:t xml:space="preserve"> or the </w:t>
      </w:r>
      <w:proofErr w:type="spellStart"/>
      <w:r w:rsidRPr="00182EB2">
        <w:rPr>
          <w:lang w:val="en-GB"/>
        </w:rPr>
        <w:t>REPSprog</w:t>
      </w:r>
      <w:proofErr w:type="spellEnd"/>
      <w:r w:rsidRPr="00182EB2">
        <w:rPr>
          <w:lang w:val="en-GB"/>
        </w:rPr>
        <w:t xml:space="preserve"> resistance training protocols. </w:t>
      </w:r>
    </w:p>
    <w:p w14:paraId="2834A206" w14:textId="77777777" w:rsidR="00BE5D5D" w:rsidRPr="00182EB2" w:rsidRDefault="00BE5D5D" w:rsidP="00BE5D5D">
      <w:pPr>
        <w:pStyle w:val="Body"/>
        <w:rPr>
          <w:b/>
          <w:bCs/>
          <w:lang w:val="en-GB"/>
        </w:rPr>
      </w:pPr>
      <w:r w:rsidRPr="00182EB2">
        <w:rPr>
          <w:b/>
          <w:bCs/>
          <w:lang w:val="en-GB"/>
        </w:rPr>
        <w:t>Intervention</w:t>
      </w:r>
    </w:p>
    <w:p w14:paraId="0638880A" w14:textId="77777777" w:rsidR="00BE5D5D" w:rsidRPr="00182EB2" w:rsidRDefault="00BE5D5D" w:rsidP="00BE5D5D">
      <w:pPr>
        <w:pStyle w:val="Body"/>
        <w:rPr>
          <w:lang w:val="en-GB"/>
        </w:rPr>
      </w:pPr>
      <w:r w:rsidRPr="00182EB2">
        <w:rPr>
          <w:lang w:val="en-GB"/>
        </w:rPr>
        <w:t xml:space="preserve">23 RT sessions in a 10-week resistance training protocol (2 – 3 sessions per week). </w:t>
      </w:r>
    </w:p>
    <w:p w14:paraId="41C7A287" w14:textId="77777777" w:rsidR="00BE5D5D" w:rsidRPr="00182EB2" w:rsidRDefault="00BE5D5D" w:rsidP="00BE5D5D">
      <w:pPr>
        <w:pStyle w:val="Body"/>
        <w:rPr>
          <w:b/>
          <w:bCs/>
          <w:lang w:val="en-GB"/>
        </w:rPr>
      </w:pPr>
      <w:r w:rsidRPr="00182EB2">
        <w:rPr>
          <w:b/>
          <w:bCs/>
          <w:lang w:val="en-GB"/>
        </w:rPr>
        <w:t>Measurement method</w:t>
      </w:r>
    </w:p>
    <w:p w14:paraId="22B2E60B" w14:textId="77777777" w:rsidR="00BE5D5D" w:rsidRPr="00182EB2" w:rsidRDefault="00BE5D5D" w:rsidP="00BE5D5D">
      <w:pPr>
        <w:pStyle w:val="Body"/>
        <w:rPr>
          <w:lang w:val="en-GB"/>
        </w:rPr>
      </w:pPr>
      <w:r w:rsidRPr="00182EB2">
        <w:rPr>
          <w:lang w:val="en-GB"/>
        </w:rPr>
        <w:t xml:space="preserve">The study used ultrasound (US) to measure the muscle cross sectional area (CSA) of vastus lateralis Pre and Post intervention. </w:t>
      </w:r>
    </w:p>
    <w:p w14:paraId="10CBBFE1" w14:textId="77777777" w:rsidR="00FE3411" w:rsidRPr="00182EB2" w:rsidRDefault="00FE3411" w:rsidP="00FE3411">
      <w:pPr>
        <w:pStyle w:val="Heading2"/>
        <w:rPr>
          <w:lang w:val="en-GB"/>
        </w:rPr>
      </w:pPr>
      <w:bookmarkStart w:id="1" w:name="_Toc216278344"/>
      <w:r w:rsidRPr="00182EB2">
        <w:rPr>
          <w:lang w:val="en-GB"/>
        </w:rPr>
        <w:t>CSA measurements with US</w:t>
      </w:r>
      <w:bookmarkEnd w:id="1"/>
    </w:p>
    <w:p w14:paraId="738CD794" w14:textId="52B08EDE" w:rsidR="00FE3411" w:rsidRPr="00182EB2" w:rsidRDefault="00FE3411" w:rsidP="00DF0D5D">
      <w:pPr>
        <w:pStyle w:val="Body"/>
        <w:rPr>
          <w:lang w:val="en-GB"/>
        </w:rPr>
      </w:pPr>
      <w:r w:rsidRPr="00182EB2">
        <w:rPr>
          <w:lang w:val="en-GB"/>
        </w:rPr>
        <w:t>The participants were asked to refrain from all types of rigorous activity for at least 72h before the US measurements. They would also lie down for 15 minutes prior to US for fluid redistribution. They measured CSA twice with a 72h interval before the intervention to determine the typical error and the coefficient variation. The researcher evaluating measured the distance between the greater trochanter (hip) and the lateral epicondyle of the femur (</w:t>
      </w:r>
      <w:r w:rsidR="00DF0D5D">
        <w:rPr>
          <w:lang w:val="en-GB"/>
        </w:rPr>
        <w:t>knee</w:t>
      </w:r>
      <w:r w:rsidRPr="00182EB2">
        <w:rPr>
          <w:lang w:val="en-GB"/>
        </w:rPr>
        <w:t xml:space="preserve">) to determine the length of the left and right femur bones. The middle point was marked for US measurement, every 2 cm parallel to the lateral and medial directions to guide the displacement of the US probe in the sagittal plane. This is parallel to the long </w:t>
      </w:r>
      <w:r w:rsidRPr="00182EB2">
        <w:rPr>
          <w:lang w:val="en-GB"/>
        </w:rPr>
        <w:lastRenderedPageBreak/>
        <w:t>axis of the femur bone. Water soluble transmission gel was applied to the US probe; this would ensure acoustic coupling of the probe without compressing the epidermis (outermost layer of the skin). To establish muscle CSA, they initially placed the US probe on top of the Rectus Femoris muscle, and they would photograph along every marked point until the last point on the lateral side of the thigh (Vastus Lateralis). These images were manually rotated, so that the entire fascia of the vastus lateralis muscle was visualized panoramically. Finally, the reconstructed image was used to measure the CSA of vastus lateralis, excluding as much bone tissue and underlying muscle fascia as possible.</w:t>
      </w:r>
    </w:p>
    <w:p w14:paraId="1CBDD453" w14:textId="77777777" w:rsidR="00FE3411" w:rsidRPr="00182EB2" w:rsidRDefault="00FE3411" w:rsidP="00BE5D5D">
      <w:pPr>
        <w:pStyle w:val="Body"/>
        <w:rPr>
          <w:lang w:val="en-GB"/>
        </w:rPr>
      </w:pPr>
    </w:p>
    <w:p w14:paraId="442FF509" w14:textId="77777777" w:rsidR="00BE5D5D" w:rsidRPr="00182EB2" w:rsidRDefault="00BE5D5D" w:rsidP="00BE5D5D">
      <w:pPr>
        <w:pStyle w:val="Body"/>
        <w:rPr>
          <w:b/>
          <w:bCs/>
          <w:lang w:val="en-GB"/>
        </w:rPr>
      </w:pPr>
      <w:r w:rsidRPr="00182EB2">
        <w:rPr>
          <w:b/>
          <w:bCs/>
          <w:lang w:val="en-GB"/>
        </w:rPr>
        <w:t>Statistical methods</w:t>
      </w:r>
    </w:p>
    <w:p w14:paraId="7ED82738" w14:textId="77777777" w:rsidR="00BE5D5D" w:rsidRPr="00182EB2" w:rsidRDefault="00BE5D5D" w:rsidP="00BE5D5D">
      <w:pPr>
        <w:pStyle w:val="Body"/>
        <w:rPr>
          <w:lang w:val="en-GB"/>
        </w:rPr>
      </w:pPr>
      <w:r w:rsidRPr="00182EB2">
        <w:rPr>
          <w:lang w:val="en-GB"/>
        </w:rPr>
        <w:t xml:space="preserve">Mixed model with protocols and timepoint as fixed factors, and participants as the random intercept. </w:t>
      </w:r>
    </w:p>
    <w:p w14:paraId="45657E16" w14:textId="77777777" w:rsidR="00BE5D5D" w:rsidRPr="00182EB2" w:rsidRDefault="00BE5D5D" w:rsidP="00BE5D5D">
      <w:pPr>
        <w:pStyle w:val="Body"/>
        <w:rPr>
          <w:lang w:val="en-GB"/>
        </w:rPr>
      </w:pPr>
      <w:r w:rsidRPr="00182EB2">
        <w:rPr>
          <w:b/>
          <w:bCs/>
          <w:lang w:val="en-GB"/>
        </w:rPr>
        <w:t>Results of CSA measurements</w:t>
      </w:r>
    </w:p>
    <w:p w14:paraId="61A2FDD0" w14:textId="77777777" w:rsidR="00BE5D5D" w:rsidRPr="00182EB2" w:rsidRDefault="00BE5D5D" w:rsidP="00BE5D5D">
      <w:pPr>
        <w:pStyle w:val="Body"/>
        <w:rPr>
          <w:lang w:val="en-GB"/>
        </w:rPr>
      </w:pPr>
      <w:r w:rsidRPr="00182EB2">
        <w:rPr>
          <w:lang w:val="en-GB"/>
        </w:rPr>
        <w:t xml:space="preserve">The </w:t>
      </w:r>
      <w:proofErr w:type="spellStart"/>
      <w:r w:rsidRPr="00182EB2">
        <w:rPr>
          <w:lang w:val="en-GB"/>
        </w:rPr>
        <w:t>LOADprog</w:t>
      </w:r>
      <w:proofErr w:type="spellEnd"/>
      <w:r w:rsidRPr="00182EB2">
        <w:rPr>
          <w:lang w:val="en-GB"/>
        </w:rPr>
        <w:t xml:space="preserve"> protocol increased vastus lateralis CSA with 2.2±2.2 cm</w:t>
      </w:r>
      <w:r w:rsidRPr="00182EB2">
        <w:rPr>
          <w:vertAlign w:val="superscript"/>
          <w:lang w:val="en-GB"/>
        </w:rPr>
        <w:t>2</w:t>
      </w:r>
      <w:r w:rsidRPr="00182EB2">
        <w:rPr>
          <w:lang w:val="en-GB"/>
        </w:rPr>
        <w:t xml:space="preserve">, </w:t>
      </w:r>
      <w:proofErr w:type="spellStart"/>
      <w:r w:rsidRPr="00182EB2">
        <w:rPr>
          <w:lang w:val="en-GB"/>
        </w:rPr>
        <w:t>REPSprog</w:t>
      </w:r>
      <w:proofErr w:type="spellEnd"/>
      <w:r w:rsidRPr="00182EB2">
        <w:rPr>
          <w:lang w:val="en-GB"/>
        </w:rPr>
        <w:t xml:space="preserve"> increased with 2.3±1.7 cm</w:t>
      </w:r>
      <w:r w:rsidRPr="00182EB2">
        <w:rPr>
          <w:vertAlign w:val="superscript"/>
          <w:lang w:val="en-GB"/>
        </w:rPr>
        <w:t>2</w:t>
      </w:r>
      <w:r w:rsidRPr="00182EB2">
        <w:rPr>
          <w:lang w:val="en-GB"/>
        </w:rPr>
        <w:t>. A mean difference of 0.1 cm</w:t>
      </w:r>
      <w:r w:rsidRPr="00182EB2">
        <w:rPr>
          <w:vertAlign w:val="superscript"/>
          <w:lang w:val="en-GB"/>
        </w:rPr>
        <w:t>2</w:t>
      </w:r>
      <w:r w:rsidRPr="00182EB2">
        <w:rPr>
          <w:lang w:val="en-GB"/>
        </w:rPr>
        <w:t xml:space="preserve"> with the 95% confidence interval between – 0.5 and 0.8 cm</w:t>
      </w:r>
      <w:r w:rsidRPr="00182EB2">
        <w:rPr>
          <w:vertAlign w:val="superscript"/>
          <w:lang w:val="en-GB"/>
        </w:rPr>
        <w:t>2</w:t>
      </w:r>
      <w:r w:rsidRPr="00182EB2">
        <w:rPr>
          <w:lang w:val="en-GB"/>
        </w:rPr>
        <w:t>). The mixed model revealed that there was a main effect of time on CSA (</w:t>
      </w:r>
      <w:r w:rsidRPr="00182EB2">
        <w:rPr>
          <w:i/>
          <w:iCs/>
          <w:lang w:val="en-GB"/>
        </w:rPr>
        <w:t>F</w:t>
      </w:r>
      <w:r w:rsidRPr="00182EB2">
        <w:rPr>
          <w:lang w:val="en-GB"/>
        </w:rPr>
        <w:t>=94.07; P&lt;0.0001). There was, however, no significant protocol versus time interaction (</w:t>
      </w:r>
      <w:r w:rsidRPr="00182EB2">
        <w:rPr>
          <w:i/>
          <w:iCs/>
          <w:lang w:val="en-GB"/>
        </w:rPr>
        <w:t>F</w:t>
      </w:r>
      <w:r w:rsidRPr="00182EB2">
        <w:rPr>
          <w:lang w:val="en-GB"/>
        </w:rPr>
        <w:t>=0.02; P=0.87) or protocol main effect (</w:t>
      </w:r>
      <w:r w:rsidRPr="00182EB2">
        <w:rPr>
          <w:i/>
          <w:iCs/>
          <w:lang w:val="en-GB"/>
        </w:rPr>
        <w:t>F</w:t>
      </w:r>
      <w:r w:rsidRPr="00182EB2">
        <w:rPr>
          <w:lang w:val="en-GB"/>
        </w:rPr>
        <w:t xml:space="preserve">=0.57; P=0.45). </w:t>
      </w:r>
    </w:p>
    <w:p w14:paraId="44EFFD03" w14:textId="77777777" w:rsidR="00BE5D5D" w:rsidRPr="00182EB2" w:rsidRDefault="00BE5D5D" w:rsidP="00BE5D5D">
      <w:pPr>
        <w:pStyle w:val="Heading3"/>
        <w:rPr>
          <w:lang w:val="en-GB"/>
        </w:rPr>
      </w:pPr>
      <w:bookmarkStart w:id="2" w:name="_Toc216244199"/>
      <w:r w:rsidRPr="00182EB2">
        <w:rPr>
          <w:lang w:val="en-GB"/>
        </w:rPr>
        <w:t>1.3.2 Cribb et. al. (2007): The effect of Whey isolate, Creatine, and Resistance Training on Muscle Hypertrophy</w:t>
      </w:r>
      <w:bookmarkEnd w:id="2"/>
    </w:p>
    <w:p w14:paraId="45CA3DDF" w14:textId="77777777" w:rsidR="00BE5D5D" w:rsidRPr="00182EB2" w:rsidRDefault="00BE5D5D" w:rsidP="00BE5D5D">
      <w:pPr>
        <w:pStyle w:val="Body"/>
        <w:rPr>
          <w:b/>
          <w:bCs/>
          <w:lang w:val="en-GB"/>
        </w:rPr>
      </w:pPr>
      <w:r w:rsidRPr="00182EB2">
        <w:rPr>
          <w:b/>
          <w:bCs/>
          <w:lang w:val="en-GB"/>
        </w:rPr>
        <w:t>Study design</w:t>
      </w:r>
    </w:p>
    <w:p w14:paraId="7AB46F6C" w14:textId="77777777" w:rsidR="00BE5D5D" w:rsidRPr="00182EB2" w:rsidRDefault="00BE5D5D" w:rsidP="00BE5D5D">
      <w:pPr>
        <w:pStyle w:val="Body"/>
        <w:rPr>
          <w:lang w:val="en-GB"/>
        </w:rPr>
      </w:pPr>
      <w:r w:rsidRPr="00182EB2">
        <w:rPr>
          <w:lang w:val="en-GB"/>
        </w:rPr>
        <w:t xml:space="preserve">Double-blinded randomized protocol to assess the effect of Whey protein and Creatine monohydrate bot separately and in combination on body composition, strength, </w:t>
      </w:r>
      <w:proofErr w:type="spellStart"/>
      <w:r w:rsidRPr="00182EB2">
        <w:rPr>
          <w:lang w:val="en-GB"/>
        </w:rPr>
        <w:t>fiber</w:t>
      </w:r>
      <w:proofErr w:type="spellEnd"/>
      <w:r w:rsidRPr="00182EB2">
        <w:rPr>
          <w:lang w:val="en-GB"/>
        </w:rPr>
        <w:t xml:space="preserve">-specific hypertrophy and contractile protein concentration. </w:t>
      </w:r>
    </w:p>
    <w:p w14:paraId="77237326" w14:textId="77777777" w:rsidR="00BE5D5D" w:rsidRPr="00182EB2" w:rsidRDefault="00BE5D5D" w:rsidP="00BE5D5D">
      <w:pPr>
        <w:pStyle w:val="Body"/>
        <w:rPr>
          <w:b/>
          <w:bCs/>
          <w:lang w:val="en-GB"/>
        </w:rPr>
      </w:pPr>
      <w:r w:rsidRPr="00182EB2">
        <w:rPr>
          <w:b/>
          <w:bCs/>
          <w:lang w:val="en-GB"/>
        </w:rPr>
        <w:t>Participants</w:t>
      </w:r>
    </w:p>
    <w:p w14:paraId="26056ED2" w14:textId="77777777" w:rsidR="00BE5D5D" w:rsidRPr="00182EB2" w:rsidRDefault="00BE5D5D" w:rsidP="00BE5D5D">
      <w:pPr>
        <w:pStyle w:val="Body"/>
        <w:rPr>
          <w:lang w:val="en-GB"/>
        </w:rPr>
      </w:pPr>
      <w:r w:rsidRPr="00182EB2">
        <w:rPr>
          <w:lang w:val="en-GB"/>
        </w:rPr>
        <w:lastRenderedPageBreak/>
        <w:t>33 recreational male bodybuilders were recruited (training 3-5 days a week consistently the previous 6 months) randomly placed into one of 4 groups in a double blinded method. The Whey protein group (WP), Whey Protein and Creatine Monohydrate group (</w:t>
      </w:r>
      <w:proofErr w:type="spellStart"/>
      <w:r w:rsidRPr="00182EB2">
        <w:rPr>
          <w:lang w:val="en-GB"/>
        </w:rPr>
        <w:t>CrWP</w:t>
      </w:r>
      <w:proofErr w:type="spellEnd"/>
      <w:r w:rsidRPr="00182EB2">
        <w:rPr>
          <w:lang w:val="en-GB"/>
        </w:rPr>
        <w:t>), Creatine Monohydrate and carbohydrate group (</w:t>
      </w:r>
      <w:proofErr w:type="spellStart"/>
      <w:r w:rsidRPr="00182EB2">
        <w:rPr>
          <w:lang w:val="en-GB"/>
        </w:rPr>
        <w:t>CrCHO</w:t>
      </w:r>
      <w:proofErr w:type="spellEnd"/>
      <w:r w:rsidRPr="00182EB2">
        <w:rPr>
          <w:lang w:val="en-GB"/>
        </w:rPr>
        <w:t>), or carbohydrate only group (CHO).</w:t>
      </w:r>
    </w:p>
    <w:p w14:paraId="39792510" w14:textId="77777777" w:rsidR="00BE5D5D" w:rsidRPr="00182EB2" w:rsidRDefault="00BE5D5D" w:rsidP="00BE5D5D">
      <w:pPr>
        <w:pStyle w:val="Body"/>
        <w:rPr>
          <w:b/>
          <w:bCs/>
          <w:lang w:val="en-GB"/>
        </w:rPr>
      </w:pPr>
      <w:r w:rsidRPr="00182EB2">
        <w:rPr>
          <w:b/>
          <w:bCs/>
          <w:lang w:val="en-GB"/>
        </w:rPr>
        <w:t>Intervention</w:t>
      </w:r>
    </w:p>
    <w:p w14:paraId="778FA82E" w14:textId="77777777" w:rsidR="00BE5D5D" w:rsidRPr="00182EB2" w:rsidRDefault="00BE5D5D" w:rsidP="00BE5D5D">
      <w:pPr>
        <w:pStyle w:val="Body"/>
        <w:rPr>
          <w:lang w:val="en-GB"/>
        </w:rPr>
      </w:pPr>
      <w:r w:rsidRPr="00182EB2">
        <w:rPr>
          <w:lang w:val="en-GB"/>
        </w:rPr>
        <w:t xml:space="preserve">An 11-week intervention where the WP group consumed 120g a day of Whey protein supplements (103g of protein, &lt;6g of carbohydrates, &lt;1.2g of fat, 447 kilocalories), CHO group consumed 120g a day of supplements (106g of carbohydrates, 0g of protein and fat, 424 kilocalories), </w:t>
      </w:r>
      <w:proofErr w:type="spellStart"/>
      <w:r w:rsidRPr="00182EB2">
        <w:rPr>
          <w:lang w:val="en-GB"/>
        </w:rPr>
        <w:t>CrCHO</w:t>
      </w:r>
      <w:proofErr w:type="spellEnd"/>
      <w:r w:rsidRPr="00182EB2">
        <w:rPr>
          <w:lang w:val="en-GB"/>
        </w:rPr>
        <w:t xml:space="preserve"> and </w:t>
      </w:r>
      <w:proofErr w:type="spellStart"/>
      <w:r w:rsidRPr="00182EB2">
        <w:rPr>
          <w:lang w:val="en-GB"/>
        </w:rPr>
        <w:t>CrWP</w:t>
      </w:r>
      <w:proofErr w:type="spellEnd"/>
      <w:r w:rsidRPr="00182EB2">
        <w:rPr>
          <w:lang w:val="en-GB"/>
        </w:rPr>
        <w:t xml:space="preserve"> groups had a 1-week Creatine monohydrate loading phase (0.3g</w:t>
      </w:r>
      <w:r w:rsidRPr="00182EB2">
        <w:rPr>
          <w:rFonts w:ascii="Segoe UI Symbol" w:hAnsi="Segoe UI Symbol"/>
          <w:lang w:val="en-GB"/>
        </w:rPr>
        <w:t>·</w:t>
      </w:r>
      <w:r w:rsidRPr="00182EB2">
        <w:rPr>
          <w:lang w:val="en-GB"/>
        </w:rPr>
        <w:t>kg</w:t>
      </w:r>
      <w:r w:rsidRPr="00182EB2">
        <w:rPr>
          <w:vertAlign w:val="superscript"/>
          <w:lang w:val="en-GB"/>
        </w:rPr>
        <w:t>-1</w:t>
      </w:r>
      <w:r w:rsidRPr="00182EB2">
        <w:rPr>
          <w:rFonts w:ascii="Segoe UI Symbol" w:hAnsi="Segoe UI Symbol"/>
          <w:lang w:val="en-GB"/>
        </w:rPr>
        <w:t>·</w:t>
      </w:r>
      <w:r w:rsidRPr="00182EB2">
        <w:rPr>
          <w:lang w:val="en-GB"/>
        </w:rPr>
        <w:t>d</w:t>
      </w:r>
      <w:r w:rsidRPr="00182EB2">
        <w:rPr>
          <w:vertAlign w:val="superscript"/>
          <w:lang w:val="en-GB"/>
        </w:rPr>
        <w:t>-1</w:t>
      </w:r>
      <w:r w:rsidRPr="00182EB2">
        <w:rPr>
          <w:lang w:val="en-GB"/>
        </w:rPr>
        <w:t>) followed by a maintenance phase (0.1g</w:t>
      </w:r>
      <w:r w:rsidRPr="00182EB2">
        <w:rPr>
          <w:rFonts w:ascii="Segoe UI Symbol" w:hAnsi="Segoe UI Symbol"/>
          <w:lang w:val="en-GB"/>
        </w:rPr>
        <w:t>·</w:t>
      </w:r>
      <w:r w:rsidRPr="00182EB2">
        <w:rPr>
          <w:lang w:val="en-GB"/>
        </w:rPr>
        <w:t>kg</w:t>
      </w:r>
      <w:r w:rsidRPr="00182EB2">
        <w:rPr>
          <w:vertAlign w:val="superscript"/>
          <w:lang w:val="en-GB"/>
        </w:rPr>
        <w:t>-1</w:t>
      </w:r>
      <w:r w:rsidRPr="00182EB2">
        <w:rPr>
          <w:rFonts w:ascii="Segoe UI Symbol" w:hAnsi="Segoe UI Symbol"/>
          <w:lang w:val="en-GB"/>
        </w:rPr>
        <w:t>·</w:t>
      </w:r>
      <w:r w:rsidRPr="00182EB2">
        <w:rPr>
          <w:lang w:val="en-GB"/>
        </w:rPr>
        <w:t>d</w:t>
      </w:r>
      <w:r w:rsidRPr="00182EB2">
        <w:rPr>
          <w:vertAlign w:val="superscript"/>
          <w:lang w:val="en-GB"/>
        </w:rPr>
        <w:t>-1</w:t>
      </w:r>
      <w:r w:rsidRPr="00182EB2">
        <w:rPr>
          <w:lang w:val="en-GB"/>
        </w:rPr>
        <w:t>) the remaining 10 weeks. The participants also underwent a 10-week RT protocol during the intervention.</w:t>
      </w:r>
    </w:p>
    <w:p w14:paraId="5D33F6F4" w14:textId="77777777" w:rsidR="00BE5D5D" w:rsidRPr="00182EB2" w:rsidRDefault="00BE5D5D" w:rsidP="00BE5D5D">
      <w:pPr>
        <w:pStyle w:val="Body"/>
        <w:rPr>
          <w:b/>
          <w:bCs/>
          <w:lang w:val="en-GB"/>
        </w:rPr>
      </w:pPr>
      <w:r w:rsidRPr="00182EB2">
        <w:rPr>
          <w:b/>
          <w:bCs/>
          <w:lang w:val="en-GB"/>
        </w:rPr>
        <w:t>Body composition and Muscle analysis</w:t>
      </w:r>
    </w:p>
    <w:p w14:paraId="2D95CD6D" w14:textId="77777777" w:rsidR="00BE5D5D" w:rsidRPr="00182EB2" w:rsidRDefault="00BE5D5D" w:rsidP="00BE5D5D">
      <w:pPr>
        <w:pStyle w:val="Body"/>
        <w:rPr>
          <w:lang w:val="en-GB"/>
        </w:rPr>
      </w:pPr>
      <w:r w:rsidRPr="00182EB2">
        <w:rPr>
          <w:lang w:val="en-GB"/>
        </w:rPr>
        <w:t>Lean mass was measured using a dual-energy x-ray absorptiometer (DEXA). CSA was determined from muscle biopsy sections containing a mean of 210 (130-400) muscle Fibers.</w:t>
      </w:r>
    </w:p>
    <w:p w14:paraId="66F69FD1" w14:textId="77777777" w:rsidR="00BE5D5D" w:rsidRPr="00182EB2" w:rsidRDefault="00BE5D5D" w:rsidP="00BE5D5D">
      <w:pPr>
        <w:pStyle w:val="Body"/>
        <w:rPr>
          <w:b/>
          <w:bCs/>
          <w:lang w:val="en-GB"/>
        </w:rPr>
      </w:pPr>
      <w:r w:rsidRPr="00182EB2">
        <w:rPr>
          <w:b/>
          <w:bCs/>
          <w:lang w:val="en-GB"/>
        </w:rPr>
        <w:t>Statistical methods</w:t>
      </w:r>
    </w:p>
    <w:p w14:paraId="1E5E113C" w14:textId="14E28F85" w:rsidR="00BE5D5D" w:rsidRPr="00182EB2" w:rsidRDefault="00BE5D5D" w:rsidP="00BE5D5D">
      <w:pPr>
        <w:pStyle w:val="Body"/>
        <w:rPr>
          <w:lang w:val="en-GB"/>
        </w:rPr>
      </w:pPr>
      <w:r w:rsidRPr="00182EB2">
        <w:rPr>
          <w:lang w:val="en-GB"/>
        </w:rPr>
        <w:t xml:space="preserve">ANOVA was used with group (supplement) and time (training) as factors. If ANOVA findings were significant, Tukey post hoc analysis was performed to determine what specific pairs were different. Prior to the first tests they evaluated how many participants were required to see the same effect size as in select previous studies. This resulted in a statistical power of 80% at 4-7 subjects </w:t>
      </w:r>
      <w:r w:rsidR="00182EB2" w:rsidRPr="00182EB2">
        <w:rPr>
          <w:lang w:val="en-GB"/>
        </w:rPr>
        <w:t>when</w:t>
      </w:r>
      <w:r w:rsidRPr="00182EB2">
        <w:rPr>
          <w:lang w:val="en-GB"/>
        </w:rPr>
        <w:t xml:space="preserve"> </w:t>
      </w:r>
      <w:r w:rsidRPr="00182EB2">
        <w:rPr>
          <w:rFonts w:ascii="Segoe UI Symbol" w:hAnsi="Segoe UI Symbol"/>
          <w:lang w:val="en-GB"/>
        </w:rPr>
        <w:t>α</w:t>
      </w:r>
      <w:r w:rsidRPr="00182EB2">
        <w:rPr>
          <w:lang w:val="en-GB"/>
        </w:rPr>
        <w:t xml:space="preserve">=0.5. Reliability was tested with an ICC two way ANOVA and the Standard Error Measurement method </w:t>
      </w:r>
      <w:r w:rsidRPr="00182EB2">
        <w:rPr>
          <w:lang w:val="en-GB"/>
        </w:rPr>
        <w:fldChar w:fldCharType="begin"/>
      </w:r>
      <w:r w:rsidRPr="00182EB2">
        <w:rPr>
          <w:lang w:val="en-GB"/>
        </w:rPr>
        <w:instrText xml:space="preserve"> ADDIN ZOTERO_ITEM CSL_CITATION {"citationID":"aiSvTXR5","properties":{"formattedCitation":"(Weir, 2005)","plainCitation":"(Weir, 2005)","noteIndex":0},"citationItems":[{"id":170,"uris":["http://zotero.org/users/15409637/items/GZCLN7UL"],"itemData":{"id":170,"type":"article-journal","abstract":"Reliability, the consistency of a test or measurement, is frequently quantified in the movement sciences literature. A common metric is the intraclass correlation coefficient (ICC). In addition, the SEM, which can be calculated from the ICC, is also frequently reported in reliability studies. However, there are several versions of the ICC, and confusion exists in the movement sciences regarding which ICC to use. Further, the utility of the SEM is not fully appreciated. In this review, the basics of classic reliability theory are addressed in the context of choosing and interpreting an ICC. The primary distinction between ICC equations is argued to be one concerning the inclusion (equations 2,1 and 2,k) or exclusion (equations 3,1 and 3,k) of systematic error in the denominator of the ICC equation. Inferential tests of mean differences, which are performed in the process of deriving the necessary variance components for the calculation of ICC values, are useful to determine if systematic error is present. If so, the measurement schedule should be modified (removing trials where learning and/or fatigue effects are present) to remove systematic error, and ICC equations that only consider random error may be safely used. The use of ICC values is discussed in the context of estimating the effects of measurement error on sample size, statistical power, and correlation attenuation. Finally, calculation and application of the SEM are discussed. It is shown how the SEM and its variants can be used to construct confidence intervals for individual scores and to determine the minimal difference needed to be exhibited for one to be confident that a true change in performance of an individual has occurred.","container-title":"The Journal of Strength &amp; Conditioning Research","ISSN":"1064-8011","issue":"1","language":"en-US","page":"231","source":"journals.lww.com","title":"QUANTIFYING TEST-RETEST RELIABILITY USING THE INTRACLASS CORRELATION COEFFICIENT AND THE SEM","volume":"19","author":[{"family":"Weir","given":"Joseph P."}],"issued":{"date-parts":[["2005",2]]},"citation-key":"weirQUANTIFYINGTESTRETESTRELIABILITY2005"}}],"schema":"https://github.com/citation-style-language/schema/raw/master/csl-citation.json"} </w:instrText>
      </w:r>
      <w:r w:rsidRPr="00182EB2">
        <w:rPr>
          <w:lang w:val="en-GB"/>
        </w:rPr>
        <w:fldChar w:fldCharType="separate"/>
      </w:r>
      <w:r w:rsidRPr="00182EB2">
        <w:rPr>
          <w:rFonts w:ascii="Aptos" w:hAnsi="Aptos"/>
          <w:lang w:val="en-GB"/>
        </w:rPr>
        <w:t>(Weir, 2005)</w:t>
      </w:r>
      <w:r w:rsidRPr="00182EB2">
        <w:rPr>
          <w:lang w:val="en-GB"/>
        </w:rPr>
        <w:fldChar w:fldCharType="end"/>
      </w:r>
      <w:r w:rsidRPr="00182EB2">
        <w:rPr>
          <w:lang w:val="en-GB"/>
        </w:rPr>
        <w:t>. To evaluate significant relationships between selected variables, a simple regression model was used.</w:t>
      </w:r>
    </w:p>
    <w:p w14:paraId="19C7EB63" w14:textId="77777777" w:rsidR="00BE5D5D" w:rsidRPr="00182EB2" w:rsidRDefault="00BE5D5D" w:rsidP="00BE5D5D">
      <w:pPr>
        <w:pStyle w:val="Body"/>
        <w:rPr>
          <w:b/>
          <w:bCs/>
          <w:lang w:val="en-GB"/>
        </w:rPr>
      </w:pPr>
      <w:r w:rsidRPr="00182EB2">
        <w:rPr>
          <w:b/>
          <w:bCs/>
          <w:lang w:val="en-GB"/>
        </w:rPr>
        <w:t>Results of DEXA lean mass and Fiber CSA measurements</w:t>
      </w:r>
    </w:p>
    <w:p w14:paraId="259DFE79" w14:textId="77777777" w:rsidR="00BE5D5D" w:rsidRPr="00182EB2" w:rsidRDefault="00BE5D5D" w:rsidP="00BE5D5D">
      <w:pPr>
        <w:pStyle w:val="Body"/>
        <w:rPr>
          <w:lang w:val="en-GB"/>
        </w:rPr>
      </w:pPr>
      <w:r w:rsidRPr="00182EB2">
        <w:rPr>
          <w:lang w:val="en-GB"/>
        </w:rPr>
        <w:lastRenderedPageBreak/>
        <w:t xml:space="preserve">There was a training effect for all groups, DEXA lean body mass measurements: WP +2.3kg, </w:t>
      </w:r>
      <w:proofErr w:type="spellStart"/>
      <w:r w:rsidRPr="00182EB2">
        <w:rPr>
          <w:lang w:val="en-GB"/>
        </w:rPr>
        <w:t>CrWP</w:t>
      </w:r>
      <w:proofErr w:type="spellEnd"/>
      <w:r w:rsidRPr="00182EB2">
        <w:rPr>
          <w:lang w:val="en-GB"/>
        </w:rPr>
        <w:t xml:space="preserve"> +3.4kg, </w:t>
      </w:r>
      <w:proofErr w:type="spellStart"/>
      <w:r w:rsidRPr="00182EB2">
        <w:rPr>
          <w:lang w:val="en-GB"/>
        </w:rPr>
        <w:t>CrCHO</w:t>
      </w:r>
      <w:proofErr w:type="spellEnd"/>
      <w:r w:rsidRPr="00182EB2">
        <w:rPr>
          <w:lang w:val="en-GB"/>
        </w:rPr>
        <w:t xml:space="preserve"> +3.7kg, and CHO +0.7kg (</w:t>
      </w:r>
      <w:r w:rsidRPr="00182EB2">
        <w:rPr>
          <w:i/>
          <w:iCs/>
          <w:lang w:val="en-GB"/>
        </w:rPr>
        <w:t>P</w:t>
      </w:r>
      <w:r w:rsidRPr="00182EB2">
        <w:rPr>
          <w:lang w:val="en-GB"/>
        </w:rPr>
        <w:t xml:space="preserve">=0.001). Only the </w:t>
      </w:r>
      <w:proofErr w:type="spellStart"/>
      <w:r w:rsidRPr="00182EB2">
        <w:rPr>
          <w:lang w:val="en-GB"/>
        </w:rPr>
        <w:t>CrCHO</w:t>
      </w:r>
      <w:proofErr w:type="spellEnd"/>
      <w:r w:rsidRPr="00182EB2">
        <w:rPr>
          <w:lang w:val="en-GB"/>
        </w:rPr>
        <w:t xml:space="preserve"> groups’ lean body mass increase was significantly greater than the CHO groups’ increase in the post hoc analysis (</w:t>
      </w:r>
      <w:r w:rsidRPr="00182EB2">
        <w:rPr>
          <w:i/>
          <w:iCs/>
          <w:lang w:val="en-GB"/>
        </w:rPr>
        <w:t>P</w:t>
      </w:r>
      <w:r w:rsidRPr="00182EB2">
        <w:rPr>
          <w:lang w:val="en-GB"/>
        </w:rPr>
        <w:t xml:space="preserve">&lt;0.05). All groups increased type </w:t>
      </w:r>
      <w:proofErr w:type="spellStart"/>
      <w:r w:rsidRPr="00182EB2">
        <w:rPr>
          <w:lang w:val="en-GB"/>
        </w:rPr>
        <w:t>IIa</w:t>
      </w:r>
      <w:proofErr w:type="spellEnd"/>
      <w:r w:rsidRPr="00182EB2">
        <w:rPr>
          <w:lang w:val="en-GB"/>
        </w:rPr>
        <w:t xml:space="preserve"> and </w:t>
      </w:r>
      <w:proofErr w:type="spellStart"/>
      <w:r w:rsidRPr="00182EB2">
        <w:rPr>
          <w:lang w:val="en-GB"/>
        </w:rPr>
        <w:t>IIx</w:t>
      </w:r>
      <w:proofErr w:type="spellEnd"/>
      <w:r w:rsidRPr="00182EB2">
        <w:rPr>
          <w:lang w:val="en-GB"/>
        </w:rPr>
        <w:t xml:space="preserve"> CSA after intervention (</w:t>
      </w:r>
      <w:r w:rsidRPr="00182EB2">
        <w:rPr>
          <w:i/>
          <w:iCs/>
          <w:lang w:val="en-GB"/>
        </w:rPr>
        <w:t>P</w:t>
      </w:r>
      <w:r w:rsidRPr="00182EB2">
        <w:rPr>
          <w:lang w:val="en-GB"/>
        </w:rPr>
        <w:t>&lt;0.05). There was a group x time interaction for each muscle Fiber CSA (type I (</w:t>
      </w:r>
      <w:r w:rsidRPr="00182EB2">
        <w:rPr>
          <w:i/>
          <w:iCs/>
          <w:lang w:val="en-GB"/>
        </w:rPr>
        <w:t>P</w:t>
      </w:r>
      <w:r w:rsidRPr="00182EB2">
        <w:rPr>
          <w:lang w:val="en-GB"/>
        </w:rPr>
        <w:t xml:space="preserve">=0.001), type </w:t>
      </w:r>
      <w:proofErr w:type="spellStart"/>
      <w:r w:rsidRPr="00182EB2">
        <w:rPr>
          <w:lang w:val="en-GB"/>
        </w:rPr>
        <w:t>IIa</w:t>
      </w:r>
      <w:proofErr w:type="spellEnd"/>
      <w:r w:rsidRPr="00182EB2">
        <w:rPr>
          <w:lang w:val="en-GB"/>
        </w:rPr>
        <w:t xml:space="preserve"> (</w:t>
      </w:r>
      <w:r w:rsidRPr="00182EB2">
        <w:rPr>
          <w:i/>
          <w:iCs/>
          <w:lang w:val="en-GB"/>
        </w:rPr>
        <w:t>P</w:t>
      </w:r>
      <w:r w:rsidRPr="00182EB2">
        <w:rPr>
          <w:lang w:val="en-GB"/>
        </w:rPr>
        <w:t xml:space="preserve">=0.001), and type </w:t>
      </w:r>
      <w:proofErr w:type="spellStart"/>
      <w:r w:rsidRPr="00182EB2">
        <w:rPr>
          <w:lang w:val="en-GB"/>
        </w:rPr>
        <w:t>IIx</w:t>
      </w:r>
      <w:proofErr w:type="spellEnd"/>
      <w:r w:rsidRPr="00182EB2">
        <w:rPr>
          <w:lang w:val="en-GB"/>
        </w:rPr>
        <w:t xml:space="preserve"> (</w:t>
      </w:r>
      <w:r w:rsidRPr="00182EB2">
        <w:rPr>
          <w:i/>
          <w:iCs/>
          <w:lang w:val="en-GB"/>
        </w:rPr>
        <w:t>P</w:t>
      </w:r>
      <w:r w:rsidRPr="00182EB2">
        <w:rPr>
          <w:lang w:val="en-GB"/>
        </w:rPr>
        <w:t xml:space="preserve">=0.001)). Post hoc showed that the </w:t>
      </w:r>
      <w:proofErr w:type="spellStart"/>
      <w:r w:rsidRPr="00182EB2">
        <w:rPr>
          <w:lang w:val="en-GB"/>
        </w:rPr>
        <w:t>CrCHO</w:t>
      </w:r>
      <w:proofErr w:type="spellEnd"/>
      <w:r w:rsidRPr="00182EB2">
        <w:rPr>
          <w:lang w:val="en-GB"/>
        </w:rPr>
        <w:t xml:space="preserve"> and </w:t>
      </w:r>
      <w:proofErr w:type="spellStart"/>
      <w:r w:rsidRPr="00182EB2">
        <w:rPr>
          <w:lang w:val="en-GB"/>
        </w:rPr>
        <w:t>CrWP</w:t>
      </w:r>
      <w:proofErr w:type="spellEnd"/>
      <w:r w:rsidRPr="00182EB2">
        <w:rPr>
          <w:lang w:val="en-GB"/>
        </w:rPr>
        <w:t xml:space="preserve"> groups demonstrated a greater increase in each Fiber type CSA compared to the CHO group (</w:t>
      </w:r>
      <w:r w:rsidRPr="00182EB2">
        <w:rPr>
          <w:i/>
          <w:iCs/>
          <w:lang w:val="en-GB"/>
        </w:rPr>
        <w:t>P</w:t>
      </w:r>
      <w:r w:rsidRPr="00182EB2">
        <w:rPr>
          <w:lang w:val="en-GB"/>
        </w:rPr>
        <w:t>&lt;0.05), and in type I CSA compared to the WP group (</w:t>
      </w:r>
      <w:r w:rsidRPr="00182EB2">
        <w:rPr>
          <w:i/>
          <w:iCs/>
          <w:lang w:val="en-GB"/>
        </w:rPr>
        <w:t>P</w:t>
      </w:r>
      <w:r w:rsidRPr="00182EB2">
        <w:rPr>
          <w:lang w:val="en-GB"/>
        </w:rPr>
        <w:t xml:space="preserve">&lt;0.05). </w:t>
      </w:r>
    </w:p>
    <w:p w14:paraId="52733D7C" w14:textId="07B05E11" w:rsidR="00FE3411" w:rsidRPr="00182EB2" w:rsidRDefault="00FE3411" w:rsidP="00FE3411">
      <w:pPr>
        <w:pStyle w:val="Heading3"/>
        <w:rPr>
          <w:lang w:val="en-GB"/>
        </w:rPr>
      </w:pPr>
      <w:r w:rsidRPr="00182EB2">
        <w:rPr>
          <w:lang w:val="en-GB"/>
        </w:rPr>
        <w:t>1.3.3 Evangelista et. al. (2021) Split or full-body workout routine: Which is best to increase muscle strength and hypertrophy</w:t>
      </w:r>
    </w:p>
    <w:p w14:paraId="7F6701DF" w14:textId="1282CDCB" w:rsidR="003166AF" w:rsidRPr="00182EB2" w:rsidRDefault="00182EB2">
      <w:pPr>
        <w:rPr>
          <w:b/>
          <w:bCs/>
          <w:lang w:val="en-GB"/>
        </w:rPr>
      </w:pPr>
      <w:r w:rsidRPr="00182EB2">
        <w:rPr>
          <w:b/>
          <w:bCs/>
          <w:lang w:val="en-GB"/>
        </w:rPr>
        <w:t>Study design</w:t>
      </w:r>
    </w:p>
    <w:p w14:paraId="6BCD66BE" w14:textId="7F91F540" w:rsidR="00182EB2" w:rsidRDefault="00182EB2" w:rsidP="00182EB2">
      <w:pPr>
        <w:pStyle w:val="Body"/>
        <w:rPr>
          <w:lang w:val="en-GB"/>
        </w:rPr>
      </w:pPr>
      <w:r>
        <w:rPr>
          <w:lang w:val="en-GB"/>
        </w:rPr>
        <w:t xml:space="preserve">A randomized study to compare the effects of a split and a full-body workout routine on muscle strength and </w:t>
      </w:r>
      <w:r w:rsidR="000B3AEB">
        <w:rPr>
          <w:lang w:val="en-GB"/>
        </w:rPr>
        <w:t>Muscle T</w:t>
      </w:r>
      <w:r>
        <w:rPr>
          <w:lang w:val="en-GB"/>
        </w:rPr>
        <w:t>hickness</w:t>
      </w:r>
      <w:r w:rsidR="000B3AEB">
        <w:rPr>
          <w:lang w:val="en-GB"/>
        </w:rPr>
        <w:t xml:space="preserve"> (MT)</w:t>
      </w:r>
      <w:r>
        <w:rPr>
          <w:lang w:val="en-GB"/>
        </w:rPr>
        <w:t>.</w:t>
      </w:r>
    </w:p>
    <w:p w14:paraId="77D5CA93" w14:textId="6CE21710" w:rsidR="00182EB2" w:rsidRDefault="00182EB2" w:rsidP="00182EB2">
      <w:pPr>
        <w:pStyle w:val="Body"/>
        <w:rPr>
          <w:b/>
          <w:bCs/>
          <w:lang w:val="en-GB"/>
        </w:rPr>
      </w:pPr>
      <w:r>
        <w:rPr>
          <w:b/>
          <w:bCs/>
          <w:lang w:val="en-GB"/>
        </w:rPr>
        <w:t>Participants</w:t>
      </w:r>
    </w:p>
    <w:p w14:paraId="4A6B06A6" w14:textId="7ECB7DB7" w:rsidR="00182EB2" w:rsidRDefault="00182EB2" w:rsidP="00182EB2">
      <w:pPr>
        <w:pStyle w:val="Body"/>
        <w:rPr>
          <w:lang w:val="en-GB"/>
        </w:rPr>
      </w:pPr>
      <w:r>
        <w:rPr>
          <w:lang w:val="en-GB"/>
        </w:rPr>
        <w:t xml:space="preserve">67 untrained </w:t>
      </w:r>
      <w:r w:rsidR="006C0487">
        <w:rPr>
          <w:lang w:val="en-GB"/>
        </w:rPr>
        <w:t>male subjects</w:t>
      </w:r>
      <w:r>
        <w:rPr>
          <w:lang w:val="en-GB"/>
        </w:rPr>
        <w:t xml:space="preserve"> (no RT the last 6 months, diabetes mellitus, regular smoking, musculoskeletal complications and/or cardiovascular changes confirmed by medical evaluation). </w:t>
      </w:r>
      <w:r w:rsidR="006C0487">
        <w:rPr>
          <w:lang w:val="en-GB"/>
        </w:rPr>
        <w:t xml:space="preserve">The participants were randomly assigned to the split workout routine (n=35) or the full-body routine (n=32). </w:t>
      </w:r>
    </w:p>
    <w:p w14:paraId="04A76F6E" w14:textId="55ED13E3" w:rsidR="006C0487" w:rsidRDefault="006C0487" w:rsidP="00182EB2">
      <w:pPr>
        <w:pStyle w:val="Body"/>
        <w:rPr>
          <w:b/>
          <w:bCs/>
          <w:lang w:val="en-GB"/>
        </w:rPr>
      </w:pPr>
      <w:r>
        <w:rPr>
          <w:b/>
          <w:bCs/>
          <w:lang w:val="en-GB"/>
        </w:rPr>
        <w:t>Intervention</w:t>
      </w:r>
    </w:p>
    <w:p w14:paraId="1D7FD904" w14:textId="26612D44" w:rsidR="006C0487" w:rsidRDefault="006C0487" w:rsidP="00182EB2">
      <w:pPr>
        <w:pStyle w:val="Body"/>
        <w:rPr>
          <w:lang w:val="en-GB"/>
        </w:rPr>
      </w:pPr>
      <w:r>
        <w:rPr>
          <w:lang w:val="en-GB"/>
        </w:rPr>
        <w:t xml:space="preserve">The full-body </w:t>
      </w:r>
      <w:r w:rsidR="00FB5F63">
        <w:rPr>
          <w:lang w:val="en-GB"/>
        </w:rPr>
        <w:t>workout routine consisted of four sessions per week where all muscle groups had 4 sets each</w:t>
      </w:r>
      <w:r w:rsidR="00805670">
        <w:rPr>
          <w:lang w:val="en-GB"/>
        </w:rPr>
        <w:t>, 4-12RM, 60 second rest between sets</w:t>
      </w:r>
      <w:r w:rsidR="00FB5F63">
        <w:rPr>
          <w:lang w:val="en-GB"/>
        </w:rPr>
        <w:t xml:space="preserve">. The split workout routine consisted of an A and B session, each session was twice a week (i.e. session A on Mondays and Thursdays, session B on Tuesdays and Fridays). </w:t>
      </w:r>
      <w:r w:rsidR="000B3AEB">
        <w:rPr>
          <w:lang w:val="en-GB"/>
        </w:rPr>
        <w:t xml:space="preserve">The only difference between groups was the frequency of exercise per muscle. This protocol lasted 8 weeks. </w:t>
      </w:r>
    </w:p>
    <w:p w14:paraId="08828085" w14:textId="15BCFD2E" w:rsidR="000B3AEB" w:rsidRDefault="000B3AEB" w:rsidP="00182EB2">
      <w:pPr>
        <w:pStyle w:val="Body"/>
        <w:rPr>
          <w:b/>
          <w:bCs/>
          <w:lang w:val="en-GB"/>
        </w:rPr>
      </w:pPr>
      <w:r>
        <w:rPr>
          <w:b/>
          <w:bCs/>
          <w:lang w:val="en-GB"/>
        </w:rPr>
        <w:t>US measurements of MT</w:t>
      </w:r>
    </w:p>
    <w:p w14:paraId="08B00F76" w14:textId="18D9FF03" w:rsidR="000B3AEB" w:rsidRDefault="000B3AEB" w:rsidP="00182EB2">
      <w:pPr>
        <w:pStyle w:val="Body"/>
        <w:rPr>
          <w:lang w:val="en-GB"/>
        </w:rPr>
      </w:pPr>
      <w:r>
        <w:rPr>
          <w:lang w:val="en-GB"/>
        </w:rPr>
        <w:lastRenderedPageBreak/>
        <w:t xml:space="preserve">US was used to assess </w:t>
      </w:r>
      <w:r w:rsidR="00DF0D5D">
        <w:rPr>
          <w:lang w:val="en-GB"/>
        </w:rPr>
        <w:t>the MT of the participants’ biceps brachii (MT</w:t>
      </w:r>
      <w:r w:rsidR="00DF0D5D">
        <w:rPr>
          <w:vertAlign w:val="subscript"/>
          <w:lang w:val="en-GB"/>
        </w:rPr>
        <w:t>BB</w:t>
      </w:r>
      <w:r w:rsidR="00DF0D5D">
        <w:rPr>
          <w:lang w:val="en-GB"/>
        </w:rPr>
        <w:t>), triceps brachii (MT</w:t>
      </w:r>
      <w:r w:rsidR="00DF0D5D">
        <w:rPr>
          <w:vertAlign w:val="subscript"/>
          <w:lang w:val="en-GB"/>
        </w:rPr>
        <w:t>TB</w:t>
      </w:r>
      <w:r w:rsidR="00DF0D5D">
        <w:rPr>
          <w:lang w:val="en-GB"/>
        </w:rPr>
        <w:t>), vastus lateralis (MT</w:t>
      </w:r>
      <w:r w:rsidR="00DF0D5D">
        <w:rPr>
          <w:vertAlign w:val="subscript"/>
          <w:lang w:val="en-GB"/>
        </w:rPr>
        <w:t>VL</w:t>
      </w:r>
      <w:r w:rsidR="00DF0D5D">
        <w:rPr>
          <w:lang w:val="en-GB"/>
        </w:rPr>
        <w:t>) and rectus femoris (MT</w:t>
      </w:r>
      <w:r w:rsidR="00DF0D5D">
        <w:rPr>
          <w:vertAlign w:val="subscript"/>
          <w:lang w:val="en-GB"/>
        </w:rPr>
        <w:t>RF</w:t>
      </w:r>
      <w:r w:rsidR="00DF0D5D">
        <w:rPr>
          <w:lang w:val="en-GB"/>
        </w:rPr>
        <w:t>)</w:t>
      </w:r>
      <w:r w:rsidR="00DF309B">
        <w:rPr>
          <w:lang w:val="en-GB"/>
        </w:rPr>
        <w:t xml:space="preserve"> pre and post training intervention</w:t>
      </w:r>
      <w:r w:rsidR="00DF0D5D">
        <w:rPr>
          <w:lang w:val="en-GB"/>
        </w:rPr>
        <w:t>. Upper arm measurements were done at the 60% point in the distance between the lateral epicondyle of the humerus (elbow) and the acromion process of the scapula (shoulder). Similarly to Chaves et. al. (2024) the thigh measurements were done at the middle point between the lateral condyle of the femur</w:t>
      </w:r>
      <w:r w:rsidR="00DF309B">
        <w:rPr>
          <w:lang w:val="en-GB"/>
        </w:rPr>
        <w:t xml:space="preserve"> (knee)</w:t>
      </w:r>
      <w:r w:rsidR="00DF0D5D">
        <w:rPr>
          <w:lang w:val="en-GB"/>
        </w:rPr>
        <w:t xml:space="preserve"> and the greater trochanter</w:t>
      </w:r>
      <w:r w:rsidR="00DF309B">
        <w:rPr>
          <w:lang w:val="en-GB"/>
        </w:rPr>
        <w:t xml:space="preserve"> (hip)</w:t>
      </w:r>
      <w:r w:rsidR="00DF0D5D">
        <w:rPr>
          <w:lang w:val="en-GB"/>
        </w:rPr>
        <w:t xml:space="preserve">. </w:t>
      </w:r>
      <w:r w:rsidR="00DF309B">
        <w:rPr>
          <w:lang w:val="en-GB"/>
        </w:rPr>
        <w:t>Limbs were secured during measurements, to minimize the movement. To counteract muscle swelling, imaging was attained 48 to 72 hours after the final training session. A minimum of three images were obtained per site for the sake of increased measurement accuracy. Measurements differing by less than 1mm were calculated to an average value. If the three images differed by more than 1mm a fourth image was obtained and the three closest images were used to obtain the average value.</w:t>
      </w:r>
    </w:p>
    <w:p w14:paraId="4E84FF91" w14:textId="7FADDD63" w:rsidR="00805670" w:rsidRDefault="00805670" w:rsidP="00182EB2">
      <w:pPr>
        <w:pStyle w:val="Body"/>
        <w:rPr>
          <w:b/>
          <w:bCs/>
          <w:lang w:val="en-GB"/>
        </w:rPr>
      </w:pPr>
      <w:r>
        <w:rPr>
          <w:b/>
          <w:bCs/>
          <w:lang w:val="en-GB"/>
        </w:rPr>
        <w:t>Statistical methods</w:t>
      </w:r>
    </w:p>
    <w:p w14:paraId="14EA4302" w14:textId="53A09EB8" w:rsidR="00805670" w:rsidRPr="00707D24" w:rsidRDefault="00707D24" w:rsidP="00182EB2">
      <w:pPr>
        <w:pStyle w:val="Body"/>
        <w:rPr>
          <w:lang w:val="en-GB"/>
        </w:rPr>
      </w:pPr>
      <w:r>
        <w:rPr>
          <w:lang w:val="en-GB"/>
        </w:rPr>
        <w:t>Normality and homogeneity of variances were tested with the Shapiro-Wilk test and the Levene test, respectively. Data was log-transformed to meet the assumptions of homogeneity and normality are met. Means, SD and 95% CI was computed with data transformed back to the original values (removed log-transformation). Repeated measures ANOVA was done on variables MT</w:t>
      </w:r>
      <w:r>
        <w:rPr>
          <w:vertAlign w:val="subscript"/>
          <w:lang w:val="en-GB"/>
        </w:rPr>
        <w:t>BB/TB/VL/RF</w:t>
      </w:r>
      <w:r>
        <w:rPr>
          <w:lang w:val="en-GB"/>
        </w:rPr>
        <w:t xml:space="preserve"> within the factor of timepoint (pre vs post) and between the factors of group (Split versus </w:t>
      </w:r>
      <w:r w:rsidR="00FF2B76">
        <w:rPr>
          <w:lang w:val="en-GB"/>
        </w:rPr>
        <w:t>full body</w:t>
      </w:r>
      <w:r>
        <w:rPr>
          <w:lang w:val="en-GB"/>
        </w:rPr>
        <w:t>).</w:t>
      </w:r>
    </w:p>
    <w:p w14:paraId="29E5800F" w14:textId="77777777" w:rsidR="00531BCE" w:rsidRPr="000B3AEB" w:rsidRDefault="00531BCE" w:rsidP="00182EB2">
      <w:pPr>
        <w:pStyle w:val="Body"/>
        <w:rPr>
          <w:lang w:val="en-GB"/>
        </w:rPr>
      </w:pPr>
    </w:p>
    <w:sectPr w:rsidR="00531BCE" w:rsidRPr="000B3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5D"/>
    <w:rsid w:val="000B3AEB"/>
    <w:rsid w:val="00182EB2"/>
    <w:rsid w:val="001F5E48"/>
    <w:rsid w:val="0024107A"/>
    <w:rsid w:val="002F0AA7"/>
    <w:rsid w:val="002F642B"/>
    <w:rsid w:val="003166AF"/>
    <w:rsid w:val="004E0921"/>
    <w:rsid w:val="004E7626"/>
    <w:rsid w:val="00531BCE"/>
    <w:rsid w:val="006C0487"/>
    <w:rsid w:val="00707D24"/>
    <w:rsid w:val="00805670"/>
    <w:rsid w:val="00A25619"/>
    <w:rsid w:val="00A64EE2"/>
    <w:rsid w:val="00AD0524"/>
    <w:rsid w:val="00B7063E"/>
    <w:rsid w:val="00BE5D5D"/>
    <w:rsid w:val="00DF0D5D"/>
    <w:rsid w:val="00DF309B"/>
    <w:rsid w:val="00E322D2"/>
    <w:rsid w:val="00FB5F63"/>
    <w:rsid w:val="00FE3411"/>
    <w:rsid w:val="00FF2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58A14"/>
  <w15:chartTrackingRefBased/>
  <w15:docId w15:val="{B7B7DE87-78C1-4CC1-B396-744FE95E4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BE5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5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D5D"/>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rsid w:val="00BE5D5D"/>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rsid w:val="00BE5D5D"/>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semiHidden/>
    <w:rsid w:val="00BE5D5D"/>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BE5D5D"/>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BE5D5D"/>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BE5D5D"/>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BE5D5D"/>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BE5D5D"/>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BE5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D5D"/>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BE5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D5D"/>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BE5D5D"/>
    <w:pPr>
      <w:spacing w:before="160"/>
      <w:jc w:val="center"/>
    </w:pPr>
    <w:rPr>
      <w:i/>
      <w:iCs/>
      <w:color w:val="404040" w:themeColor="text1" w:themeTint="BF"/>
    </w:rPr>
  </w:style>
  <w:style w:type="character" w:customStyle="1" w:styleId="QuoteChar">
    <w:name w:val="Quote Char"/>
    <w:basedOn w:val="DefaultParagraphFont"/>
    <w:link w:val="Quote"/>
    <w:uiPriority w:val="29"/>
    <w:rsid w:val="00BE5D5D"/>
    <w:rPr>
      <w:i/>
      <w:iCs/>
      <w:color w:val="404040" w:themeColor="text1" w:themeTint="BF"/>
      <w:lang w:val="nb-NO"/>
    </w:rPr>
  </w:style>
  <w:style w:type="paragraph" w:styleId="ListParagraph">
    <w:name w:val="List Paragraph"/>
    <w:basedOn w:val="Normal"/>
    <w:uiPriority w:val="34"/>
    <w:qFormat/>
    <w:rsid w:val="00BE5D5D"/>
    <w:pPr>
      <w:ind w:left="720"/>
      <w:contextualSpacing/>
    </w:pPr>
  </w:style>
  <w:style w:type="character" w:styleId="IntenseEmphasis">
    <w:name w:val="Intense Emphasis"/>
    <w:basedOn w:val="DefaultParagraphFont"/>
    <w:uiPriority w:val="21"/>
    <w:qFormat/>
    <w:rsid w:val="00BE5D5D"/>
    <w:rPr>
      <w:i/>
      <w:iCs/>
      <w:color w:val="0F4761" w:themeColor="accent1" w:themeShade="BF"/>
    </w:rPr>
  </w:style>
  <w:style w:type="paragraph" w:styleId="IntenseQuote">
    <w:name w:val="Intense Quote"/>
    <w:basedOn w:val="Normal"/>
    <w:next w:val="Normal"/>
    <w:link w:val="IntenseQuoteChar"/>
    <w:uiPriority w:val="30"/>
    <w:qFormat/>
    <w:rsid w:val="00BE5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D5D"/>
    <w:rPr>
      <w:i/>
      <w:iCs/>
      <w:color w:val="0F4761" w:themeColor="accent1" w:themeShade="BF"/>
      <w:lang w:val="nb-NO"/>
    </w:rPr>
  </w:style>
  <w:style w:type="character" w:styleId="IntenseReference">
    <w:name w:val="Intense Reference"/>
    <w:basedOn w:val="DefaultParagraphFont"/>
    <w:uiPriority w:val="32"/>
    <w:qFormat/>
    <w:rsid w:val="00BE5D5D"/>
    <w:rPr>
      <w:b/>
      <w:bCs/>
      <w:smallCaps/>
      <w:color w:val="0F4761" w:themeColor="accent1" w:themeShade="BF"/>
      <w:spacing w:val="5"/>
    </w:rPr>
  </w:style>
  <w:style w:type="paragraph" w:customStyle="1" w:styleId="Body">
    <w:name w:val="Body"/>
    <w:basedOn w:val="Normal"/>
    <w:link w:val="BodyChar"/>
    <w:qFormat/>
    <w:rsid w:val="00BE5D5D"/>
    <w:pPr>
      <w:spacing w:before="240" w:after="240" w:line="360" w:lineRule="auto"/>
    </w:pPr>
    <w:rPr>
      <w:sz w:val="24"/>
      <w:szCs w:val="24"/>
      <w:lang w:bidi="th-TH"/>
    </w:rPr>
  </w:style>
  <w:style w:type="character" w:customStyle="1" w:styleId="BodyChar">
    <w:name w:val="Body Char"/>
    <w:basedOn w:val="DefaultParagraphFont"/>
    <w:link w:val="Body"/>
    <w:rsid w:val="00BE5D5D"/>
    <w:rPr>
      <w:sz w:val="24"/>
      <w:szCs w:val="24"/>
      <w:lang w:val="nb-NO"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3330</TotalTime>
  <Pages>5</Pages>
  <Words>1606</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Henrik Thomas Parrow Hoff Picton</dc:creator>
  <cp:keywords/>
  <dc:description/>
  <cp:lastModifiedBy>Henrik Thomas Parrow Hoff Picton</cp:lastModifiedBy>
  <cp:revision>2</cp:revision>
  <dcterms:created xsi:type="dcterms:W3CDTF">2025-12-10T15:56:00Z</dcterms:created>
  <dcterms:modified xsi:type="dcterms:W3CDTF">2025-12-25T09:03:00Z</dcterms:modified>
</cp:coreProperties>
</file>