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508AA538"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8843DB">
        <w:instrText xml:space="preserve"> ADDIN ZOTERO_ITEM CSL_CITATION {"citationID":"rWxklQAh","properties":{"formattedCitation":"(Li et al., 2018; Suchomel et al., 2016a)","plainCitation":"(Li et al., 2018; Suchomel et al., 2016a)","noteIndex":0},"citationItems":[{"id":202,"uris":["http://zotero.org/users/15409637/items/ZMSIYWZG"],"itemData":{"id":202,"type":"article-journal","container-title":"Medicine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8843DB" w:rsidRPr="008843DB">
        <w:rPr>
          <w:rFonts w:ascii="Aptos" w:hAnsi="Aptos"/>
        </w:rPr>
        <w:t>(Li et al., 2018; Suchomel et al., 2016a)</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1B1898B2"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r w:rsidR="00134E57">
        <w:t>MCSA</w:t>
      </w:r>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(Chaves et al., 2024; Cribb et al., 2007; Evangelista et al., 2021; Ruple et al., 2023; Schoenfeld et al., 2015, 2019; Schoenfeld, Pope, et al., 2016; Wohlann et al., 2024)</w:t>
      </w:r>
      <w:r w:rsidR="008800CE">
        <w:fldChar w:fldCharType="end"/>
      </w:r>
      <w:r w:rsidR="008800CE">
        <w:t xml:space="preserve">. The exceptions being the increasing repetition group in Chaves et al (2024) as they set the load to 80% 1RM and increased repetitions from session to session, </w:t>
      </w:r>
      <w:proofErr w:type="spellStart"/>
      <w:r w:rsidR="008800CE">
        <w:t>Kassiano</w:t>
      </w:r>
      <w:proofErr w:type="spellEnd"/>
      <w:r w:rsidR="008800CE">
        <w:t xml:space="preserve">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5993C03E"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r w:rsidR="00134E57">
        <w:t>MCSA</w:t>
      </w:r>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25FEC94F" w:rsidR="00F70AEC" w:rsidRPr="00F70AEC" w:rsidRDefault="002E03C4" w:rsidP="002E03C4">
      <w:pPr>
        <w:pStyle w:val="Body"/>
      </w:pPr>
      <w:r>
        <w:t xml:space="preserve">Because of its accurate and non-invasive measurement of muscle mass, MRI is known as the gold standard for establishing </w:t>
      </w:r>
      <w:r w:rsidR="00134E57">
        <w:t>MCSA</w:t>
      </w:r>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(Lixandrão et al., 2014; Mitsiopoulos et al., 1998)</w:t>
      </w:r>
      <w:r>
        <w:fldChar w:fldCharType="end"/>
      </w:r>
      <w:r>
        <w:t xml:space="preserve">. </w:t>
      </w:r>
      <w:r w:rsidR="00AB51E0">
        <w:t xml:space="preserve">Neves et al. (2022) were the only study to use MRI to establish the </w:t>
      </w:r>
      <w:r w:rsidR="00134E57">
        <w:t>MCSA</w:t>
      </w:r>
      <w:r w:rsidR="00AB51E0">
        <w:t xml:space="preserve"> of Quadriceps Femoris pre and post intervention. Assessment of the MRI images were plotted by a blinded specialized researcher.</w:t>
      </w:r>
      <w:r w:rsidR="009A5C28">
        <w:t xml:space="preserve"> The biggest problem with MRI is its availability and need for specialized expertise,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0096A43E"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r w:rsidR="00134E57">
        <w:t>MCSA</w:t>
      </w:r>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(Evangelista et al., 2021; Kassiano et al., 2023; Ruple et al., 2023; Schoenfeld et al., 2015, 2019; Schoenfeld, Pope, et al., 2016)</w:t>
      </w:r>
      <w:r w:rsidR="00C56CCC">
        <w:fldChar w:fldCharType="end"/>
      </w:r>
      <w:r w:rsidR="00C56CCC">
        <w:t xml:space="preserve">. </w:t>
      </w:r>
    </w:p>
    <w:p w14:paraId="090F446F" w14:textId="471FFD95" w:rsidR="002E03C4" w:rsidRPr="002E03C4" w:rsidRDefault="00C56CCC" w:rsidP="002E03C4">
      <w:pPr>
        <w:pStyle w:val="Body"/>
      </w:pPr>
      <w:r>
        <w:t xml:space="preserve">Measuring </w:t>
      </w:r>
      <w:r w:rsidR="00134E57">
        <w:t>MCSA</w:t>
      </w:r>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r w:rsidR="00134E57">
        <w:t>MCSA</w:t>
      </w:r>
      <w:r w:rsidR="009B1701">
        <w:t xml:space="preserve"> could be measured in a separate program (ImageJ). Unlike the </w:t>
      </w:r>
      <w:proofErr w:type="gramStart"/>
      <w:r w:rsidR="009B1701">
        <w:t>aforementioned method</w:t>
      </w:r>
      <w:proofErr w:type="gramEnd"/>
      <w:r w:rsidR="009B1701">
        <w:t xml:space="preserve">,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 xml:space="preserve">fibre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To investigate if hypertrophy occurred, 9 of the 10 studies investigate</w:t>
      </w:r>
      <w:r w:rsidR="00A10E34">
        <w:t xml:space="preserve">d </w:t>
      </w:r>
      <w:r>
        <w:t xml:space="preserve">the within individual effect of time on muscle mass.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(Chaves et al., 2024; Cribb et al., 2007; Evangelista et al., 2021; Neves et al., 2022; Schoenfeld et al., 2015, 2019; Schoenfeld, Ogborn, et al., 2016; Wohlann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w:t>
      </w:r>
      <w:proofErr w:type="spellStart"/>
      <w:r w:rsidR="00A10E34">
        <w:t>Kassiano</w:t>
      </w:r>
      <w:proofErr w:type="spellEnd"/>
      <w:r w:rsidR="00A10E34">
        <w:t xml:space="preserve">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(Hecksteden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w:t>
      </w:r>
      <w:proofErr w:type="gramStart"/>
      <w:r>
        <w:t>aforementioned causal</w:t>
      </w:r>
      <w:proofErr w:type="gramEnd"/>
      <w:r>
        <w:t xml:space="preserve">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2CFF4AC5" w:rsidR="00334360" w:rsidRDefault="00A753DE" w:rsidP="00334360">
      <w:pPr>
        <w:pStyle w:val="Heading3"/>
      </w:pPr>
      <w:r>
        <w:t xml:space="preserve">2.1 </w:t>
      </w:r>
      <w:r w:rsidR="00334360">
        <w:t>Introduction</w:t>
      </w:r>
    </w:p>
    <w:p w14:paraId="3DA87CAD" w14:textId="77777777" w:rsidR="00770330" w:rsidRPr="00770330" w:rsidRDefault="00770330" w:rsidP="00770330">
      <w:pPr>
        <w:pStyle w:val="Body"/>
        <w:rPr>
          <w:color w:val="FF0000"/>
        </w:rPr>
      </w:pPr>
      <w:r w:rsidRPr="00770330">
        <w:rPr>
          <w:color w:val="FF0000"/>
        </w:rPr>
        <w:t xml:space="preserve">Research question: Is higher baseline </w:t>
      </w:r>
      <w:proofErr w:type="spellStart"/>
      <w:r w:rsidRPr="00770330">
        <w:rPr>
          <w:color w:val="FF0000"/>
        </w:rPr>
        <w:t>musclemass</w:t>
      </w:r>
      <w:proofErr w:type="spellEnd"/>
      <w:r w:rsidRPr="00770330">
        <w:rPr>
          <w:color w:val="FF0000"/>
        </w:rPr>
        <w:t xml:space="preserve"> associated with a greater hypertrophic response to resistance </w:t>
      </w:r>
      <w:proofErr w:type="spellStart"/>
      <w:r w:rsidRPr="00770330">
        <w:rPr>
          <w:color w:val="FF0000"/>
        </w:rPr>
        <w:t>traning</w:t>
      </w:r>
      <w:proofErr w:type="spellEnd"/>
      <w:r w:rsidRPr="00770330">
        <w:rPr>
          <w:color w:val="FF0000"/>
        </w:rPr>
        <w:t xml:space="preserve">? </w:t>
      </w:r>
    </w:p>
    <w:p w14:paraId="03C3C175" w14:textId="77777777" w:rsidR="00770330" w:rsidRPr="00770330" w:rsidRDefault="00770330" w:rsidP="00770330">
      <w:pPr>
        <w:pStyle w:val="Body"/>
        <w:rPr>
          <w:color w:val="FF0000"/>
        </w:rPr>
      </w:pPr>
    </w:p>
    <w:p w14:paraId="07E1595C" w14:textId="77777777" w:rsidR="00770330" w:rsidRPr="00770330" w:rsidRDefault="00770330" w:rsidP="00770330">
      <w:pPr>
        <w:pStyle w:val="Body"/>
        <w:rPr>
          <w:color w:val="FF0000"/>
        </w:rPr>
      </w:pPr>
      <w:r w:rsidRPr="00770330">
        <w:rPr>
          <w:color w:val="FF0000"/>
        </w:rPr>
        <w:t xml:space="preserve">Null hypothesis: Higher baseline </w:t>
      </w:r>
      <w:proofErr w:type="spellStart"/>
      <w:r w:rsidRPr="00770330">
        <w:rPr>
          <w:color w:val="FF0000"/>
        </w:rPr>
        <w:t>musclemass</w:t>
      </w:r>
      <w:proofErr w:type="spellEnd"/>
      <w:r w:rsidRPr="00770330">
        <w:rPr>
          <w:color w:val="FF0000"/>
        </w:rPr>
        <w:t xml:space="preserve"> is not associated with a greater hypertrophic response</w:t>
      </w:r>
    </w:p>
    <w:p w14:paraId="342ED976" w14:textId="150B0703" w:rsidR="00770330" w:rsidRPr="00770330" w:rsidRDefault="00770330" w:rsidP="00770330">
      <w:pPr>
        <w:pStyle w:val="Body"/>
        <w:rPr>
          <w:color w:val="FF0000"/>
        </w:rPr>
      </w:pPr>
      <w:r w:rsidRPr="00770330">
        <w:rPr>
          <w:color w:val="FF0000"/>
        </w:rPr>
        <w:t xml:space="preserve">Alternative hypothesis: Higher baseline </w:t>
      </w:r>
      <w:proofErr w:type="spellStart"/>
      <w:r w:rsidRPr="00770330">
        <w:rPr>
          <w:color w:val="FF0000"/>
        </w:rPr>
        <w:t>musclemass</w:t>
      </w:r>
      <w:proofErr w:type="spellEnd"/>
      <w:r w:rsidRPr="00770330">
        <w:rPr>
          <w:color w:val="FF0000"/>
        </w:rPr>
        <w:t xml:space="preserve"> is associated with greater hypertrophic response</w:t>
      </w:r>
    </w:p>
    <w:p w14:paraId="4D72DFD1" w14:textId="58C6710E" w:rsidR="00AE180B" w:rsidRDefault="008E699B" w:rsidP="000717DF">
      <w:pPr>
        <w:pStyle w:val="Body"/>
      </w:pPr>
      <w:r w:rsidRPr="008E699B">
        <w:t>Muscle hypertrophy is an adaptive process whereby exposure to an external stimulus leads to remodel</w:t>
      </w:r>
      <w:r>
        <w:t>l</w:t>
      </w:r>
      <w:r w:rsidRPr="008E699B">
        <w:t>ing of muscle architecture, resulting in an increase in muscle cross-sectional area (</w:t>
      </w:r>
      <w:r w:rsidR="00134E57">
        <w:t>MCSA</w:t>
      </w:r>
      <w:r w:rsidRPr="008E699B">
        <w:t xml:space="preserve">) </w:t>
      </w:r>
      <w:r>
        <w:fldChar w:fldCharType="begin"/>
      </w:r>
      <w:r>
        <w:instrText xml:space="preserve"> ADDIN ZOTERO_ITEM CSL_CITATION {"citationID":"xaNdkvwR","properties":{"formattedCitation":"(McArdle et al., 2023)","plainCitation":"(McArdle et al., 2023)","noteIndex":0},"citationItems":[{"id":214,"uris":["http://zotero.org/users/15409637/items/J6J7I87N"],"itemData":{"id":214,"type":"chapter","container-title":"Exercise Physiology","edition":"9","event-place":"Philadelphia, PA","page":"572","publisher":"Wolters Kluwer","publisher-place":"Philadelphia, PA","title":"Muscle Hyoertrophy","author":[{"family":"McArdle","given":"William D."},{"family":"Katch","given":"Frank I."},{"family":"Katch","given":"Victor L."}],"issued":{"date-parts":[["2023"]]},"citation-key":"mcardleMuscleHyoertrophy2023"}}],"schema":"https://github.com/citation-style-language/schema/raw/master/csl-citation.json"} </w:instrText>
      </w:r>
      <w:r>
        <w:fldChar w:fldCharType="separate"/>
      </w:r>
      <w:r w:rsidRPr="008E699B">
        <w:rPr>
          <w:rFonts w:ascii="Aptos" w:hAnsi="Aptos"/>
        </w:rPr>
        <w:t>(McArdle et al., 2023)</w:t>
      </w:r>
      <w:r>
        <w:fldChar w:fldCharType="end"/>
      </w:r>
      <w:r w:rsidRPr="008E699B">
        <w:t>.</w:t>
      </w:r>
      <w:r w:rsidR="00134E57">
        <w:t xml:space="preserve"> </w:t>
      </w:r>
      <w:r w:rsidR="00134E57">
        <w:t xml:space="preserve">Resistance training (RT) is </w:t>
      </w:r>
      <w:r w:rsidR="00F47307">
        <w:t xml:space="preserve">considered </w:t>
      </w:r>
      <w:r w:rsidR="00134E57">
        <w:t>the most effective exercise modality to induce muscle hypertrophy, primarily through the application of mechanical tension, muscle damage, and metabolic stress</w:t>
      </w:r>
      <w:r w:rsidR="008667CF">
        <w:t xml:space="preserve"> over time</w:t>
      </w:r>
      <w:r w:rsidR="00134E57">
        <w:t xml:space="preserve">. </w:t>
      </w:r>
      <w:r w:rsidR="00AE180B">
        <w:t xml:space="preserve">Mechanical tension is the active force generation and passive stretch of muscle fibres, caused by an external load on a specific muscle in the case of RT, </w:t>
      </w:r>
      <w:r w:rsidR="00F47307">
        <w:t xml:space="preserve">increasing </w:t>
      </w:r>
      <w:r w:rsidR="00AE180B">
        <w:t>muscle protein synthesis through cellular signalling pathways.  Muscle damage caused by RT initiates an inflammatory response, resulting in the activation of satellite cells promoting repair and remodelling of muscle fib</w:t>
      </w:r>
      <w:r w:rsidR="00422279">
        <w:t xml:space="preserve">res which contributes to an increase in MCSA. Combined with mechanical tension, metabolic stress may assist in hypertrophic response through several indirect mechanisms (e.g. cell swelling, increased hormonal response, hypoxia, and activation of growth-related transcription factors) </w:t>
      </w:r>
      <w:r w:rsidR="00422279">
        <w:fldChar w:fldCharType="begin"/>
      </w:r>
      <w:r w:rsidR="00422279">
        <w:instrText xml:space="preserve"> ADDIN ZOTERO_ITEM CSL_CITATION {"citationID":"6qdexcbw","properties":{"formattedCitation":"(Schoenfeld,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422279">
        <w:fldChar w:fldCharType="separate"/>
      </w:r>
      <w:r w:rsidR="00422279" w:rsidRPr="00422279">
        <w:rPr>
          <w:rFonts w:ascii="Aptos" w:hAnsi="Aptos"/>
        </w:rPr>
        <w:t>(Schoenfeld, 2010)</w:t>
      </w:r>
      <w:r w:rsidR="00422279">
        <w:fldChar w:fldCharType="end"/>
      </w:r>
      <w:r w:rsidR="00422279">
        <w:t>.</w:t>
      </w:r>
    </w:p>
    <w:p w14:paraId="750B7FC3" w14:textId="77777777" w:rsidR="00824227" w:rsidRDefault="00121261" w:rsidP="000717DF">
      <w:pPr>
        <w:pStyle w:val="Body"/>
      </w:pPr>
      <w:r>
        <w:t>G</w:t>
      </w:r>
      <w:r w:rsidR="005C71BE">
        <w:t xml:space="preserve">reater </w:t>
      </w:r>
      <w:r>
        <w:t>MCSA</w:t>
      </w:r>
      <w:r w:rsidR="005150FA">
        <w:t xml:space="preserve"> </w:t>
      </w:r>
      <w:r w:rsidR="00F47307">
        <w:t>is associated with</w:t>
      </w:r>
      <w:r w:rsidR="005C71BE">
        <w:t xml:space="preserve"> greater strength</w:t>
      </w:r>
      <w:r w:rsidR="005C71BE">
        <w:t xml:space="preserve">, which improves athletic performance </w:t>
      </w:r>
      <w:r w:rsidR="005C71BE">
        <w:fldChar w:fldCharType="begin"/>
      </w:r>
      <w:r w:rsidR="005C71BE">
        <w:instrText xml:space="preserve"> ADDIN ZOTERO_ITEM CSL_CITATION {"citationID":"boeKRbFg","properties":{"formattedCitation":"(Maughan et al., 1983; Suchomel et al., 2016b; Tromaras et al., 2024)","plainCitation":"(Maughan et al., 1983; Suchomel et al., 2016b; Tromaras et al., 2024)","noteIndex":0},"citationItems":[{"id":210,"uris":["http://zotero.org/users/15409637/items/V4W2CV2L"],"itemData":{"id":210,"type":"article-journal","abstract":"The maximum voluntary force (strength) which could be produced by the knee</w:instrText>
      </w:r>
      <w:r w:rsidR="005C71BE">
        <w:rPr>
          <w:rFonts w:ascii="Cambria Math" w:hAnsi="Cambria Math" w:cs="Cambria Math"/>
        </w:rPr>
        <w:instrText>‐</w:instrText>
      </w:r>
      <w:r w:rsidR="005C71BE">
        <w:instrText>extensor muscles, with the knee held at a right angle, was measured in a group of healthy young subjects comprising twenty</w:instrText>
      </w:r>
      <w:r w:rsidR="005C71BE">
        <w:rPr>
          <w:rFonts w:ascii="Cambria Math" w:hAnsi="Cambria Math" w:cs="Cambria Math"/>
        </w:rPr>
        <w:instrText>‐</w:instrText>
      </w:r>
      <w:r w:rsidR="005C71BE">
        <w:instrText>five males and twenty</w:instrText>
      </w:r>
      <w:r w:rsidR="005C71BE">
        <w:rPr>
          <w:rFonts w:ascii="Cambria Math" w:hAnsi="Cambria Math" w:cs="Cambria Math"/>
        </w:rPr>
        <w:instrText>‐</w:instrText>
      </w:r>
      <w:r w:rsidR="005C71BE">
        <w:instrText>five females. Both legs were tested: data from the stronger leg only for each subject were used in the present study. Computed tomography was used to obtain a cross</w:instrText>
      </w:r>
      <w:r w:rsidR="005C71BE">
        <w:rPr>
          <w:rFonts w:ascii="Cambria Math" w:hAnsi="Cambria Math" w:cs="Cambria Math"/>
        </w:rPr>
        <w:instrText>‐</w:instrText>
      </w:r>
      <w:r w:rsidR="005C71BE">
        <w:instrText>sectional image of the subjects' legs at mid</w:instrText>
      </w:r>
      <w:r w:rsidR="005C71BE">
        <w:rPr>
          <w:rFonts w:ascii="Cambria Math" w:hAnsi="Cambria Math" w:cs="Cambria Math"/>
        </w:rPr>
        <w:instrText>‐</w:instrText>
      </w:r>
      <w:r w:rsidR="005C71BE">
        <w:instrText>thigh level, measured as the mid</w:instrText>
      </w:r>
      <w:r w:rsidR="005C71BE">
        <w:rPr>
          <w:rFonts w:ascii="Cambria Math" w:hAnsi="Cambria Math" w:cs="Cambria Math"/>
        </w:rPr>
        <w:instrText>‐</w:instrText>
      </w:r>
      <w:r w:rsidR="005C71BE">
        <w:instrText>point between the greater trochanter and upper border of the patella. The cross</w:instrText>
      </w:r>
      <w:r w:rsidR="005C71BE">
        <w:rPr>
          <w:rFonts w:ascii="Cambria Math" w:hAnsi="Cambria Math" w:cs="Cambria Math"/>
        </w:rPr>
        <w:instrText>‐</w:instrText>
      </w:r>
      <w:r w:rsidR="005C71BE">
        <w:instrText>sectional area of the knee</w:instrText>
      </w:r>
      <w:r w:rsidR="005C71BE">
        <w:rPr>
          <w:rFonts w:ascii="Cambria Math" w:hAnsi="Cambria Math" w:cs="Cambria Math"/>
        </w:rPr>
        <w:instrText>‐</w:instrText>
      </w:r>
      <w:r w:rsidR="005C71BE">
        <w:instrText>extensor muscles was determined from the image obtained by computer</w:instrText>
      </w:r>
      <w:r w:rsidR="005C71BE">
        <w:rPr>
          <w:rFonts w:ascii="Cambria Math" w:hAnsi="Cambria Math" w:cs="Cambria Math"/>
        </w:rPr>
        <w:instrText>‐</w:instrText>
      </w:r>
      <w:r w:rsidR="005C71BE">
        <w:instrText>based planimetry. The subjects' height and weight were measured. An estimate of body fat content was obtained from measurements of skinfold thicknesses and used to calculate lean body mass. Male subjects were taller (P less than 0.001), heavier (P less than 0.001), leaner (P less than 0.001) and stronger (P less than 0.001) than the female subjects. No significant correlation was found to exist between strength of the knee</w:instrText>
      </w:r>
      <w:r w:rsidR="005C71BE">
        <w:rPr>
          <w:rFonts w:ascii="Cambria Math" w:hAnsi="Cambria Math" w:cs="Cambria Math"/>
        </w:rPr>
        <w:instrText>‐</w:instrText>
      </w:r>
      <w:r w:rsidR="005C71BE">
        <w:instrText>extensor muscles and body weight in the male or in the female subjects. In the male subjects, but not in the female group, there was a positive correlation (r = 0.50; P less than 0.01) between strength and lean body mass. Muscle cross</w:instrText>
      </w:r>
      <w:r w:rsidR="005C71BE">
        <w:rPr>
          <w:rFonts w:ascii="Cambria Math" w:hAnsi="Cambria Math" w:cs="Cambria Math"/>
        </w:rPr>
        <w:instrText>‐</w:instrText>
      </w:r>
      <w:r w:rsidR="005C71BE">
        <w:instrText>sectional area of the male subjects was greater than that of the female subjects (P less than 0.001). The ratio of strength to cross</w:instrText>
      </w:r>
      <w:r w:rsidR="005C71BE">
        <w:rPr>
          <w:rFonts w:ascii="Cambria Math" w:hAnsi="Cambria Math" w:cs="Cambria Math"/>
        </w:rPr>
        <w:instrText>‐</w:instrText>
      </w:r>
      <w:r w:rsidR="005C71BE">
        <w:instrText>sectional area for the male was 9.49 +/</w:instrText>
      </w:r>
      <w:r w:rsidR="005C71BE">
        <w:rPr>
          <w:rFonts w:ascii="Cambria Math" w:hAnsi="Cambria Math" w:cs="Cambria Math"/>
        </w:rPr>
        <w:instrText>‐</w:instrText>
      </w:r>
      <w:r w:rsidR="005C71BE">
        <w:instrText xml:space="preserve"> 1.34 (mean +/</w:instrText>
      </w:r>
      <w:r w:rsidR="005C71BE">
        <w:rPr>
          <w:rFonts w:ascii="Cambria Math" w:hAnsi="Cambria Math" w:cs="Cambria Math"/>
        </w:rPr>
        <w:instrText>‐</w:instrText>
      </w:r>
      <w:r w:rsidR="005C71BE">
        <w:instrText xml:space="preserve"> S.D.). This is greater but not significantly so, than that for females (8.92 +/</w:instrText>
      </w:r>
      <w:r w:rsidR="005C71BE">
        <w:rPr>
          <w:rFonts w:ascii="Cambria Math" w:hAnsi="Cambria Math" w:cs="Cambria Math"/>
        </w:rPr>
        <w:instrText>‐</w:instrText>
      </w:r>
      <w:r w:rsidR="005C71BE">
        <w:instrText xml:space="preserve"> 1.11). In both male and female groups, there was a significant (P less than 0.01) positive correlation between muscle strength and cross</w:instrText>
      </w:r>
      <w:r w:rsidR="005C71BE">
        <w:rPr>
          <w:rFonts w:ascii="Cambria Math" w:hAnsi="Cambria Math" w:cs="Cambria Math"/>
        </w:rPr>
        <w:instrText>‐</w:instrText>
      </w:r>
      <w:r w:rsidR="005C71BE">
        <w:instrText>sectional area. A wide variation in the ratio of strength to muscle cross</w:instrText>
      </w:r>
      <w:r w:rsidR="005C71BE">
        <w:rPr>
          <w:rFonts w:ascii="Cambria Math" w:hAnsi="Cambria Math" w:cs="Cambria Math"/>
        </w:rPr>
        <w:instrText>‐</w:instrText>
      </w:r>
      <w:r w:rsidR="005C71BE">
        <w:instrText>sectional area was observed. This variability may be a result of anatomical differences between subjects or may result from differences in the proportions of different fibre types in the muscles. The variation between subjects is such that strength is not a useful predictive index of muscle cross</w:instrText>
      </w:r>
      <w:r w:rsidR="005C71BE">
        <w:rPr>
          <w:rFonts w:ascii="Cambria Math" w:hAnsi="Cambria Math" w:cs="Cambria Math"/>
        </w:rPr>
        <w:instrText>‐</w:instrText>
      </w:r>
      <w:r w:rsidR="005C71BE">
        <w:instrText>sectional area.","container-title":"The Journal of Physiology","DOI":"10.1113/jphysiol.1983.sp014658","ISSN":"0022-3751, 1469-7793","issue":"1","journalAbbreviation":"The Journal of Physiology","language":"en","license":"http://onlinelibrary.wiley.com/termsAndConditions#vor","page":"37-49","source":"DOI.org (Crossref)","title":"Strength and cross</w:instrText>
      </w:r>
      <w:r w:rsidR="005C71BE">
        <w:rPr>
          <w:rFonts w:ascii="Cambria Math" w:hAnsi="Cambria Math" w:cs="Cambria Math"/>
        </w:rPr>
        <w:instrText>‐</w:instrText>
      </w:r>
      <w:r w:rsidR="005C71BE">
        <w:instrText xml:space="preserve">sectional area of human skeletal muscle.","volume":"338","author":[{"family":"Maughan","given":"R J"},{"family":"Watson","given":"J S"},{"family":"Weir","given":"J"}],"issued":{"date-parts":[["1983",5]]},"citation-key":"maughanStrengthCrosssectionalArea1983"}},{"id":213,"uris":["http://zotero.org/users/15409637/items/BC4UL2EG"],"itemData":{"id":213,"type":"article-journal","container-title":"Sports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H."}],"issued":{"date-parts":[["2016",10]]},"citation-key":"suchomelImportanceMuscularStrength2016a"}},{"id":211,"uris":["http://zotero.org/users/15409637/items/32URHIGH"],"itemData":{"id":211,"type":"article-journal","abstract":"Lean body mass (LBM) is correlated with powerlifting performance in athletes competing in different bodyweight classes. However, it remains unknown whether changes in LBM are correlated with performance changes in powerlifters preparing for a competition. The aim of this study was to investigate the changes in LBM and performance in powerlifters preparing for a competition. Eight male powerlifters (age 31.7 ± 9.8 years, height 1.77 ± 0.06 m, weight 99.2 ± 14.6 kg) and three female powerlifters (age 32.7 ± 16.3 years, height 1.54 ± 0.06 m, weight 66.6 ± 20.9 kg) participated in the study. The athletes followed individualized periodized training programs for 12 weeks, aiming to maximize their performance for the national championship. The maximum strength (1-RM) in the squat, bench press, and deadlift, body composition, handgrip strength, anaerobic power, quadriceps’ cross-sectional area and vastus lateralis muscle architecture were measured before and after the training period. Significant increases were found after the training period in the squat (5.8 ± 7.0%, p &lt; 0.05), bench press (4.9 ± 9.8%, p = 0.05) and deadlift (8.3 ± 16.7%, p &lt; 0.05). Significant correlations were found between the 1-RM and LBM before and after the training period (r &gt; 0.75, p &lt; 0.05). The changes in the 1-RM after the training intervention correlated with the changes in the total LBM (p &lt; 0.05). These results suggest that individual changes in LBM due to systematic resistance training for a competition may dictate increases in the 1-RM strength in powerlifters.","container-title":"Journal of Functional Morphology and Kinesiology","DOI":"10.3390/jfmk9020089","ISSN":"2411-5142","issue":"2","journalAbbreviation":"JFMK","language":"en","page":"89","source":"DOI.org (Crossref)","title":"Lean Body Mass, Muscle Architecture and Powerlifting Performance during Preseason and in Competition","volume":"9","author":[{"family":"Tromaras","given":"Konstantinos"},{"family":"Zaras","given":"Nikolaos"},{"family":"Stasinaki","given":"Angeliki-Nikoletta"},{"family":"Mpampoulis","given":"Thomas"},{"family":"Terzis","given":"Gerasimos"}],"issued":{"date-parts":[["2024",5,22]]},"citation-key":"tromarasLeanBodyMass2024"},"label":"page"}],"schema":"https://github.com/citation-style-language/schema/raw/master/csl-citation.json"} </w:instrText>
      </w:r>
      <w:r w:rsidR="005C71BE">
        <w:fldChar w:fldCharType="separate"/>
      </w:r>
      <w:r w:rsidR="005C71BE" w:rsidRPr="008843DB">
        <w:rPr>
          <w:rFonts w:ascii="Aptos" w:hAnsi="Aptos"/>
        </w:rPr>
        <w:t xml:space="preserve">(Maughan et al., 1983; Suchomel et al., 2016b; </w:t>
      </w:r>
      <w:proofErr w:type="spellStart"/>
      <w:r w:rsidR="005C71BE" w:rsidRPr="008843DB">
        <w:rPr>
          <w:rFonts w:ascii="Aptos" w:hAnsi="Aptos"/>
        </w:rPr>
        <w:t>Tromaras</w:t>
      </w:r>
      <w:proofErr w:type="spellEnd"/>
      <w:r w:rsidR="005C71BE" w:rsidRPr="008843DB">
        <w:rPr>
          <w:rFonts w:ascii="Aptos" w:hAnsi="Aptos"/>
        </w:rPr>
        <w:t xml:space="preserve"> et al., 2024)</w:t>
      </w:r>
      <w:r w:rsidR="005C71BE">
        <w:fldChar w:fldCharType="end"/>
      </w:r>
      <w:r w:rsidR="005C71BE">
        <w:t xml:space="preserve">. Additionally, </w:t>
      </w:r>
      <w:r w:rsidR="008E699B">
        <w:t xml:space="preserve">a surplus of muscle mass is connected to a significant improvement of metabolic health </w:t>
      </w:r>
      <w:r w:rsidR="008E699B">
        <w:fldChar w:fldCharType="begin"/>
      </w:r>
      <w:r w:rsidR="008E699B">
        <w:instrText xml:space="preserve"> ADDIN ZOTERO_ITEM CSL_CITATION {"citationID":"eIoRJ9AY","properties":{"formattedCitation":"(Li et al., 2018)","plainCitation":"(Li et al., 2018)","noteIndex":0},"citationItems":[{"id":202,"uris":["http://zotero.org/users/15409637/items/ZMSIYWZG"],"itemData":{"id":202,"type":"article-journal","container-title":"Medicine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schema":"https://github.com/citation-style-language/schema/raw/master/csl-citation.json"} </w:instrText>
      </w:r>
      <w:r w:rsidR="008E699B">
        <w:fldChar w:fldCharType="separate"/>
      </w:r>
      <w:r w:rsidR="008E699B" w:rsidRPr="008E699B">
        <w:rPr>
          <w:rFonts w:ascii="Aptos" w:hAnsi="Aptos"/>
        </w:rPr>
        <w:t xml:space="preserve">(Li </w:t>
      </w:r>
      <w:r w:rsidR="008E699B" w:rsidRPr="008E699B">
        <w:rPr>
          <w:rFonts w:ascii="Aptos" w:hAnsi="Aptos"/>
        </w:rPr>
        <w:lastRenderedPageBreak/>
        <w:t>et al., 2018)</w:t>
      </w:r>
      <w:r w:rsidR="008E699B">
        <w:fldChar w:fldCharType="end"/>
      </w:r>
      <w:r w:rsidR="008E699B">
        <w:t>.</w:t>
      </w:r>
      <w:r w:rsidR="00134E57">
        <w:t xml:space="preserve"> </w:t>
      </w:r>
      <w:r w:rsidR="008667CF">
        <w:t xml:space="preserve">Reviews have previously suggested that RT induced hypertrophy diminishes as an individual becomes more trained, with slower rates of morphological change compared with untrained individuals </w:t>
      </w:r>
      <w:r w:rsidR="008667CF">
        <w:fldChar w:fldCharType="begin"/>
      </w:r>
      <w:r w:rsidR="008667CF">
        <w:instrText xml:space="preserve"> ADDIN ZOTERO_ITEM CSL_CITATION {"citationID":"NBSpcTzc","properties":{"formattedCitation":"(Fonseca et al., 2023)","plainCitation":"(Fonseca et al., 2023)","noteIndex":0},"citationItems":[{"id":218,"uris":["http://zotero.org/users/15409637/items/E3FE8NVK"],"itemData":{"id":218,"type":"article-journal","abstract":"Trained individuals may require variations in training stimuli and advanced resistance training paradigms (ADV) to increase skeletal muscle hypertrophy. However, no meta-analysis has examined how ADV versus traditional (TRAD) approaches may differentially affect hypertrophic outcomes in trained populations. The aim of this review was to determine whether the skeletal muscle hypertrophy responses induced by TRAD differed from ADV in resistance-trained individuals. Furthermore, we sought to examine potential effects of dietary factors, participants’ training status, and training loads. We searched for peer-reviewed, randomized controlled trials (published in English) conducted in healthy resistance-trained adults performing a period of TRAD and ADV with pre-to-post measurement(s) of muscle hypertrophy in PubMed, Web of Science, SPORTDiscus, and MEDLINE databases up to October 2022. A formal meta-analysis was conducted in Revman5, and risk of bias was assessed by ROB2. Ten studies met the inclusion criteria. Results indicated no difference between ADV and TRAD for muscle thickness (SMD</w:instrText>
      </w:r>
      <w:r w:rsidR="008667CF">
        <w:rPr>
          <w:rFonts w:ascii="Arial" w:hAnsi="Arial" w:cs="Arial"/>
        </w:rPr>
        <w:instrText> </w:instrText>
      </w:r>
      <w:r w:rsidR="008667CF">
        <w:instrText>=</w:instrText>
      </w:r>
      <w:r w:rsidR="008667CF">
        <w:rPr>
          <w:rFonts w:ascii="Arial" w:hAnsi="Arial" w:cs="Arial"/>
        </w:rPr>
        <w:instrText> </w:instrText>
      </w:r>
      <w:r w:rsidR="008667CF">
        <w:instrText xml:space="preserve">0.05, 95% CI: </w:instrText>
      </w:r>
      <w:r w:rsidR="008667CF">
        <w:rPr>
          <w:rFonts w:ascii="Aptos" w:hAnsi="Aptos" w:cs="Aptos"/>
        </w:rPr>
        <w:instrText>−</w:instrText>
      </w:r>
      <w:r w:rsidR="008667CF">
        <w:instrText xml:space="preserve">0.20 0.29,\n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0.70), lean mass (SMD</w:instrText>
      </w:r>
      <w:r w:rsidR="008667CF">
        <w:rPr>
          <w:rFonts w:ascii="Arial" w:hAnsi="Arial" w:cs="Arial"/>
        </w:rPr>
        <w:instrText> </w:instrText>
      </w:r>
      <w:r w:rsidR="008667CF">
        <w:instrText>=</w:instrText>
      </w:r>
      <w:r w:rsidR="008667CF">
        <w:rPr>
          <w:rFonts w:ascii="Arial" w:hAnsi="Arial" w:cs="Arial"/>
        </w:rPr>
        <w:instrText> </w:instrText>
      </w:r>
      <w:r w:rsidR="008667CF">
        <w:rPr>
          <w:rFonts w:ascii="Aptos" w:hAnsi="Aptos" w:cs="Aptos"/>
        </w:rPr>
        <w:instrText>−</w:instrText>
      </w:r>
      <w:r w:rsidR="008667CF">
        <w:instrText xml:space="preserve">0.01, 95% CI: </w:instrText>
      </w:r>
      <w:r w:rsidR="008667CF">
        <w:rPr>
          <w:rFonts w:ascii="Aptos" w:hAnsi="Aptos" w:cs="Aptos"/>
        </w:rPr>
        <w:instrText>−</w:instrText>
      </w:r>
      <w:r w:rsidR="008667CF">
        <w:instrText xml:space="preserve">0.26 0.23,\n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0.92), muscle cross-sectional area (SMD</w:instrText>
      </w:r>
      <w:r w:rsidR="008667CF">
        <w:rPr>
          <w:rFonts w:ascii="Arial" w:hAnsi="Arial" w:cs="Arial"/>
        </w:rPr>
        <w:instrText> </w:instrText>
      </w:r>
      <w:r w:rsidR="008667CF">
        <w:instrText>=</w:instrText>
      </w:r>
      <w:r w:rsidR="008667CF">
        <w:rPr>
          <w:rFonts w:ascii="Arial" w:hAnsi="Arial" w:cs="Arial"/>
        </w:rPr>
        <w:instrText> </w:instrText>
      </w:r>
      <w:r w:rsidR="008667CF">
        <w:rPr>
          <w:rFonts w:ascii="Aptos" w:hAnsi="Aptos" w:cs="Aptos"/>
        </w:rPr>
        <w:instrText>−</w:instrText>
      </w:r>
      <w:r w:rsidR="008667CF">
        <w:instrText xml:space="preserve">0.07, 95% CI: </w:instrText>
      </w:r>
      <w:r w:rsidR="008667CF">
        <w:rPr>
          <w:rFonts w:ascii="Aptos" w:hAnsi="Aptos" w:cs="Aptos"/>
        </w:rPr>
        <w:instrText>−</w:instrText>
      </w:r>
      <w:r w:rsidR="008667CF">
        <w:instrText xml:space="preserve">0.36 0.22,\n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0.64), or all measurements analyzed together (SMD</w:instrText>
      </w:r>
      <w:r w:rsidR="008667CF">
        <w:rPr>
          <w:rFonts w:ascii="Arial" w:hAnsi="Arial" w:cs="Arial"/>
        </w:rPr>
        <w:instrText> </w:instrText>
      </w:r>
      <w:r w:rsidR="008667CF">
        <w:instrText>=</w:instrText>
      </w:r>
      <w:r w:rsidR="008667CF">
        <w:rPr>
          <w:rFonts w:ascii="Arial" w:hAnsi="Arial" w:cs="Arial"/>
        </w:rPr>
        <w:instrText> </w:instrText>
      </w:r>
      <w:r w:rsidR="008667CF">
        <w:rPr>
          <w:rFonts w:ascii="Aptos" w:hAnsi="Aptos" w:cs="Aptos"/>
        </w:rPr>
        <w:instrText>−</w:instrText>
      </w:r>
      <w:r w:rsidR="008667CF">
        <w:instrText xml:space="preserve">0.00, 95% CI: </w:instrText>
      </w:r>
      <w:r w:rsidR="008667CF">
        <w:rPr>
          <w:rFonts w:ascii="Aptos" w:hAnsi="Aptos" w:cs="Aptos"/>
        </w:rPr>
        <w:instrText>−</w:instrText>
      </w:r>
      <w:r w:rsidR="008667CF">
        <w:instrText xml:space="preserve">0.15 0.14,\n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 xml:space="preserve">0.95). No heterogeneity or inconsistencies were observed; however, unclear risk of bias was present in most of the studies. Short-term ADV does not induce superior skeletal muscle hypertrophy responses when compared with TRAD in trained individuals. This review was not previously registered.","container-title":"Translational Sports Medicine","DOI":"10.1155/2023/9507977","ISSN":"2573-8488","journalAbbreviation":"Translational Sports Medicine","language":"en","license":"https://creativecommons.org/licenses/by/4.0/","page":"1-15","source":"DOI.org (Crossref)","title":"Comparison of Traditional and Advanced Resistance Training Paradigms on Muscle Hypertrophy in Trained Individuals: A Systematic Review and Meta-Analysis","title-short":"Comparison of Traditional and Advanced Resistance Training Paradigms on Muscle Hypertrophy in Trained Individuals","volume":"2023","author":[{"family":"Fonseca","given":"Pedro A. B."},{"family":"Ide","given":"Bernardo N."},{"family":"Oranchuk","given":"Dustin J."},{"family":"Marocolo","given":"Moacir"},{"family":"Simim","given":"Mário A. M."},{"family":"Roberts","given":"Michael D."},{"family":"Mota","given":"Gustavo R."}],"editor":[{"family":"Mackey-Sennels","given":"Abigail"}],"issued":{"date-parts":[["2023",7,18]]},"citation-key":"fonsecaComparisonTraditionalAdvanced2023"}}],"schema":"https://github.com/citation-style-language/schema/raw/master/csl-citation.json"} </w:instrText>
      </w:r>
      <w:r w:rsidR="008667CF">
        <w:fldChar w:fldCharType="separate"/>
      </w:r>
      <w:r w:rsidR="008667CF" w:rsidRPr="008667CF">
        <w:rPr>
          <w:rFonts w:ascii="Aptos" w:hAnsi="Aptos"/>
        </w:rPr>
        <w:t>(Fonseca et al., 2023)</w:t>
      </w:r>
      <w:r w:rsidR="008667CF">
        <w:fldChar w:fldCharType="end"/>
      </w:r>
      <w:r w:rsidR="008667CF">
        <w:t xml:space="preserve">. </w:t>
      </w:r>
    </w:p>
    <w:p w14:paraId="6DB8A900" w14:textId="3EA03B5A" w:rsidR="00824227" w:rsidRDefault="00824227" w:rsidP="000717DF">
      <w:pPr>
        <w:pStyle w:val="Body"/>
      </w:pPr>
      <w:r>
        <w:t xml:space="preserve">Mangine et al. (2018) </w:t>
      </w:r>
      <w:r w:rsidR="00944A73">
        <w:t>appears to be</w:t>
      </w:r>
      <w:r>
        <w:t xml:space="preserve"> the only article</w:t>
      </w:r>
      <w:r w:rsidR="00944A73">
        <w:t xml:space="preserve"> </w:t>
      </w:r>
      <w:r>
        <w:t>investigat</w:t>
      </w:r>
      <w:r w:rsidR="00944A73">
        <w:t xml:space="preserve">ing </w:t>
      </w:r>
      <w:r>
        <w:t xml:space="preserve">the effects of baseline muscle size on training adaptations. 14 young men with </w:t>
      </w:r>
      <w:r w:rsidR="00944A73">
        <w:t xml:space="preserve">an average </w:t>
      </w:r>
      <w:r>
        <w:t xml:space="preserve">resistance training experience of </w:t>
      </w:r>
      <w:r w:rsidR="00944A73">
        <w:t>~6</w:t>
      </w:r>
      <w:r>
        <w:t xml:space="preserve"> years were recruited and split into two equal groups based on MCSA: the larger (LGR) and smaller (SMR) group. After an 8-week intervention</w:t>
      </w:r>
      <w:r w:rsidR="00944A73">
        <w:t xml:space="preserve"> they did not find a significant difference between the LGR and SMR group in muscle growth.  </w:t>
      </w:r>
    </w:p>
    <w:p w14:paraId="38005104" w14:textId="58DED606" w:rsidR="00334360" w:rsidRDefault="00A753DE" w:rsidP="00334360">
      <w:pPr>
        <w:pStyle w:val="Heading3"/>
      </w:pPr>
      <w:r>
        <w:t xml:space="preserve">2.2 </w:t>
      </w:r>
      <w:r w:rsidR="00334360">
        <w:t>Methods</w:t>
      </w:r>
    </w:p>
    <w:p w14:paraId="6FFA783F" w14:textId="236EB2EA" w:rsidR="00334360" w:rsidRDefault="00A753DE" w:rsidP="00A753DE">
      <w:pPr>
        <w:pStyle w:val="Heading3"/>
      </w:pPr>
      <w:r>
        <w:t>2.2.1 Participants</w:t>
      </w:r>
    </w:p>
    <w:p w14:paraId="7C6929C6" w14:textId="22BE9CE2" w:rsidR="00A753DE" w:rsidRDefault="00AA3DBA" w:rsidP="00AA3DBA">
      <w:pPr>
        <w:pStyle w:val="Body"/>
      </w:pPr>
      <w:r w:rsidRPr="00AA3DBA">
        <w:t>Participants were evaluated through a screening process with two criteria: a self</w:t>
      </w:r>
      <w:r w:rsidR="000717DF">
        <w:t>-</w:t>
      </w:r>
      <w:r w:rsidRPr="00AA3DBA">
        <w:t>reported RT experience of &lt; 1.0 years, and a back squat 1</w:t>
      </w:r>
      <w:r w:rsidR="000717DF">
        <w:t xml:space="preserve"> repetition maximum (RM)</w:t>
      </w:r>
      <w:r w:rsidRPr="00AA3DBA">
        <w:t xml:space="preserve"> ≥ 1.5 x body mass (calculated from a </w:t>
      </w:r>
      <w:r w:rsidR="000717DF">
        <w:t>3</w:t>
      </w:r>
      <w:r w:rsidRPr="00AA3DBA">
        <w:t>RM test). 34 Participants completed the screening. One participant dropped out due to personal reasons, two others for not being able to complete the RT intervention, which led to a final count of 31 participants.</w:t>
      </w:r>
    </w:p>
    <w:p w14:paraId="385DD22F" w14:textId="1C790E87" w:rsidR="00A753DE" w:rsidRDefault="00A753DE" w:rsidP="00A753DE">
      <w:pPr>
        <w:pStyle w:val="Heading3"/>
      </w:pPr>
      <w:r>
        <w:t xml:space="preserve">2.2.2 </w:t>
      </w:r>
      <w:r w:rsidR="00DA2EDE">
        <w:t>Body composition and muscle thickness measurements</w:t>
      </w:r>
    </w:p>
    <w:p w14:paraId="4B048EA5" w14:textId="47E86554" w:rsidR="00A753DE" w:rsidRDefault="005659FF" w:rsidP="00DA2EDE">
      <w:pPr>
        <w:pStyle w:val="Body"/>
      </w:pPr>
      <w:r>
        <w:t xml:space="preserve">Body composition and muscle thickness measurements were assessed once before and after the RT intervention. </w:t>
      </w:r>
      <w:r w:rsidR="00DA2EDE">
        <w:t>First, body mass</w:t>
      </w:r>
      <w:r w:rsidR="00286403">
        <w:t xml:space="preserve"> (Seca 769; Hanover, MD, USA) a</w:t>
      </w:r>
      <w:r w:rsidR="00DA2EDE">
        <w:t>nd height were assessed to the nearest 0.1 kg and 0.5 cm respectively. Then a full</w:t>
      </w:r>
      <w:r w:rsidR="00286403">
        <w:t xml:space="preserve"> body duo x-ray absorptiometry (</w:t>
      </w:r>
      <w:r w:rsidR="00DA2EDE">
        <w:t>DXA</w:t>
      </w:r>
      <w:r w:rsidR="00286403">
        <w:t>)</w:t>
      </w:r>
      <w:r w:rsidR="00DA2EDE">
        <w:t xml:space="preserve"> scan of </w:t>
      </w:r>
      <w:proofErr w:type="gramStart"/>
      <w:r w:rsidR="00DA2EDE">
        <w:t>each individual</w:t>
      </w:r>
      <w:proofErr w:type="gramEnd"/>
      <w:r w:rsidR="00DA2EDE">
        <w:t xml:space="preserve"> was conducted</w:t>
      </w:r>
      <w:r w:rsidR="00286403">
        <w:t xml:space="preserve"> (Lunar Prodigy; GE Corporation, Fairfield, CT, USA)</w:t>
      </w:r>
      <w:r w:rsidR="00DA2EDE">
        <w:t xml:space="preserve">. </w:t>
      </w:r>
      <w:r w:rsidR="00286403">
        <w:t xml:space="preserve">All DXA scans were done by the same researcher. Finally, </w:t>
      </w:r>
      <w:r w:rsidR="002E221B">
        <w:t>duplicate measurements of the right side of the body were averaged with a 3-12 MHz multi-frequency linear phase transducer (</w:t>
      </w:r>
      <w:proofErr w:type="spellStart"/>
      <w:r w:rsidR="002E221B">
        <w:t>Logiq</w:t>
      </w:r>
      <w:proofErr w:type="spellEnd"/>
      <w:r w:rsidR="002E221B">
        <w:t xml:space="preserve"> S7 Expert; General Electric, Fairfield, CT, USA) to evaluate right Vastus Lateralis (VL) and Biceps Brachii (BB) muscle thickness (MT). </w:t>
      </w:r>
    </w:p>
    <w:p w14:paraId="3CFFD308" w14:textId="66DF34D8" w:rsidR="002E221B" w:rsidRDefault="002E221B" w:rsidP="00DA2EDE">
      <w:pPr>
        <w:pStyle w:val="Body"/>
      </w:pPr>
      <w:r>
        <w:lastRenderedPageBreak/>
        <w:t xml:space="preserve">During the ultrasonography (US) MT assessment, participants were instructed to stand with their weight on their left leg to assure that the right VL was relaxed during measurement. </w:t>
      </w:r>
      <w:r w:rsidR="005659FF">
        <w:t>The US probe was placed horizontally at a marked point 50% of the distance between the Iliac crest and Patella of the Femur, this was done twice. The procedure for BB MT was similar, the probe was placed horizontally on the marked point 60% distal from the acromial process of the scapula to the lateral epicondyle of the humerus, this was repeated twice in the same manner.</w:t>
      </w:r>
    </w:p>
    <w:p w14:paraId="42E41A1E" w14:textId="59E9989F" w:rsidR="00A753DE" w:rsidRPr="00A753DE" w:rsidRDefault="00A753DE" w:rsidP="00A753DE">
      <w:pPr>
        <w:pStyle w:val="Heading3"/>
      </w:pPr>
      <w:r>
        <w:lastRenderedPageBreak/>
        <w:t>2.2.3 RT intervention</w:t>
      </w:r>
    </w:p>
    <w:p w14:paraId="28FFA664" w14:textId="7F514610" w:rsidR="00B95805" w:rsidRPr="00B95805" w:rsidRDefault="00B95805" w:rsidP="00B95805">
      <w:pPr>
        <w:pStyle w:val="Heading3"/>
        <w:rPr>
          <w:rFonts w:eastAsiaTheme="minorHAnsi" w:cstheme="minorBidi"/>
          <w:color w:val="auto"/>
          <w:sz w:val="24"/>
          <w:szCs w:val="24"/>
        </w:rPr>
      </w:pPr>
      <w:r w:rsidRPr="00B95805">
        <w:rPr>
          <w:rFonts w:eastAsiaTheme="minorHAnsi" w:cstheme="minorBidi"/>
          <w:color w:val="auto"/>
          <w:sz w:val="24"/>
          <w:szCs w:val="24"/>
        </w:rPr>
        <w:t xml:space="preserve">All exercises during the 6-week RT intervention were performed at 60 % of estimated 1 RM load established in tests one week before the first RT session with 3RM tests. Full body RT sessions were conducted 3 times a week, on Mondays, Wednesdays and Fridays. Friday and Monday session consisted of barbell (BB) back squat, BB bench press, BB stiff-legged deadlifts (SLDL) and Lat pulldowns. Wednesday sessions performed BB overhead press instead of BB bench press. Before each RT session the participants completed a general warmup, which consisted of 25 jumping jacks, 10 bodyweight squats, and 10 standing reaches </w:t>
      </w:r>
      <w:r w:rsidRPr="00B95805">
        <w:rPr>
          <w:rFonts w:eastAsiaTheme="minorHAnsi" w:cstheme="minorBidi"/>
          <w:color w:val="auto"/>
          <w:sz w:val="24"/>
          <w:szCs w:val="24"/>
        </w:rPr>
        <w:t>imitating</w:t>
      </w:r>
      <w:r w:rsidRPr="00B95805">
        <w:rPr>
          <w:rFonts w:eastAsiaTheme="minorHAnsi" w:cstheme="minorBidi"/>
          <w:color w:val="auto"/>
          <w:sz w:val="24"/>
          <w:szCs w:val="24"/>
        </w:rPr>
        <w:t xml:space="preserve"> the SLDL movement with bodyweight. </w:t>
      </w:r>
      <w:r w:rsidRPr="00B95805">
        <w:rPr>
          <w:rFonts w:eastAsiaTheme="minorHAnsi" w:cstheme="minorBidi"/>
          <w:color w:val="auto"/>
          <w:sz w:val="24"/>
          <w:szCs w:val="24"/>
        </w:rPr>
        <w:t>Additionally</w:t>
      </w:r>
      <w:r w:rsidRPr="00B95805">
        <w:rPr>
          <w:rFonts w:eastAsiaTheme="minorHAnsi" w:cstheme="minorBidi"/>
          <w:color w:val="auto"/>
          <w:sz w:val="24"/>
          <w:szCs w:val="24"/>
        </w:rPr>
        <w:t xml:space="preserve">, participants conducted a specific warmup before each exercise: 50% of working set load for 10 repetitions, 75% for 3 repetitions, and 95-100% for 1 repetition. </w:t>
      </w:r>
    </w:p>
    <w:p w14:paraId="729F1840" w14:textId="77777777" w:rsidR="00B95805" w:rsidRPr="00B95805" w:rsidRDefault="00B95805" w:rsidP="00B95805">
      <w:pPr>
        <w:pStyle w:val="Heading3"/>
        <w:rPr>
          <w:rFonts w:eastAsiaTheme="minorHAnsi" w:cstheme="minorBidi"/>
          <w:color w:val="auto"/>
          <w:sz w:val="24"/>
          <w:szCs w:val="24"/>
        </w:rPr>
      </w:pPr>
    </w:p>
    <w:p w14:paraId="051E3A31" w14:textId="69F13314" w:rsidR="00A753DE" w:rsidRDefault="00B95805" w:rsidP="00B95805">
      <w:pPr>
        <w:pStyle w:val="Heading3"/>
      </w:pPr>
      <w:r w:rsidRPr="00B95805">
        <w:rPr>
          <w:rFonts w:eastAsiaTheme="minorHAnsi" w:cstheme="minorBidi"/>
          <w:color w:val="auto"/>
          <w:sz w:val="24"/>
          <w:szCs w:val="24"/>
        </w:rPr>
        <w:t xml:space="preserve">The training volume increased each week. The Monday and Friday sessions stared with 4 sets of 10 repetitions per exercise and increased with 2 sets per week until week 4, week 5 and 6 increased with 1 set per week, resulting in 12 sets per exercise on Monday and Friday during week 6. Wednesday sessions started with 2 sets of 10 repetitions per exercise, increasing with 1 set per week until week 3. Week 4 matched the volume of week 3. Week 5 and 6 increased with 2 sets per week resulting in 8 sets per exercise in week 6. Resulting in a total training volume per exercise of 10 sets in week 1, incrementally increasing 32 sets in week 6. Rest intervals between sets were 2 minutes. However, if the participants felt they were ready to start before the </w:t>
      </w:r>
      <w:r w:rsidRPr="00B95805">
        <w:rPr>
          <w:rFonts w:eastAsiaTheme="minorHAnsi" w:cstheme="minorBidi"/>
          <w:color w:val="auto"/>
          <w:sz w:val="24"/>
          <w:szCs w:val="24"/>
        </w:rPr>
        <w:t>2-minute</w:t>
      </w:r>
      <w:r w:rsidRPr="00B95805">
        <w:rPr>
          <w:rFonts w:eastAsiaTheme="minorHAnsi" w:cstheme="minorBidi"/>
          <w:color w:val="auto"/>
          <w:sz w:val="24"/>
          <w:szCs w:val="24"/>
        </w:rPr>
        <w:t xml:space="preserve"> mark, they were allowed to do so. This was also the case if the participants needed more than 2 minutes, </w:t>
      </w:r>
      <w:r w:rsidRPr="00B95805">
        <w:rPr>
          <w:rFonts w:eastAsiaTheme="minorHAnsi" w:cstheme="minorBidi"/>
          <w:color w:val="auto"/>
          <w:sz w:val="24"/>
          <w:szCs w:val="24"/>
        </w:rPr>
        <w:t>if</w:t>
      </w:r>
      <w:r w:rsidRPr="00B95805">
        <w:rPr>
          <w:rFonts w:eastAsiaTheme="minorHAnsi" w:cstheme="minorBidi"/>
          <w:color w:val="auto"/>
          <w:sz w:val="24"/>
          <w:szCs w:val="24"/>
        </w:rPr>
        <w:t xml:space="preserve"> the total session completion time was within 2 hours. </w:t>
      </w:r>
      <w:r w:rsidR="00A753DE">
        <w:t>2.2.4 Statistical methods</w:t>
      </w:r>
    </w:p>
    <w:p w14:paraId="5F40B10E" w14:textId="6D99EFA3" w:rsidR="00A753DE" w:rsidRPr="00A753DE" w:rsidRDefault="000C5C51" w:rsidP="000C5C51">
      <w:pPr>
        <w:pStyle w:val="Body"/>
      </w:pPr>
      <w:r>
        <w:t xml:space="preserve">Before analysing the results, a visual inspection of Q-Q plots was conducted to ensure that the residuals were approximately normally distributed. To </w:t>
      </w:r>
      <w:r w:rsidR="00987878">
        <w:t xml:space="preserve">investigate the effects of baseline muscle mass on hypertrophy, a linear model was used for each </w:t>
      </w:r>
      <w:r w:rsidR="00B51F49">
        <w:t>outcome</w:t>
      </w:r>
      <w:r w:rsidR="00987878">
        <w:t xml:space="preserve"> (BB MT, VL MT, and DXA lean mass). </w:t>
      </w:r>
      <w:r w:rsidR="00987878" w:rsidRPr="00987878">
        <w:t xml:space="preserve">Regression coefficients, 95% confidence intervals, and </w:t>
      </w:r>
      <w:r w:rsidR="00987878" w:rsidRPr="00987878">
        <w:lastRenderedPageBreak/>
        <w:t>coefficients of determination (R²) were reported.</w:t>
      </w:r>
      <w:r w:rsidR="00987878">
        <w:t xml:space="preserve"> </w:t>
      </w:r>
      <w:r w:rsidR="008E0D5D">
        <w:t>A p-value of</w:t>
      </w:r>
      <w:r w:rsidR="008E0D5D">
        <w:rPr>
          <w:i/>
          <w:iCs/>
        </w:rPr>
        <w:t xml:space="preserve"> ≤ </w:t>
      </w:r>
      <w:r w:rsidR="008E0D5D">
        <w:t xml:space="preserve">.05 was considered statistically significant. </w:t>
      </w:r>
      <w:r>
        <w:t>All statistical analyses were performed using R in Positron (R version 4.4.2, Positron).</w:t>
      </w:r>
    </w:p>
    <w:p w14:paraId="227D571A" w14:textId="6F65C7AB" w:rsidR="00334360" w:rsidRDefault="00A753DE" w:rsidP="00334360">
      <w:pPr>
        <w:pStyle w:val="Heading3"/>
      </w:pPr>
      <w:r>
        <w:t xml:space="preserve">2.3 </w:t>
      </w:r>
      <w:r w:rsidR="00334360">
        <w:t>Results</w:t>
      </w:r>
    </w:p>
    <w:p w14:paraId="5354B0B2" w14:textId="77777777" w:rsidR="00334360" w:rsidRPr="00334360" w:rsidRDefault="00334360" w:rsidP="00334360"/>
    <w:p w14:paraId="490A0673" w14:textId="270E2437" w:rsidR="00334360" w:rsidRDefault="00A753DE" w:rsidP="00334360">
      <w:pPr>
        <w:pStyle w:val="Heading3"/>
      </w:pPr>
      <w:r>
        <w:t xml:space="preserve">2.4 </w:t>
      </w:r>
      <w:r w:rsidR="00334360">
        <w:t>Discussion</w:t>
      </w:r>
    </w:p>
    <w:p w14:paraId="319A1BCE" w14:textId="77777777" w:rsidR="00334360" w:rsidRPr="00334360" w:rsidRDefault="00334360" w:rsidP="00334360"/>
    <w:p w14:paraId="1A4C7ED9" w14:textId="6C2A1FAD" w:rsidR="00334360" w:rsidRPr="00334360" w:rsidRDefault="00A753DE" w:rsidP="00334360">
      <w:pPr>
        <w:pStyle w:val="Heading3"/>
      </w:pPr>
      <w:r>
        <w:t xml:space="preserve">2.5 </w:t>
      </w:r>
      <w:r w:rsidR="00334360">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lastRenderedPageBreak/>
        <w:t>Refer</w:t>
      </w:r>
      <w:r w:rsidR="00C5225A" w:rsidRPr="00FC6741">
        <w:t>ences</w:t>
      </w:r>
      <w:bookmarkEnd w:id="16"/>
    </w:p>
    <w:p w14:paraId="70EC11A7" w14:textId="77777777" w:rsidR="00824227" w:rsidRPr="00824227" w:rsidRDefault="00A82513" w:rsidP="00824227">
      <w:pPr>
        <w:pStyle w:val="Bibliography"/>
        <w:rPr>
          <w:rFonts w:ascii="Times New Roman" w:hAnsi="Times New Roman" w:cs="Times New Roman"/>
          <w:kern w:val="0"/>
        </w:rPr>
      </w:pPr>
      <w:r w:rsidRPr="00FC6741">
        <w:fldChar w:fldCharType="begin"/>
      </w:r>
      <w:r w:rsidR="00824227">
        <w:instrText xml:space="preserve"> ADDIN ZOTERO_BIBL {"uncited":[["http://zotero.org/users/15409637/items/86DZP4SQ"]],"omitted":[],"custom":[]} CSL_BIBLIOGRAPHY </w:instrText>
      </w:r>
      <w:r w:rsidRPr="00FC6741">
        <w:fldChar w:fldCharType="separate"/>
      </w:r>
      <w:r w:rsidR="00824227" w:rsidRPr="00824227">
        <w:rPr>
          <w:rFonts w:ascii="Times New Roman" w:hAnsi="Times New Roman" w:cs="Times New Roman"/>
          <w:kern w:val="0"/>
        </w:rPr>
        <w:t xml:space="preserve">Chaves, T. S., Scarpelli, M. C., Bergamasco, J. G. A., Silva, D. G. D., </w:t>
      </w:r>
      <w:proofErr w:type="spellStart"/>
      <w:r w:rsidR="00824227" w:rsidRPr="00824227">
        <w:rPr>
          <w:rFonts w:ascii="Times New Roman" w:hAnsi="Times New Roman" w:cs="Times New Roman"/>
          <w:kern w:val="0"/>
        </w:rPr>
        <w:t>Medalha</w:t>
      </w:r>
      <w:proofErr w:type="spellEnd"/>
      <w:r w:rsidR="00824227" w:rsidRPr="00824227">
        <w:rPr>
          <w:rFonts w:ascii="Times New Roman" w:hAnsi="Times New Roman" w:cs="Times New Roman"/>
          <w:kern w:val="0"/>
        </w:rPr>
        <w:t xml:space="preserve"> Junior, R. A., Dias, N. F., Bittencourt, D., Carello Filho, P. C., </w:t>
      </w:r>
      <w:proofErr w:type="spellStart"/>
      <w:r w:rsidR="00824227" w:rsidRPr="00824227">
        <w:rPr>
          <w:rFonts w:ascii="Times New Roman" w:hAnsi="Times New Roman" w:cs="Times New Roman"/>
          <w:kern w:val="0"/>
        </w:rPr>
        <w:t>Angleri</w:t>
      </w:r>
      <w:proofErr w:type="spellEnd"/>
      <w:r w:rsidR="00824227" w:rsidRPr="00824227">
        <w:rPr>
          <w:rFonts w:ascii="Times New Roman" w:hAnsi="Times New Roman" w:cs="Times New Roman"/>
          <w:kern w:val="0"/>
        </w:rPr>
        <w:t xml:space="preserve">, V., Nóbrega, S. R., Roberts, M. D., </w:t>
      </w:r>
      <w:proofErr w:type="spellStart"/>
      <w:r w:rsidR="00824227" w:rsidRPr="00824227">
        <w:rPr>
          <w:rFonts w:ascii="Times New Roman" w:hAnsi="Times New Roman" w:cs="Times New Roman"/>
          <w:kern w:val="0"/>
        </w:rPr>
        <w:t>Ugrinowitsch</w:t>
      </w:r>
      <w:proofErr w:type="spellEnd"/>
      <w:r w:rsidR="00824227" w:rsidRPr="00824227">
        <w:rPr>
          <w:rFonts w:ascii="Times New Roman" w:hAnsi="Times New Roman" w:cs="Times New Roman"/>
          <w:kern w:val="0"/>
        </w:rPr>
        <w:t xml:space="preserve">, C., &amp; Libardi, C. A. (2024). Effects of Resistance Training Overload Progression Protocols on Strength and Muscle Mass. </w:t>
      </w:r>
      <w:r w:rsidR="00824227" w:rsidRPr="00824227">
        <w:rPr>
          <w:rFonts w:ascii="Times New Roman" w:hAnsi="Times New Roman" w:cs="Times New Roman"/>
          <w:i/>
          <w:iCs/>
          <w:kern w:val="0"/>
        </w:rPr>
        <w:t>International Journal of Sports Medicine</w:t>
      </w:r>
      <w:r w:rsidR="00824227" w:rsidRPr="00824227">
        <w:rPr>
          <w:rFonts w:ascii="Times New Roman" w:hAnsi="Times New Roman" w:cs="Times New Roman"/>
          <w:kern w:val="0"/>
        </w:rPr>
        <w:t xml:space="preserve">, </w:t>
      </w:r>
      <w:r w:rsidR="00824227" w:rsidRPr="00824227">
        <w:rPr>
          <w:rFonts w:ascii="Times New Roman" w:hAnsi="Times New Roman" w:cs="Times New Roman"/>
          <w:i/>
          <w:iCs/>
          <w:kern w:val="0"/>
        </w:rPr>
        <w:t>45</w:t>
      </w:r>
      <w:r w:rsidR="00824227" w:rsidRPr="00824227">
        <w:rPr>
          <w:rFonts w:ascii="Times New Roman" w:hAnsi="Times New Roman" w:cs="Times New Roman"/>
          <w:kern w:val="0"/>
        </w:rPr>
        <w:t>(07), 504–510. https://doi.org/10.1055/a-2256-5857</w:t>
      </w:r>
    </w:p>
    <w:p w14:paraId="2B6E343F"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Cribb, P. J., Williams, A. D., Stathis, C. G., Carey, M. F., &amp; Hayes, A. (2007). Effects of Whey Isolate, Creatine, and Resistance Training on Muscle Hypertrophy. </w:t>
      </w:r>
      <w:r w:rsidRPr="00824227">
        <w:rPr>
          <w:rFonts w:ascii="Times New Roman" w:hAnsi="Times New Roman" w:cs="Times New Roman"/>
          <w:i/>
          <w:iCs/>
          <w:kern w:val="0"/>
        </w:rPr>
        <w:t>Medicine &amp; Science in Sports &amp; Exercise</w:t>
      </w:r>
      <w:r w:rsidRPr="00824227">
        <w:rPr>
          <w:rFonts w:ascii="Times New Roman" w:hAnsi="Times New Roman" w:cs="Times New Roman"/>
          <w:kern w:val="0"/>
        </w:rPr>
        <w:t xml:space="preserve">, </w:t>
      </w:r>
      <w:r w:rsidRPr="00824227">
        <w:rPr>
          <w:rFonts w:ascii="Times New Roman" w:hAnsi="Times New Roman" w:cs="Times New Roman"/>
          <w:i/>
          <w:iCs/>
          <w:kern w:val="0"/>
        </w:rPr>
        <w:t>39</w:t>
      </w:r>
      <w:r w:rsidRPr="00824227">
        <w:rPr>
          <w:rFonts w:ascii="Times New Roman" w:hAnsi="Times New Roman" w:cs="Times New Roman"/>
          <w:kern w:val="0"/>
        </w:rPr>
        <w:t>(2), 298–307. https://doi.org/10.1249/01.mss.0000247002.32589.ef</w:t>
      </w:r>
    </w:p>
    <w:p w14:paraId="3DD7230A"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Evangelista, A. L., Braz, T. V., La Scala Teixeira, C. V., Rica, R. L., Alonso, A. C., Barbosa, W. A., Reis, V. M., Baker, J. S., Schoenfeld, B. J., </w:t>
      </w:r>
      <w:proofErr w:type="spellStart"/>
      <w:r w:rsidRPr="00824227">
        <w:rPr>
          <w:rFonts w:ascii="Times New Roman" w:hAnsi="Times New Roman" w:cs="Times New Roman"/>
          <w:kern w:val="0"/>
        </w:rPr>
        <w:t>Bocalini</w:t>
      </w:r>
      <w:proofErr w:type="spellEnd"/>
      <w:r w:rsidRPr="00824227">
        <w:rPr>
          <w:rFonts w:ascii="Times New Roman" w:hAnsi="Times New Roman" w:cs="Times New Roman"/>
          <w:kern w:val="0"/>
        </w:rPr>
        <w:t xml:space="preserve">, D. S., &amp; Greve, J. M. D. (2021). Split or full-body workout routine: Which is best to increase muscle strength and hypertrophy? </w:t>
      </w:r>
      <w:r w:rsidRPr="00824227">
        <w:rPr>
          <w:rFonts w:ascii="Times New Roman" w:hAnsi="Times New Roman" w:cs="Times New Roman"/>
          <w:i/>
          <w:iCs/>
          <w:kern w:val="0"/>
        </w:rPr>
        <w:t>Einstein (São Paulo)</w:t>
      </w:r>
      <w:r w:rsidRPr="00824227">
        <w:rPr>
          <w:rFonts w:ascii="Times New Roman" w:hAnsi="Times New Roman" w:cs="Times New Roman"/>
          <w:kern w:val="0"/>
        </w:rPr>
        <w:t xml:space="preserve">, </w:t>
      </w:r>
      <w:r w:rsidRPr="00824227">
        <w:rPr>
          <w:rFonts w:ascii="Times New Roman" w:hAnsi="Times New Roman" w:cs="Times New Roman"/>
          <w:i/>
          <w:iCs/>
          <w:kern w:val="0"/>
        </w:rPr>
        <w:t>19</w:t>
      </w:r>
      <w:r w:rsidRPr="00824227">
        <w:rPr>
          <w:rFonts w:ascii="Times New Roman" w:hAnsi="Times New Roman" w:cs="Times New Roman"/>
          <w:kern w:val="0"/>
        </w:rPr>
        <w:t>, eAO5781. https://doi.org/10.31744/einstein_journal/2021AO5781</w:t>
      </w:r>
    </w:p>
    <w:p w14:paraId="0167FB6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Fonseca, P. A. B., Ide, B. N., </w:t>
      </w:r>
      <w:proofErr w:type="spellStart"/>
      <w:r w:rsidRPr="00824227">
        <w:rPr>
          <w:rFonts w:ascii="Times New Roman" w:hAnsi="Times New Roman" w:cs="Times New Roman"/>
          <w:kern w:val="0"/>
        </w:rPr>
        <w:t>Oranchuk</w:t>
      </w:r>
      <w:proofErr w:type="spellEnd"/>
      <w:r w:rsidRPr="00824227">
        <w:rPr>
          <w:rFonts w:ascii="Times New Roman" w:hAnsi="Times New Roman" w:cs="Times New Roman"/>
          <w:kern w:val="0"/>
        </w:rPr>
        <w:t xml:space="preserve">, D. J., </w:t>
      </w:r>
      <w:proofErr w:type="spellStart"/>
      <w:r w:rsidRPr="00824227">
        <w:rPr>
          <w:rFonts w:ascii="Times New Roman" w:hAnsi="Times New Roman" w:cs="Times New Roman"/>
          <w:kern w:val="0"/>
        </w:rPr>
        <w:t>Marocolo</w:t>
      </w:r>
      <w:proofErr w:type="spellEnd"/>
      <w:r w:rsidRPr="00824227">
        <w:rPr>
          <w:rFonts w:ascii="Times New Roman" w:hAnsi="Times New Roman" w:cs="Times New Roman"/>
          <w:kern w:val="0"/>
        </w:rPr>
        <w:t xml:space="preserve">, M., Simim, M. A. M., Roberts, M. D., &amp; Mota, G. R. (2023). Comparison of Traditional and Advanced Resistance Training Paradigms on Muscle Hypertrophy in Trained Individuals: A Systematic Review and Meta-Analysis. </w:t>
      </w:r>
      <w:r w:rsidRPr="00824227">
        <w:rPr>
          <w:rFonts w:ascii="Times New Roman" w:hAnsi="Times New Roman" w:cs="Times New Roman"/>
          <w:i/>
          <w:iCs/>
          <w:kern w:val="0"/>
        </w:rPr>
        <w:t>Translational 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2023</w:t>
      </w:r>
      <w:r w:rsidRPr="00824227">
        <w:rPr>
          <w:rFonts w:ascii="Times New Roman" w:hAnsi="Times New Roman" w:cs="Times New Roman"/>
          <w:kern w:val="0"/>
        </w:rPr>
        <w:t>, 1–15. https://doi.org/10.1155/2023/9507977</w:t>
      </w:r>
    </w:p>
    <w:p w14:paraId="0D2507F9"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Franchi, M. V., Longo, S., Mallinson, J., Quinlan, J. I., Taylor, T., </w:t>
      </w:r>
      <w:proofErr w:type="spellStart"/>
      <w:r w:rsidRPr="00824227">
        <w:rPr>
          <w:rFonts w:ascii="Times New Roman" w:hAnsi="Times New Roman" w:cs="Times New Roman"/>
          <w:kern w:val="0"/>
        </w:rPr>
        <w:t>Greenhaff</w:t>
      </w:r>
      <w:proofErr w:type="spellEnd"/>
      <w:r w:rsidRPr="00824227">
        <w:rPr>
          <w:rFonts w:ascii="Times New Roman" w:hAnsi="Times New Roman" w:cs="Times New Roman"/>
          <w:kern w:val="0"/>
        </w:rPr>
        <w:t xml:space="preserve">, P. L., &amp; </w:t>
      </w:r>
      <w:proofErr w:type="spellStart"/>
      <w:r w:rsidRPr="00824227">
        <w:rPr>
          <w:rFonts w:ascii="Times New Roman" w:hAnsi="Times New Roman" w:cs="Times New Roman"/>
          <w:kern w:val="0"/>
        </w:rPr>
        <w:t>Narici</w:t>
      </w:r>
      <w:proofErr w:type="spellEnd"/>
      <w:r w:rsidRPr="00824227">
        <w:rPr>
          <w:rFonts w:ascii="Times New Roman" w:hAnsi="Times New Roman" w:cs="Times New Roman"/>
          <w:kern w:val="0"/>
        </w:rPr>
        <w:t xml:space="preserve">, M. V. (2018). Muscle thickness correlates to muscle cross‐sectional area in the assessment of strength training‐induced hypertrophy. </w:t>
      </w:r>
      <w:r w:rsidRPr="00824227">
        <w:rPr>
          <w:rFonts w:ascii="Times New Roman" w:hAnsi="Times New Roman" w:cs="Times New Roman"/>
          <w:i/>
          <w:iCs/>
          <w:kern w:val="0"/>
        </w:rPr>
        <w:t>Scandinavian Journal of Medicine &amp; Science in Sports</w:t>
      </w:r>
      <w:r w:rsidRPr="00824227">
        <w:rPr>
          <w:rFonts w:ascii="Times New Roman" w:hAnsi="Times New Roman" w:cs="Times New Roman"/>
          <w:kern w:val="0"/>
        </w:rPr>
        <w:t xml:space="preserve">, </w:t>
      </w:r>
      <w:r w:rsidRPr="00824227">
        <w:rPr>
          <w:rFonts w:ascii="Times New Roman" w:hAnsi="Times New Roman" w:cs="Times New Roman"/>
          <w:i/>
          <w:iCs/>
          <w:kern w:val="0"/>
        </w:rPr>
        <w:t>28</w:t>
      </w:r>
      <w:r w:rsidRPr="00824227">
        <w:rPr>
          <w:rFonts w:ascii="Times New Roman" w:hAnsi="Times New Roman" w:cs="Times New Roman"/>
          <w:kern w:val="0"/>
        </w:rPr>
        <w:t>(3), 846–853. https://doi.org/10.1111/sms.12961</w:t>
      </w:r>
    </w:p>
    <w:p w14:paraId="60AF959A"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Goldspink, G. (1970). The proliferation of myofibrils during muscle fibre growth. </w:t>
      </w:r>
      <w:r w:rsidRPr="00824227">
        <w:rPr>
          <w:rFonts w:ascii="Times New Roman" w:hAnsi="Times New Roman" w:cs="Times New Roman"/>
          <w:i/>
          <w:iCs/>
          <w:kern w:val="0"/>
        </w:rPr>
        <w:t>Journal of Cell Science</w:t>
      </w:r>
      <w:r w:rsidRPr="00824227">
        <w:rPr>
          <w:rFonts w:ascii="Times New Roman" w:hAnsi="Times New Roman" w:cs="Times New Roman"/>
          <w:kern w:val="0"/>
        </w:rPr>
        <w:t xml:space="preserve">, </w:t>
      </w:r>
      <w:r w:rsidRPr="00824227">
        <w:rPr>
          <w:rFonts w:ascii="Times New Roman" w:hAnsi="Times New Roman" w:cs="Times New Roman"/>
          <w:i/>
          <w:iCs/>
          <w:kern w:val="0"/>
        </w:rPr>
        <w:t>6</w:t>
      </w:r>
      <w:r w:rsidRPr="00824227">
        <w:rPr>
          <w:rFonts w:ascii="Times New Roman" w:hAnsi="Times New Roman" w:cs="Times New Roman"/>
          <w:kern w:val="0"/>
        </w:rPr>
        <w:t>(2), 593–603. https://doi.org/10.1242/jcs.6.2.593</w:t>
      </w:r>
    </w:p>
    <w:p w14:paraId="4B0B187D"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w:t>
      </w:r>
      <w:r w:rsidRPr="00824227">
        <w:rPr>
          <w:rFonts w:ascii="Times New Roman" w:hAnsi="Times New Roman" w:cs="Times New Roman"/>
          <w:kern w:val="0"/>
        </w:rPr>
        <w:lastRenderedPageBreak/>
        <w:t xml:space="preserve">Does the Measurement. </w:t>
      </w:r>
      <w:r w:rsidRPr="00824227">
        <w:rPr>
          <w:rFonts w:ascii="Times New Roman" w:hAnsi="Times New Roman" w:cs="Times New Roman"/>
          <w:i/>
          <w:iCs/>
          <w:kern w:val="0"/>
        </w:rPr>
        <w:t>Frontiers in Physiology</w:t>
      </w:r>
      <w:r w:rsidRPr="00824227">
        <w:rPr>
          <w:rFonts w:ascii="Times New Roman" w:hAnsi="Times New Roman" w:cs="Times New Roman"/>
          <w:kern w:val="0"/>
        </w:rPr>
        <w:t xml:space="preserve">, </w:t>
      </w:r>
      <w:r w:rsidRPr="00824227">
        <w:rPr>
          <w:rFonts w:ascii="Times New Roman" w:hAnsi="Times New Roman" w:cs="Times New Roman"/>
          <w:i/>
          <w:iCs/>
          <w:kern w:val="0"/>
        </w:rPr>
        <w:t>10</w:t>
      </w:r>
      <w:r w:rsidRPr="00824227">
        <w:rPr>
          <w:rFonts w:ascii="Times New Roman" w:hAnsi="Times New Roman" w:cs="Times New Roman"/>
          <w:kern w:val="0"/>
        </w:rPr>
        <w:t>, 247. https://doi.org/10.3389/fphys.2019.00247</w:t>
      </w:r>
    </w:p>
    <w:p w14:paraId="03B745F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Hecksteden, A., Faude, O., Meyer, T., &amp; Donath, L. (2018). How to Construct, Conduct and </w:t>
      </w:r>
      <w:proofErr w:type="spellStart"/>
      <w:r w:rsidRPr="00824227">
        <w:rPr>
          <w:rFonts w:ascii="Times New Roman" w:hAnsi="Times New Roman" w:cs="Times New Roman"/>
          <w:kern w:val="0"/>
        </w:rPr>
        <w:t>Analyze</w:t>
      </w:r>
      <w:proofErr w:type="spellEnd"/>
      <w:r w:rsidRPr="00824227">
        <w:rPr>
          <w:rFonts w:ascii="Times New Roman" w:hAnsi="Times New Roman" w:cs="Times New Roman"/>
          <w:kern w:val="0"/>
        </w:rPr>
        <w:t xml:space="preserve"> an Exercise Training Study? </w:t>
      </w:r>
      <w:r w:rsidRPr="00824227">
        <w:rPr>
          <w:rFonts w:ascii="Times New Roman" w:hAnsi="Times New Roman" w:cs="Times New Roman"/>
          <w:i/>
          <w:iCs/>
          <w:kern w:val="0"/>
        </w:rPr>
        <w:t>Frontiers in Physiology</w:t>
      </w:r>
      <w:r w:rsidRPr="00824227">
        <w:rPr>
          <w:rFonts w:ascii="Times New Roman" w:hAnsi="Times New Roman" w:cs="Times New Roman"/>
          <w:kern w:val="0"/>
        </w:rPr>
        <w:t xml:space="preserve">, </w:t>
      </w:r>
      <w:r w:rsidRPr="00824227">
        <w:rPr>
          <w:rFonts w:ascii="Times New Roman" w:hAnsi="Times New Roman" w:cs="Times New Roman"/>
          <w:i/>
          <w:iCs/>
          <w:kern w:val="0"/>
        </w:rPr>
        <w:t>9</w:t>
      </w:r>
      <w:r w:rsidRPr="00824227">
        <w:rPr>
          <w:rFonts w:ascii="Times New Roman" w:hAnsi="Times New Roman" w:cs="Times New Roman"/>
          <w:kern w:val="0"/>
        </w:rPr>
        <w:t>, 1007. https://doi.org/10.3389/fphys.2018.01007</w:t>
      </w:r>
    </w:p>
    <w:p w14:paraId="29048E78"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Helms, E. R., Cronin, J., Storey, A., &amp; </w:t>
      </w:r>
      <w:proofErr w:type="spellStart"/>
      <w:r w:rsidRPr="00824227">
        <w:rPr>
          <w:rFonts w:ascii="Times New Roman" w:hAnsi="Times New Roman" w:cs="Times New Roman"/>
          <w:kern w:val="0"/>
        </w:rPr>
        <w:t>Zourdos</w:t>
      </w:r>
      <w:proofErr w:type="spellEnd"/>
      <w:r w:rsidRPr="00824227">
        <w:rPr>
          <w:rFonts w:ascii="Times New Roman" w:hAnsi="Times New Roman" w:cs="Times New Roman"/>
          <w:kern w:val="0"/>
        </w:rPr>
        <w:t xml:space="preserve">, M. C. (2016). Application of the Repetitions in Reserve-Based Rating of Perceived Exertion Scale for Resistance Training. </w:t>
      </w:r>
      <w:r w:rsidRPr="00824227">
        <w:rPr>
          <w:rFonts w:ascii="Times New Roman" w:hAnsi="Times New Roman" w:cs="Times New Roman"/>
          <w:i/>
          <w:iCs/>
          <w:kern w:val="0"/>
        </w:rPr>
        <w:t>Strength &amp; Conditioning Journal</w:t>
      </w:r>
      <w:r w:rsidRPr="00824227">
        <w:rPr>
          <w:rFonts w:ascii="Times New Roman" w:hAnsi="Times New Roman" w:cs="Times New Roman"/>
          <w:kern w:val="0"/>
        </w:rPr>
        <w:t xml:space="preserve">, </w:t>
      </w:r>
      <w:r w:rsidRPr="00824227">
        <w:rPr>
          <w:rFonts w:ascii="Times New Roman" w:hAnsi="Times New Roman" w:cs="Times New Roman"/>
          <w:i/>
          <w:iCs/>
          <w:kern w:val="0"/>
        </w:rPr>
        <w:t>38</w:t>
      </w:r>
      <w:r w:rsidRPr="00824227">
        <w:rPr>
          <w:rFonts w:ascii="Times New Roman" w:hAnsi="Times New Roman" w:cs="Times New Roman"/>
          <w:kern w:val="0"/>
        </w:rPr>
        <w:t>(4), 42–49. https://doi.org/10.1519/SSC.0000000000000218</w:t>
      </w:r>
    </w:p>
    <w:p w14:paraId="2EDA54BB"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Karanicolas, P. J., </w:t>
      </w:r>
      <w:proofErr w:type="spellStart"/>
      <w:r w:rsidRPr="00824227">
        <w:rPr>
          <w:rFonts w:ascii="Times New Roman" w:hAnsi="Times New Roman" w:cs="Times New Roman"/>
          <w:kern w:val="0"/>
        </w:rPr>
        <w:t>Farrokhyar</w:t>
      </w:r>
      <w:proofErr w:type="spellEnd"/>
      <w:r w:rsidRPr="00824227">
        <w:rPr>
          <w:rFonts w:ascii="Times New Roman" w:hAnsi="Times New Roman" w:cs="Times New Roman"/>
          <w:kern w:val="0"/>
        </w:rPr>
        <w:t xml:space="preserve">, F., &amp; Bhandari, M. (2010). Practical tips for surgical research: Blinding: who, what, when, why, how? </w:t>
      </w:r>
      <w:r w:rsidRPr="00824227">
        <w:rPr>
          <w:rFonts w:ascii="Times New Roman" w:hAnsi="Times New Roman" w:cs="Times New Roman"/>
          <w:i/>
          <w:iCs/>
          <w:kern w:val="0"/>
        </w:rPr>
        <w:t>Canadian Journal of Surgery. Journal Canadien De Chirurgie</w:t>
      </w:r>
      <w:r w:rsidRPr="00824227">
        <w:rPr>
          <w:rFonts w:ascii="Times New Roman" w:hAnsi="Times New Roman" w:cs="Times New Roman"/>
          <w:kern w:val="0"/>
        </w:rPr>
        <w:t xml:space="preserve">, </w:t>
      </w:r>
      <w:r w:rsidRPr="00824227">
        <w:rPr>
          <w:rFonts w:ascii="Times New Roman" w:hAnsi="Times New Roman" w:cs="Times New Roman"/>
          <w:i/>
          <w:iCs/>
          <w:kern w:val="0"/>
        </w:rPr>
        <w:t>53</w:t>
      </w:r>
      <w:r w:rsidRPr="00824227">
        <w:rPr>
          <w:rFonts w:ascii="Times New Roman" w:hAnsi="Times New Roman" w:cs="Times New Roman"/>
          <w:kern w:val="0"/>
        </w:rPr>
        <w:t>(5), 345–348.</w:t>
      </w:r>
    </w:p>
    <w:p w14:paraId="08F15A2F"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Kassiano</w:t>
      </w:r>
      <w:proofErr w:type="spellEnd"/>
      <w:r w:rsidRPr="00824227">
        <w:rPr>
          <w:rFonts w:ascii="Times New Roman" w:hAnsi="Times New Roman" w:cs="Times New Roman"/>
          <w:kern w:val="0"/>
        </w:rPr>
        <w:t xml:space="preserve">, W., Costa, B., </w:t>
      </w:r>
      <w:proofErr w:type="spellStart"/>
      <w:r w:rsidRPr="00824227">
        <w:rPr>
          <w:rFonts w:ascii="Times New Roman" w:hAnsi="Times New Roman" w:cs="Times New Roman"/>
          <w:kern w:val="0"/>
        </w:rPr>
        <w:t>Kunevaliki</w:t>
      </w:r>
      <w:proofErr w:type="spellEnd"/>
      <w:r w:rsidRPr="00824227">
        <w:rPr>
          <w:rFonts w:ascii="Times New Roman" w:hAnsi="Times New Roman" w:cs="Times New Roman"/>
          <w:kern w:val="0"/>
        </w:rPr>
        <w:t xml:space="preserve">, G., Soares, D., Zacarias, G., Manske, I., Takaki, Y., Ruggiero, M. F., Stavinski, N., </w:t>
      </w:r>
      <w:proofErr w:type="spellStart"/>
      <w:r w:rsidRPr="00824227">
        <w:rPr>
          <w:rFonts w:ascii="Times New Roman" w:hAnsi="Times New Roman" w:cs="Times New Roman"/>
          <w:kern w:val="0"/>
        </w:rPr>
        <w:t>Francsuel</w:t>
      </w:r>
      <w:proofErr w:type="spellEnd"/>
      <w:r w:rsidRPr="00824227">
        <w:rPr>
          <w:rFonts w:ascii="Times New Roman" w:hAnsi="Times New Roman" w:cs="Times New Roman"/>
          <w:kern w:val="0"/>
        </w:rPr>
        <w:t xml:space="preserve">, J., Tricoli, I., Carneiro, M. A. S., &amp; </w:t>
      </w:r>
      <w:proofErr w:type="spellStart"/>
      <w:r w:rsidRPr="00824227">
        <w:rPr>
          <w:rFonts w:ascii="Times New Roman" w:hAnsi="Times New Roman" w:cs="Times New Roman"/>
          <w:kern w:val="0"/>
        </w:rPr>
        <w:t>Cyrino</w:t>
      </w:r>
      <w:proofErr w:type="spellEnd"/>
      <w:r w:rsidRPr="00824227">
        <w:rPr>
          <w:rFonts w:ascii="Times New Roman" w:hAnsi="Times New Roman" w:cs="Times New Roman"/>
          <w:kern w:val="0"/>
        </w:rPr>
        <w:t xml:space="preserve">, E. S. (2023). Greater Gastrocnemius Muscle Hypertrophy After Partial Range of Motion Training Performed at Long Muscle Lengths. </w:t>
      </w:r>
      <w:r w:rsidRPr="00824227">
        <w:rPr>
          <w:rFonts w:ascii="Times New Roman" w:hAnsi="Times New Roman" w:cs="Times New Roman"/>
          <w:i/>
          <w:iCs/>
          <w:kern w:val="0"/>
        </w:rPr>
        <w:t>Journal of Strength &amp;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37</w:t>
      </w:r>
      <w:r w:rsidRPr="00824227">
        <w:rPr>
          <w:rFonts w:ascii="Times New Roman" w:hAnsi="Times New Roman" w:cs="Times New Roman"/>
          <w:kern w:val="0"/>
        </w:rPr>
        <w:t>(9), 1746–1753. https://doi.org/10.1519/JSC.0000000000004460</w:t>
      </w:r>
    </w:p>
    <w:p w14:paraId="2E1D8528"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Kim, J., Wang, Z., </w:t>
      </w:r>
      <w:proofErr w:type="spellStart"/>
      <w:r w:rsidRPr="00824227">
        <w:rPr>
          <w:rFonts w:ascii="Times New Roman" w:hAnsi="Times New Roman" w:cs="Times New Roman"/>
          <w:kern w:val="0"/>
        </w:rPr>
        <w:t>Heymsfield</w:t>
      </w:r>
      <w:proofErr w:type="spellEnd"/>
      <w:r w:rsidRPr="00824227">
        <w:rPr>
          <w:rFonts w:ascii="Times New Roman" w:hAnsi="Times New Roman" w:cs="Times New Roman"/>
          <w:kern w:val="0"/>
        </w:rPr>
        <w:t xml:space="preserve">, S. B., Baumgartner, R. N., &amp; Gallagher, D. (2002). Total-body skeletal muscle mass: Estimation by a new dual-energy X-ray absorptiometry method. </w:t>
      </w:r>
      <w:r w:rsidRPr="00824227">
        <w:rPr>
          <w:rFonts w:ascii="Times New Roman" w:hAnsi="Times New Roman" w:cs="Times New Roman"/>
          <w:i/>
          <w:iCs/>
          <w:kern w:val="0"/>
        </w:rPr>
        <w:t>The American Journal of Clinical Nutrition</w:t>
      </w:r>
      <w:r w:rsidRPr="00824227">
        <w:rPr>
          <w:rFonts w:ascii="Times New Roman" w:hAnsi="Times New Roman" w:cs="Times New Roman"/>
          <w:kern w:val="0"/>
        </w:rPr>
        <w:t xml:space="preserve">, </w:t>
      </w:r>
      <w:r w:rsidRPr="00824227">
        <w:rPr>
          <w:rFonts w:ascii="Times New Roman" w:hAnsi="Times New Roman" w:cs="Times New Roman"/>
          <w:i/>
          <w:iCs/>
          <w:kern w:val="0"/>
        </w:rPr>
        <w:t>76</w:t>
      </w:r>
      <w:r w:rsidRPr="00824227">
        <w:rPr>
          <w:rFonts w:ascii="Times New Roman" w:hAnsi="Times New Roman" w:cs="Times New Roman"/>
          <w:kern w:val="0"/>
        </w:rPr>
        <w:t>(2), 378–383. https://doi.org/10.1093/ajcn/76.2.378</w:t>
      </w:r>
    </w:p>
    <w:p w14:paraId="3D8A1F55"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Li, R., Xia, J., Zhang, X., </w:t>
      </w:r>
      <w:proofErr w:type="spellStart"/>
      <w:r w:rsidRPr="00824227">
        <w:rPr>
          <w:rFonts w:ascii="Times New Roman" w:hAnsi="Times New Roman" w:cs="Times New Roman"/>
          <w:kern w:val="0"/>
        </w:rPr>
        <w:t>Gathirua</w:t>
      </w:r>
      <w:proofErr w:type="spellEnd"/>
      <w:r w:rsidRPr="00824227">
        <w:rPr>
          <w:rFonts w:ascii="Times New Roman" w:hAnsi="Times New Roman" w:cs="Times New Roman"/>
          <w:kern w:val="0"/>
        </w:rPr>
        <w:t xml:space="preserve">-Mwangi, W. G., Guo, J., Li, Y., Mckenzie, S., &amp; Song, Y. (2018). Associations of Muscle Mass and Strength with All-Cause Mortality among US Older Adults. </w:t>
      </w:r>
      <w:r w:rsidRPr="00824227">
        <w:rPr>
          <w:rFonts w:ascii="Times New Roman" w:hAnsi="Times New Roman" w:cs="Times New Roman"/>
          <w:i/>
          <w:iCs/>
          <w:kern w:val="0"/>
        </w:rPr>
        <w:t>Medicine &amp; Science in Sports &amp; Exercise</w:t>
      </w:r>
      <w:r w:rsidRPr="00824227">
        <w:rPr>
          <w:rFonts w:ascii="Times New Roman" w:hAnsi="Times New Roman" w:cs="Times New Roman"/>
          <w:kern w:val="0"/>
        </w:rPr>
        <w:t xml:space="preserve">, </w:t>
      </w:r>
      <w:r w:rsidRPr="00824227">
        <w:rPr>
          <w:rFonts w:ascii="Times New Roman" w:hAnsi="Times New Roman" w:cs="Times New Roman"/>
          <w:i/>
          <w:iCs/>
          <w:kern w:val="0"/>
        </w:rPr>
        <w:t>50</w:t>
      </w:r>
      <w:r w:rsidRPr="00824227">
        <w:rPr>
          <w:rFonts w:ascii="Times New Roman" w:hAnsi="Times New Roman" w:cs="Times New Roman"/>
          <w:kern w:val="0"/>
        </w:rPr>
        <w:t>(3), 458–467. https://doi.org/10.1249/MSS.0000000000001448</w:t>
      </w:r>
    </w:p>
    <w:p w14:paraId="76E0C483"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Lixandrão</w:t>
      </w:r>
      <w:proofErr w:type="spellEnd"/>
      <w:r w:rsidRPr="00824227">
        <w:rPr>
          <w:rFonts w:ascii="Times New Roman" w:hAnsi="Times New Roman" w:cs="Times New Roman"/>
          <w:kern w:val="0"/>
        </w:rPr>
        <w:t xml:space="preserve">, M. E., </w:t>
      </w:r>
      <w:proofErr w:type="spellStart"/>
      <w:r w:rsidRPr="00824227">
        <w:rPr>
          <w:rFonts w:ascii="Times New Roman" w:hAnsi="Times New Roman" w:cs="Times New Roman"/>
          <w:kern w:val="0"/>
        </w:rPr>
        <w:t>Ugrinowitsch</w:t>
      </w:r>
      <w:proofErr w:type="spellEnd"/>
      <w:r w:rsidRPr="00824227">
        <w:rPr>
          <w:rFonts w:ascii="Times New Roman" w:hAnsi="Times New Roman" w:cs="Times New Roman"/>
          <w:kern w:val="0"/>
        </w:rPr>
        <w:t xml:space="preserve">, C., Bottaro, M., Chacon-Mikahil, M. P. T., </w:t>
      </w:r>
      <w:proofErr w:type="spellStart"/>
      <w:r w:rsidRPr="00824227">
        <w:rPr>
          <w:rFonts w:ascii="Times New Roman" w:hAnsi="Times New Roman" w:cs="Times New Roman"/>
          <w:kern w:val="0"/>
        </w:rPr>
        <w:t>Cavaglieri</w:t>
      </w:r>
      <w:proofErr w:type="spellEnd"/>
      <w:r w:rsidRPr="00824227">
        <w:rPr>
          <w:rFonts w:ascii="Times New Roman" w:hAnsi="Times New Roman" w:cs="Times New Roman"/>
          <w:kern w:val="0"/>
        </w:rPr>
        <w:t>, C. R., Min, L. L., De Souza, E. O., Laurentino, G. C., &amp; Libardi, C. A. (2014). Vastus Lateralis Muscle Cross-</w:t>
      </w:r>
      <w:r w:rsidRPr="00824227">
        <w:rPr>
          <w:rFonts w:ascii="Times New Roman" w:hAnsi="Times New Roman" w:cs="Times New Roman"/>
          <w:kern w:val="0"/>
        </w:rPr>
        <w:lastRenderedPageBreak/>
        <w:t xml:space="preserve">sectional Area Ultrasonography Validity for Image Fitting in Humans.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28</w:t>
      </w:r>
      <w:r w:rsidRPr="00824227">
        <w:rPr>
          <w:rFonts w:ascii="Times New Roman" w:hAnsi="Times New Roman" w:cs="Times New Roman"/>
          <w:kern w:val="0"/>
        </w:rPr>
        <w:t>(11), 3293–3297. https://doi.org/10.1519/JSC.0000000000000532</w:t>
      </w:r>
    </w:p>
    <w:p w14:paraId="27DFBE1E"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Mangine, G. T., Gonzalez, A. M., Townsend, J. R., Wells, A. J., Beyer, K. S., Miramonti, A. A., </w:t>
      </w:r>
      <w:proofErr w:type="spellStart"/>
      <w:r w:rsidRPr="00824227">
        <w:rPr>
          <w:rFonts w:ascii="Times New Roman" w:hAnsi="Times New Roman" w:cs="Times New Roman"/>
          <w:kern w:val="0"/>
        </w:rPr>
        <w:t>Ratamess</w:t>
      </w:r>
      <w:proofErr w:type="spellEnd"/>
      <w:r w:rsidRPr="00824227">
        <w:rPr>
          <w:rFonts w:ascii="Times New Roman" w:hAnsi="Times New Roman" w:cs="Times New Roman"/>
          <w:kern w:val="0"/>
        </w:rPr>
        <w:t xml:space="preserve">, N. A., Stout, J. R., &amp; Hoffman, J. R. (2018). Influence Of Baseline Muscle Strength </w:t>
      </w:r>
      <w:proofErr w:type="gramStart"/>
      <w:r w:rsidRPr="00824227">
        <w:rPr>
          <w:rFonts w:ascii="Times New Roman" w:hAnsi="Times New Roman" w:cs="Times New Roman"/>
          <w:kern w:val="0"/>
        </w:rPr>
        <w:t>And</w:t>
      </w:r>
      <w:proofErr w:type="gramEnd"/>
      <w:r w:rsidRPr="00824227">
        <w:rPr>
          <w:rFonts w:ascii="Times New Roman" w:hAnsi="Times New Roman" w:cs="Times New Roman"/>
          <w:kern w:val="0"/>
        </w:rPr>
        <w:t xml:space="preserve"> Size Measures </w:t>
      </w:r>
      <w:proofErr w:type="gramStart"/>
      <w:r w:rsidRPr="00824227">
        <w:rPr>
          <w:rFonts w:ascii="Times New Roman" w:hAnsi="Times New Roman" w:cs="Times New Roman"/>
          <w:kern w:val="0"/>
        </w:rPr>
        <w:t>On</w:t>
      </w:r>
      <w:proofErr w:type="gramEnd"/>
      <w:r w:rsidRPr="00824227">
        <w:rPr>
          <w:rFonts w:ascii="Times New Roman" w:hAnsi="Times New Roman" w:cs="Times New Roman"/>
          <w:kern w:val="0"/>
        </w:rPr>
        <w:t xml:space="preserve"> Training Adaptations </w:t>
      </w:r>
      <w:proofErr w:type="gramStart"/>
      <w:r w:rsidRPr="00824227">
        <w:rPr>
          <w:rFonts w:ascii="Times New Roman" w:hAnsi="Times New Roman" w:cs="Times New Roman"/>
          <w:kern w:val="0"/>
        </w:rPr>
        <w:t>In</w:t>
      </w:r>
      <w:proofErr w:type="gramEnd"/>
      <w:r w:rsidRPr="00824227">
        <w:rPr>
          <w:rFonts w:ascii="Times New Roman" w:hAnsi="Times New Roman" w:cs="Times New Roman"/>
          <w:kern w:val="0"/>
        </w:rPr>
        <w:t xml:space="preserve"> Resistance-Trained Men. </w:t>
      </w:r>
      <w:r w:rsidRPr="00824227">
        <w:rPr>
          <w:rFonts w:ascii="Times New Roman" w:hAnsi="Times New Roman" w:cs="Times New Roman"/>
          <w:i/>
          <w:iCs/>
          <w:kern w:val="0"/>
        </w:rPr>
        <w:t>International Journal of Exercise Science</w:t>
      </w:r>
      <w:r w:rsidRPr="00824227">
        <w:rPr>
          <w:rFonts w:ascii="Times New Roman" w:hAnsi="Times New Roman" w:cs="Times New Roman"/>
          <w:kern w:val="0"/>
        </w:rPr>
        <w:t xml:space="preserve">, </w:t>
      </w:r>
      <w:r w:rsidRPr="00824227">
        <w:rPr>
          <w:rFonts w:ascii="Times New Roman" w:hAnsi="Times New Roman" w:cs="Times New Roman"/>
          <w:i/>
          <w:iCs/>
          <w:kern w:val="0"/>
        </w:rPr>
        <w:t>11</w:t>
      </w:r>
      <w:r w:rsidRPr="00824227">
        <w:rPr>
          <w:rFonts w:ascii="Times New Roman" w:hAnsi="Times New Roman" w:cs="Times New Roman"/>
          <w:kern w:val="0"/>
        </w:rPr>
        <w:t>(4), 198–213. https://doi.org/10.70252/UGMJ3157</w:t>
      </w:r>
    </w:p>
    <w:p w14:paraId="4D8D475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Maughan, R. J., Watson, J. S., &amp; Weir, J. (1983). Strength and cross‐sectional area of human skeletal muscle. </w:t>
      </w:r>
      <w:r w:rsidRPr="00824227">
        <w:rPr>
          <w:rFonts w:ascii="Times New Roman" w:hAnsi="Times New Roman" w:cs="Times New Roman"/>
          <w:i/>
          <w:iCs/>
          <w:kern w:val="0"/>
        </w:rPr>
        <w:t>The Journal of Physiology</w:t>
      </w:r>
      <w:r w:rsidRPr="00824227">
        <w:rPr>
          <w:rFonts w:ascii="Times New Roman" w:hAnsi="Times New Roman" w:cs="Times New Roman"/>
          <w:kern w:val="0"/>
        </w:rPr>
        <w:t xml:space="preserve">, </w:t>
      </w:r>
      <w:r w:rsidRPr="00824227">
        <w:rPr>
          <w:rFonts w:ascii="Times New Roman" w:hAnsi="Times New Roman" w:cs="Times New Roman"/>
          <w:i/>
          <w:iCs/>
          <w:kern w:val="0"/>
        </w:rPr>
        <w:t>338</w:t>
      </w:r>
      <w:r w:rsidRPr="00824227">
        <w:rPr>
          <w:rFonts w:ascii="Times New Roman" w:hAnsi="Times New Roman" w:cs="Times New Roman"/>
          <w:kern w:val="0"/>
        </w:rPr>
        <w:t>(1), 37–49. https://doi.org/10.1113/jphysiol.1983.sp014658</w:t>
      </w:r>
    </w:p>
    <w:p w14:paraId="3FF772AF"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McArdle, W. D., Katch, F. I., &amp; Katch, V. L. (2023). Muscle </w:t>
      </w:r>
      <w:proofErr w:type="spellStart"/>
      <w:r w:rsidRPr="00824227">
        <w:rPr>
          <w:rFonts w:ascii="Times New Roman" w:hAnsi="Times New Roman" w:cs="Times New Roman"/>
          <w:kern w:val="0"/>
        </w:rPr>
        <w:t>Hyoertrophy</w:t>
      </w:r>
      <w:proofErr w:type="spellEnd"/>
      <w:r w:rsidRPr="00824227">
        <w:rPr>
          <w:rFonts w:ascii="Times New Roman" w:hAnsi="Times New Roman" w:cs="Times New Roman"/>
          <w:kern w:val="0"/>
        </w:rPr>
        <w:t xml:space="preserve">. In </w:t>
      </w:r>
      <w:r w:rsidRPr="00824227">
        <w:rPr>
          <w:rFonts w:ascii="Times New Roman" w:hAnsi="Times New Roman" w:cs="Times New Roman"/>
          <w:i/>
          <w:iCs/>
          <w:kern w:val="0"/>
        </w:rPr>
        <w:t>Exercise Physiology</w:t>
      </w:r>
      <w:r w:rsidRPr="00824227">
        <w:rPr>
          <w:rFonts w:ascii="Times New Roman" w:hAnsi="Times New Roman" w:cs="Times New Roman"/>
          <w:kern w:val="0"/>
        </w:rPr>
        <w:t xml:space="preserve"> (9th </w:t>
      </w:r>
      <w:proofErr w:type="spellStart"/>
      <w:r w:rsidRPr="00824227">
        <w:rPr>
          <w:rFonts w:ascii="Times New Roman" w:hAnsi="Times New Roman" w:cs="Times New Roman"/>
          <w:kern w:val="0"/>
        </w:rPr>
        <w:t>edn</w:t>
      </w:r>
      <w:proofErr w:type="spellEnd"/>
      <w:r w:rsidRPr="00824227">
        <w:rPr>
          <w:rFonts w:ascii="Times New Roman" w:hAnsi="Times New Roman" w:cs="Times New Roman"/>
          <w:kern w:val="0"/>
        </w:rPr>
        <w:t>, p. 572). Wolters Kluwer.</w:t>
      </w:r>
    </w:p>
    <w:p w14:paraId="12F76A62"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Mitsiopoulos</w:t>
      </w:r>
      <w:proofErr w:type="spellEnd"/>
      <w:r w:rsidRPr="00824227">
        <w:rPr>
          <w:rFonts w:ascii="Times New Roman" w:hAnsi="Times New Roman" w:cs="Times New Roman"/>
          <w:kern w:val="0"/>
        </w:rPr>
        <w:t xml:space="preserve">, N., Baumgartner, R. N., </w:t>
      </w:r>
      <w:proofErr w:type="spellStart"/>
      <w:r w:rsidRPr="00824227">
        <w:rPr>
          <w:rFonts w:ascii="Times New Roman" w:hAnsi="Times New Roman" w:cs="Times New Roman"/>
          <w:kern w:val="0"/>
        </w:rPr>
        <w:t>Heymsfield</w:t>
      </w:r>
      <w:proofErr w:type="spellEnd"/>
      <w:r w:rsidRPr="00824227">
        <w:rPr>
          <w:rFonts w:ascii="Times New Roman" w:hAnsi="Times New Roman" w:cs="Times New Roman"/>
          <w:kern w:val="0"/>
        </w:rPr>
        <w:t xml:space="preserve">, S. B., Lyons, W., Gallagher, D., &amp; Ross, R. (1998). Cadaver validation of skeletal muscle measurement by magnetic resonance imaging and computerized tomography. </w:t>
      </w:r>
      <w:r w:rsidRPr="00824227">
        <w:rPr>
          <w:rFonts w:ascii="Times New Roman" w:hAnsi="Times New Roman" w:cs="Times New Roman"/>
          <w:i/>
          <w:iCs/>
          <w:kern w:val="0"/>
        </w:rPr>
        <w:t>Journal of Applied Physiology</w:t>
      </w:r>
      <w:r w:rsidRPr="00824227">
        <w:rPr>
          <w:rFonts w:ascii="Times New Roman" w:hAnsi="Times New Roman" w:cs="Times New Roman"/>
          <w:kern w:val="0"/>
        </w:rPr>
        <w:t xml:space="preserve">, </w:t>
      </w:r>
      <w:r w:rsidRPr="00824227">
        <w:rPr>
          <w:rFonts w:ascii="Times New Roman" w:hAnsi="Times New Roman" w:cs="Times New Roman"/>
          <w:i/>
          <w:iCs/>
          <w:kern w:val="0"/>
        </w:rPr>
        <w:t>85</w:t>
      </w:r>
      <w:r w:rsidRPr="00824227">
        <w:rPr>
          <w:rFonts w:ascii="Times New Roman" w:hAnsi="Times New Roman" w:cs="Times New Roman"/>
          <w:kern w:val="0"/>
        </w:rPr>
        <w:t>(1), 115–122. https://doi.org/10.1152/jappl.1998.85.1.115</w:t>
      </w:r>
    </w:p>
    <w:p w14:paraId="38B8FE07"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i/>
          <w:iCs/>
          <w:kern w:val="0"/>
        </w:rPr>
        <w:t xml:space="preserve">National </w:t>
      </w:r>
      <w:proofErr w:type="spellStart"/>
      <w:r w:rsidRPr="00824227">
        <w:rPr>
          <w:rFonts w:ascii="Times New Roman" w:hAnsi="Times New Roman" w:cs="Times New Roman"/>
          <w:i/>
          <w:iCs/>
          <w:kern w:val="0"/>
        </w:rPr>
        <w:t>Center</w:t>
      </w:r>
      <w:proofErr w:type="spellEnd"/>
      <w:r w:rsidRPr="00824227">
        <w:rPr>
          <w:rFonts w:ascii="Times New Roman" w:hAnsi="Times New Roman" w:cs="Times New Roman"/>
          <w:i/>
          <w:iCs/>
          <w:kern w:val="0"/>
        </w:rPr>
        <w:t xml:space="preserve"> for Biotechnology Information</w:t>
      </w:r>
      <w:r w:rsidRPr="00824227">
        <w:rPr>
          <w:rFonts w:ascii="Times New Roman" w:hAnsi="Times New Roman" w:cs="Times New Roman"/>
          <w:kern w:val="0"/>
        </w:rPr>
        <w:t>. (n.d.). Retrieved 28 November 2025, from https://www.ncbi.nlm.nih.gov/</w:t>
      </w:r>
    </w:p>
    <w:p w14:paraId="2BF636E0"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Neves, R. P., </w:t>
      </w:r>
      <w:proofErr w:type="spellStart"/>
      <w:r w:rsidRPr="00824227">
        <w:rPr>
          <w:rFonts w:ascii="Times New Roman" w:hAnsi="Times New Roman" w:cs="Times New Roman"/>
          <w:kern w:val="0"/>
        </w:rPr>
        <w:t>Vechin</w:t>
      </w:r>
      <w:proofErr w:type="spellEnd"/>
      <w:r w:rsidRPr="00824227">
        <w:rPr>
          <w:rFonts w:ascii="Times New Roman" w:hAnsi="Times New Roman" w:cs="Times New Roman"/>
          <w:kern w:val="0"/>
        </w:rPr>
        <w:t xml:space="preserve">, F. C., Teixeira, E. L., da Silva, D. D., </w:t>
      </w:r>
      <w:proofErr w:type="spellStart"/>
      <w:r w:rsidRPr="00824227">
        <w:rPr>
          <w:rFonts w:ascii="Times New Roman" w:hAnsi="Times New Roman" w:cs="Times New Roman"/>
          <w:kern w:val="0"/>
        </w:rPr>
        <w:t>Ugrinowitsch</w:t>
      </w:r>
      <w:proofErr w:type="spellEnd"/>
      <w:r w:rsidRPr="00824227">
        <w:rPr>
          <w:rFonts w:ascii="Times New Roman" w:hAnsi="Times New Roman"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824227">
        <w:rPr>
          <w:rFonts w:ascii="Times New Roman" w:hAnsi="Times New Roman" w:cs="Times New Roman"/>
          <w:i/>
          <w:iCs/>
          <w:kern w:val="0"/>
        </w:rPr>
        <w:t>PloS</w:t>
      </w:r>
      <w:proofErr w:type="spellEnd"/>
      <w:r w:rsidRPr="00824227">
        <w:rPr>
          <w:rFonts w:ascii="Times New Roman" w:hAnsi="Times New Roman" w:cs="Times New Roman"/>
          <w:i/>
          <w:iCs/>
          <w:kern w:val="0"/>
        </w:rPr>
        <w:t xml:space="preserve"> One</w:t>
      </w:r>
      <w:r w:rsidRPr="00824227">
        <w:rPr>
          <w:rFonts w:ascii="Times New Roman" w:hAnsi="Times New Roman" w:cs="Times New Roman"/>
          <w:kern w:val="0"/>
        </w:rPr>
        <w:t xml:space="preserve">, </w:t>
      </w:r>
      <w:r w:rsidRPr="00824227">
        <w:rPr>
          <w:rFonts w:ascii="Times New Roman" w:hAnsi="Times New Roman" w:cs="Times New Roman"/>
          <w:i/>
          <w:iCs/>
          <w:kern w:val="0"/>
        </w:rPr>
        <w:t>17</w:t>
      </w:r>
      <w:r w:rsidRPr="00824227">
        <w:rPr>
          <w:rFonts w:ascii="Times New Roman" w:hAnsi="Times New Roman" w:cs="Times New Roman"/>
          <w:kern w:val="0"/>
        </w:rPr>
        <w:t>(10), e0276154. https://doi.org/10.1371/journal.pone.0276154</w:t>
      </w:r>
    </w:p>
    <w:p w14:paraId="1FA3EB2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824227">
        <w:rPr>
          <w:rFonts w:ascii="Times New Roman" w:hAnsi="Times New Roman" w:cs="Times New Roman"/>
          <w:i/>
          <w:iCs/>
          <w:kern w:val="0"/>
        </w:rPr>
        <w:t>Physiological Reports</w:t>
      </w:r>
      <w:r w:rsidRPr="00824227">
        <w:rPr>
          <w:rFonts w:ascii="Times New Roman" w:hAnsi="Times New Roman" w:cs="Times New Roman"/>
          <w:kern w:val="0"/>
        </w:rPr>
        <w:t xml:space="preserve">, </w:t>
      </w:r>
      <w:r w:rsidRPr="00824227">
        <w:rPr>
          <w:rFonts w:ascii="Times New Roman" w:hAnsi="Times New Roman" w:cs="Times New Roman"/>
          <w:i/>
          <w:iCs/>
          <w:kern w:val="0"/>
        </w:rPr>
        <w:t>11</w:t>
      </w:r>
      <w:r w:rsidRPr="00824227">
        <w:rPr>
          <w:rFonts w:ascii="Times New Roman" w:hAnsi="Times New Roman" w:cs="Times New Roman"/>
          <w:kern w:val="0"/>
        </w:rPr>
        <w:t>(9), e15679. https://doi.org/10.14814/phy2.15679</w:t>
      </w:r>
    </w:p>
    <w:p w14:paraId="6E81A882"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lastRenderedPageBreak/>
        <w:t xml:space="preserve">Schober, P., &amp; Vetter, T. R. (2018). Repeated Measures Designs and Analysis of Longitudinal Data: If at First You Do Not Succeed—Try, Try Again. </w:t>
      </w:r>
      <w:proofErr w:type="spellStart"/>
      <w:r w:rsidRPr="00824227">
        <w:rPr>
          <w:rFonts w:ascii="Times New Roman" w:hAnsi="Times New Roman" w:cs="Times New Roman"/>
          <w:i/>
          <w:iCs/>
          <w:kern w:val="0"/>
        </w:rPr>
        <w:t>Anesthesia</w:t>
      </w:r>
      <w:proofErr w:type="spellEnd"/>
      <w:r w:rsidRPr="00824227">
        <w:rPr>
          <w:rFonts w:ascii="Times New Roman" w:hAnsi="Times New Roman" w:cs="Times New Roman"/>
          <w:i/>
          <w:iCs/>
          <w:kern w:val="0"/>
        </w:rPr>
        <w:t xml:space="preserve"> &amp; Analgesia</w:t>
      </w:r>
      <w:r w:rsidRPr="00824227">
        <w:rPr>
          <w:rFonts w:ascii="Times New Roman" w:hAnsi="Times New Roman" w:cs="Times New Roman"/>
          <w:kern w:val="0"/>
        </w:rPr>
        <w:t xml:space="preserve">, </w:t>
      </w:r>
      <w:r w:rsidRPr="00824227">
        <w:rPr>
          <w:rFonts w:ascii="Times New Roman" w:hAnsi="Times New Roman" w:cs="Times New Roman"/>
          <w:i/>
          <w:iCs/>
          <w:kern w:val="0"/>
        </w:rPr>
        <w:t>127</w:t>
      </w:r>
      <w:r w:rsidRPr="00824227">
        <w:rPr>
          <w:rFonts w:ascii="Times New Roman" w:hAnsi="Times New Roman" w:cs="Times New Roman"/>
          <w:kern w:val="0"/>
        </w:rPr>
        <w:t>(2), 569–575. https://doi.org/10.1213/ANE.0000000000003511</w:t>
      </w:r>
    </w:p>
    <w:p w14:paraId="7F2A85E6"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(2010). The Mechanisms of Muscle Hypertrophy and Their Application to Resistance Training.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24</w:t>
      </w:r>
      <w:r w:rsidRPr="00824227">
        <w:rPr>
          <w:rFonts w:ascii="Times New Roman" w:hAnsi="Times New Roman" w:cs="Times New Roman"/>
          <w:kern w:val="0"/>
        </w:rPr>
        <w:t>(10), 2857–2872. https://doi.org/10.1519/JSC.0b013e3181e840f3</w:t>
      </w:r>
    </w:p>
    <w:p w14:paraId="1D5FC05E"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824227">
        <w:rPr>
          <w:rFonts w:ascii="Times New Roman" w:hAnsi="Times New Roman" w:cs="Times New Roman"/>
          <w:i/>
          <w:iCs/>
          <w:kern w:val="0"/>
        </w:rPr>
        <w:t>Medicine &amp; Science in Sports &amp; Exercise</w:t>
      </w:r>
      <w:r w:rsidRPr="00824227">
        <w:rPr>
          <w:rFonts w:ascii="Times New Roman" w:hAnsi="Times New Roman" w:cs="Times New Roman"/>
          <w:kern w:val="0"/>
        </w:rPr>
        <w:t xml:space="preserve">, </w:t>
      </w:r>
      <w:r w:rsidRPr="00824227">
        <w:rPr>
          <w:rFonts w:ascii="Times New Roman" w:hAnsi="Times New Roman" w:cs="Times New Roman"/>
          <w:i/>
          <w:iCs/>
          <w:kern w:val="0"/>
        </w:rPr>
        <w:t>51</w:t>
      </w:r>
      <w:r w:rsidRPr="00824227">
        <w:rPr>
          <w:rFonts w:ascii="Times New Roman" w:hAnsi="Times New Roman" w:cs="Times New Roman"/>
          <w:kern w:val="0"/>
        </w:rPr>
        <w:t>(1), 94–103. https://doi.org/10.1249/MSS.0000000000001764</w:t>
      </w:r>
    </w:p>
    <w:p w14:paraId="7D639AB4"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824227">
        <w:rPr>
          <w:rFonts w:ascii="Times New Roman" w:hAnsi="Times New Roman" w:cs="Times New Roman"/>
          <w:i/>
          <w:iCs/>
          <w:kern w:val="0"/>
        </w:rPr>
        <w:t>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46</w:t>
      </w:r>
      <w:r w:rsidRPr="00824227">
        <w:rPr>
          <w:rFonts w:ascii="Times New Roman" w:hAnsi="Times New Roman" w:cs="Times New Roman"/>
          <w:kern w:val="0"/>
        </w:rPr>
        <w:t>(11), 1689–1697. https://doi.org/10.1007/s40279-016-0543-8</w:t>
      </w:r>
    </w:p>
    <w:p w14:paraId="7132F34F"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29</w:t>
      </w:r>
      <w:r w:rsidRPr="00824227">
        <w:rPr>
          <w:rFonts w:ascii="Times New Roman" w:hAnsi="Times New Roman" w:cs="Times New Roman"/>
          <w:kern w:val="0"/>
        </w:rPr>
        <w:t>(10), 2954–2963. https://doi.org/10.1519/JSC.0000000000000958</w:t>
      </w:r>
    </w:p>
    <w:p w14:paraId="4AAD0AB8"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Pope, Z. K., Benik, F. M., Hester, G. M., Sellers, J., Nooner, J. L., </w:t>
      </w:r>
      <w:proofErr w:type="spellStart"/>
      <w:r w:rsidRPr="00824227">
        <w:rPr>
          <w:rFonts w:ascii="Times New Roman" w:hAnsi="Times New Roman" w:cs="Times New Roman"/>
          <w:kern w:val="0"/>
        </w:rPr>
        <w:t>Schnaiter</w:t>
      </w:r>
      <w:proofErr w:type="spellEnd"/>
      <w:r w:rsidRPr="00824227">
        <w:rPr>
          <w:rFonts w:ascii="Times New Roman" w:hAnsi="Times New Roman" w:cs="Times New Roman"/>
          <w:kern w:val="0"/>
        </w:rPr>
        <w:t xml:space="preserve">, J. A., Bond-Williams, K. E., Carter, A. S., Ross, C. L., Just, B. L., </w:t>
      </w:r>
      <w:proofErr w:type="spellStart"/>
      <w:r w:rsidRPr="00824227">
        <w:rPr>
          <w:rFonts w:ascii="Times New Roman" w:hAnsi="Times New Roman" w:cs="Times New Roman"/>
          <w:kern w:val="0"/>
        </w:rPr>
        <w:t>Henselmans</w:t>
      </w:r>
      <w:proofErr w:type="spellEnd"/>
      <w:r w:rsidRPr="00824227">
        <w:rPr>
          <w:rFonts w:ascii="Times New Roman" w:hAnsi="Times New Roman" w:cs="Times New Roman"/>
          <w:kern w:val="0"/>
        </w:rPr>
        <w:t xml:space="preserve">, M., &amp; Krieger, J. W. (2016). Longer </w:t>
      </w:r>
      <w:proofErr w:type="spellStart"/>
      <w:r w:rsidRPr="00824227">
        <w:rPr>
          <w:rFonts w:ascii="Times New Roman" w:hAnsi="Times New Roman" w:cs="Times New Roman"/>
          <w:kern w:val="0"/>
        </w:rPr>
        <w:t>Interset</w:t>
      </w:r>
      <w:proofErr w:type="spellEnd"/>
      <w:r w:rsidRPr="00824227">
        <w:rPr>
          <w:rFonts w:ascii="Times New Roman" w:hAnsi="Times New Roman" w:cs="Times New Roman"/>
          <w:kern w:val="0"/>
        </w:rPr>
        <w:t xml:space="preserve"> Rest Periods Enhance Muscle Strength and Hypertrophy in Resistance-Trained Men.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30</w:t>
      </w:r>
      <w:r w:rsidRPr="00824227">
        <w:rPr>
          <w:rFonts w:ascii="Times New Roman" w:hAnsi="Times New Roman" w:cs="Times New Roman"/>
          <w:kern w:val="0"/>
        </w:rPr>
        <w:t>(7), 1805–1812. https://doi.org/10.1519/JSC.0000000000001272</w:t>
      </w:r>
    </w:p>
    <w:p w14:paraId="6B8119C5"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Suchomel, T. J., Nimphius, S., &amp; Stone, M. H. (2016a). The Importance of Muscular Strength in Athletic Performance. </w:t>
      </w:r>
      <w:r w:rsidRPr="00824227">
        <w:rPr>
          <w:rFonts w:ascii="Times New Roman" w:hAnsi="Times New Roman" w:cs="Times New Roman"/>
          <w:i/>
          <w:iCs/>
          <w:kern w:val="0"/>
        </w:rPr>
        <w:t>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46</w:t>
      </w:r>
      <w:r w:rsidRPr="00824227">
        <w:rPr>
          <w:rFonts w:ascii="Times New Roman" w:hAnsi="Times New Roman" w:cs="Times New Roman"/>
          <w:kern w:val="0"/>
        </w:rPr>
        <w:t>(10), 1419–1449. https://doi.org/10.1007/s40279-016-0486-0</w:t>
      </w:r>
    </w:p>
    <w:p w14:paraId="52C68E1B"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Suchomel, T. J., Nimphius, S., &amp; Stone, M. H. (2016b). The Importance of Muscular Strength in Athletic Performance. </w:t>
      </w:r>
      <w:r w:rsidRPr="00824227">
        <w:rPr>
          <w:rFonts w:ascii="Times New Roman" w:hAnsi="Times New Roman" w:cs="Times New Roman"/>
          <w:i/>
          <w:iCs/>
          <w:kern w:val="0"/>
        </w:rPr>
        <w:t>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46</w:t>
      </w:r>
      <w:r w:rsidRPr="00824227">
        <w:rPr>
          <w:rFonts w:ascii="Times New Roman" w:hAnsi="Times New Roman" w:cs="Times New Roman"/>
          <w:kern w:val="0"/>
        </w:rPr>
        <w:t>(10), 1419–1449. https://doi.org/10.1007/s40279-016-0486-0</w:t>
      </w:r>
    </w:p>
    <w:p w14:paraId="26467F3F"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lastRenderedPageBreak/>
        <w:t>Thiese</w:t>
      </w:r>
      <w:proofErr w:type="spellEnd"/>
      <w:r w:rsidRPr="00824227">
        <w:rPr>
          <w:rFonts w:ascii="Times New Roman" w:hAnsi="Times New Roman" w:cs="Times New Roman"/>
          <w:kern w:val="0"/>
        </w:rPr>
        <w:t xml:space="preserve">, M. S. (2014). Observational and interventional study design types; an overview. </w:t>
      </w:r>
      <w:proofErr w:type="spellStart"/>
      <w:r w:rsidRPr="00824227">
        <w:rPr>
          <w:rFonts w:ascii="Times New Roman" w:hAnsi="Times New Roman" w:cs="Times New Roman"/>
          <w:i/>
          <w:iCs/>
          <w:kern w:val="0"/>
        </w:rPr>
        <w:t>Biochemia</w:t>
      </w:r>
      <w:proofErr w:type="spellEnd"/>
      <w:r w:rsidRPr="00824227">
        <w:rPr>
          <w:rFonts w:ascii="Times New Roman" w:hAnsi="Times New Roman" w:cs="Times New Roman"/>
          <w:i/>
          <w:iCs/>
          <w:kern w:val="0"/>
        </w:rPr>
        <w:t xml:space="preserve"> Medica</w:t>
      </w:r>
      <w:r w:rsidRPr="00824227">
        <w:rPr>
          <w:rFonts w:ascii="Times New Roman" w:hAnsi="Times New Roman" w:cs="Times New Roman"/>
          <w:kern w:val="0"/>
        </w:rPr>
        <w:t xml:space="preserve">, </w:t>
      </w:r>
      <w:r w:rsidRPr="00824227">
        <w:rPr>
          <w:rFonts w:ascii="Times New Roman" w:hAnsi="Times New Roman" w:cs="Times New Roman"/>
          <w:i/>
          <w:iCs/>
          <w:kern w:val="0"/>
        </w:rPr>
        <w:t>24</w:t>
      </w:r>
      <w:r w:rsidRPr="00824227">
        <w:rPr>
          <w:rFonts w:ascii="Times New Roman" w:hAnsi="Times New Roman" w:cs="Times New Roman"/>
          <w:kern w:val="0"/>
        </w:rPr>
        <w:t>(2), 199–210. https://doi.org/10.11613/BM.2014.022</w:t>
      </w:r>
    </w:p>
    <w:p w14:paraId="798C5AC4"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Tromaras</w:t>
      </w:r>
      <w:proofErr w:type="spellEnd"/>
      <w:r w:rsidRPr="00824227">
        <w:rPr>
          <w:rFonts w:ascii="Times New Roman" w:hAnsi="Times New Roman" w:cs="Times New Roman"/>
          <w:kern w:val="0"/>
        </w:rPr>
        <w:t xml:space="preserve">, K., Zaras, N., </w:t>
      </w:r>
      <w:proofErr w:type="spellStart"/>
      <w:r w:rsidRPr="00824227">
        <w:rPr>
          <w:rFonts w:ascii="Times New Roman" w:hAnsi="Times New Roman" w:cs="Times New Roman"/>
          <w:kern w:val="0"/>
        </w:rPr>
        <w:t>Stasinaki</w:t>
      </w:r>
      <w:proofErr w:type="spellEnd"/>
      <w:r w:rsidRPr="00824227">
        <w:rPr>
          <w:rFonts w:ascii="Times New Roman" w:hAnsi="Times New Roman" w:cs="Times New Roman"/>
          <w:kern w:val="0"/>
        </w:rPr>
        <w:t xml:space="preserve">, A.-N., </w:t>
      </w:r>
      <w:proofErr w:type="spellStart"/>
      <w:r w:rsidRPr="00824227">
        <w:rPr>
          <w:rFonts w:ascii="Times New Roman" w:hAnsi="Times New Roman" w:cs="Times New Roman"/>
          <w:kern w:val="0"/>
        </w:rPr>
        <w:t>Mpampoulis</w:t>
      </w:r>
      <w:proofErr w:type="spellEnd"/>
      <w:r w:rsidRPr="00824227">
        <w:rPr>
          <w:rFonts w:ascii="Times New Roman" w:hAnsi="Times New Roman" w:cs="Times New Roman"/>
          <w:kern w:val="0"/>
        </w:rPr>
        <w:t xml:space="preserve">, T., &amp; Terzis, G. (2024). Lean Body Mass, Muscle Architecture and Powerlifting Performance during Preseason and in Competition. </w:t>
      </w:r>
      <w:r w:rsidRPr="00824227">
        <w:rPr>
          <w:rFonts w:ascii="Times New Roman" w:hAnsi="Times New Roman" w:cs="Times New Roman"/>
          <w:i/>
          <w:iCs/>
          <w:kern w:val="0"/>
        </w:rPr>
        <w:t>Journal of Functional Morphology and Kinesiology</w:t>
      </w:r>
      <w:r w:rsidRPr="00824227">
        <w:rPr>
          <w:rFonts w:ascii="Times New Roman" w:hAnsi="Times New Roman" w:cs="Times New Roman"/>
          <w:kern w:val="0"/>
        </w:rPr>
        <w:t xml:space="preserve">, </w:t>
      </w:r>
      <w:r w:rsidRPr="00824227">
        <w:rPr>
          <w:rFonts w:ascii="Times New Roman" w:hAnsi="Times New Roman" w:cs="Times New Roman"/>
          <w:i/>
          <w:iCs/>
          <w:kern w:val="0"/>
        </w:rPr>
        <w:t>9</w:t>
      </w:r>
      <w:r w:rsidRPr="00824227">
        <w:rPr>
          <w:rFonts w:ascii="Times New Roman" w:hAnsi="Times New Roman" w:cs="Times New Roman"/>
          <w:kern w:val="0"/>
        </w:rPr>
        <w:t>(2), 89. https://doi.org/10.3390/jfmk9020089</w:t>
      </w:r>
    </w:p>
    <w:p w14:paraId="18830AF7"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824227">
        <w:rPr>
          <w:rFonts w:ascii="Times New Roman" w:hAnsi="Times New Roman" w:cs="Times New Roman"/>
          <w:i/>
          <w:iCs/>
          <w:kern w:val="0"/>
        </w:rPr>
        <w:t>European Journal of Applied Physiology</w:t>
      </w:r>
      <w:r w:rsidRPr="00824227">
        <w:rPr>
          <w:rFonts w:ascii="Times New Roman" w:hAnsi="Times New Roman" w:cs="Times New Roman"/>
          <w:kern w:val="0"/>
        </w:rPr>
        <w:t xml:space="preserve">, </w:t>
      </w:r>
      <w:r w:rsidRPr="00824227">
        <w:rPr>
          <w:rFonts w:ascii="Times New Roman" w:hAnsi="Times New Roman" w:cs="Times New Roman"/>
          <w:i/>
          <w:iCs/>
          <w:kern w:val="0"/>
        </w:rPr>
        <w:t>124</w:t>
      </w:r>
      <w:r w:rsidRPr="00824227">
        <w:rPr>
          <w:rFonts w:ascii="Times New Roman" w:hAnsi="Times New Roman" w:cs="Times New Roman"/>
          <w:kern w:val="0"/>
        </w:rPr>
        <w:t>(6), 1885–1893. https://doi.org/10.1007/s00421-023-05413-y</w:t>
      </w:r>
    </w:p>
    <w:p w14:paraId="210D680C" w14:textId="518A4CCE"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8EDA9" w14:textId="77777777" w:rsidR="00C53C22" w:rsidRDefault="00C53C22" w:rsidP="00120E22">
      <w:pPr>
        <w:spacing w:line="240" w:lineRule="auto"/>
      </w:pPr>
      <w:r>
        <w:separator/>
      </w:r>
    </w:p>
  </w:endnote>
  <w:endnote w:type="continuationSeparator" w:id="0">
    <w:p w14:paraId="49CFBBEB" w14:textId="77777777" w:rsidR="00C53C22" w:rsidRDefault="00C53C22"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07C5E" w14:textId="77777777" w:rsidR="00C53C22" w:rsidRDefault="00C53C22" w:rsidP="00120E22">
      <w:pPr>
        <w:spacing w:line="240" w:lineRule="auto"/>
      </w:pPr>
      <w:r>
        <w:separator/>
      </w:r>
    </w:p>
  </w:footnote>
  <w:footnote w:type="continuationSeparator" w:id="0">
    <w:p w14:paraId="21665323" w14:textId="77777777" w:rsidR="00C53C22" w:rsidRDefault="00C53C22"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17DF"/>
    <w:rsid w:val="00076CA5"/>
    <w:rsid w:val="00082B14"/>
    <w:rsid w:val="00094A40"/>
    <w:rsid w:val="000A0D1E"/>
    <w:rsid w:val="000A187F"/>
    <w:rsid w:val="000A2695"/>
    <w:rsid w:val="000A561F"/>
    <w:rsid w:val="000A5672"/>
    <w:rsid w:val="000A799D"/>
    <w:rsid w:val="000B0514"/>
    <w:rsid w:val="000C566C"/>
    <w:rsid w:val="000C5C51"/>
    <w:rsid w:val="000E491E"/>
    <w:rsid w:val="0010285B"/>
    <w:rsid w:val="0010399F"/>
    <w:rsid w:val="00110A22"/>
    <w:rsid w:val="00120E22"/>
    <w:rsid w:val="00121261"/>
    <w:rsid w:val="00124E7F"/>
    <w:rsid w:val="00126AFE"/>
    <w:rsid w:val="00134E57"/>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19D"/>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328D"/>
    <w:rsid w:val="00275EAF"/>
    <w:rsid w:val="00280DE6"/>
    <w:rsid w:val="0028368C"/>
    <w:rsid w:val="00286403"/>
    <w:rsid w:val="002A03FF"/>
    <w:rsid w:val="002A69A4"/>
    <w:rsid w:val="002B3CB3"/>
    <w:rsid w:val="002B64FF"/>
    <w:rsid w:val="002D384C"/>
    <w:rsid w:val="002E03C4"/>
    <w:rsid w:val="002E221B"/>
    <w:rsid w:val="002F0AA7"/>
    <w:rsid w:val="002F53BE"/>
    <w:rsid w:val="002F642B"/>
    <w:rsid w:val="00304BC4"/>
    <w:rsid w:val="0031403A"/>
    <w:rsid w:val="003166AF"/>
    <w:rsid w:val="00321D72"/>
    <w:rsid w:val="00334360"/>
    <w:rsid w:val="0034566D"/>
    <w:rsid w:val="00347C51"/>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22279"/>
    <w:rsid w:val="00437E4A"/>
    <w:rsid w:val="00441BF2"/>
    <w:rsid w:val="00450EAA"/>
    <w:rsid w:val="00455571"/>
    <w:rsid w:val="00455FCB"/>
    <w:rsid w:val="004858D7"/>
    <w:rsid w:val="00495120"/>
    <w:rsid w:val="004A13A9"/>
    <w:rsid w:val="004A483A"/>
    <w:rsid w:val="004C72C4"/>
    <w:rsid w:val="004C7A31"/>
    <w:rsid w:val="004D5D73"/>
    <w:rsid w:val="004E0921"/>
    <w:rsid w:val="004F74CA"/>
    <w:rsid w:val="00503103"/>
    <w:rsid w:val="005150FA"/>
    <w:rsid w:val="00520227"/>
    <w:rsid w:val="00535C7C"/>
    <w:rsid w:val="00546545"/>
    <w:rsid w:val="00557025"/>
    <w:rsid w:val="005659FF"/>
    <w:rsid w:val="00572952"/>
    <w:rsid w:val="00593170"/>
    <w:rsid w:val="005B1F7D"/>
    <w:rsid w:val="005C4B65"/>
    <w:rsid w:val="005C71BE"/>
    <w:rsid w:val="005E40B3"/>
    <w:rsid w:val="00607CCB"/>
    <w:rsid w:val="00611AD3"/>
    <w:rsid w:val="00614333"/>
    <w:rsid w:val="0061551C"/>
    <w:rsid w:val="00615DCA"/>
    <w:rsid w:val="00622ADF"/>
    <w:rsid w:val="00634FE8"/>
    <w:rsid w:val="00641A58"/>
    <w:rsid w:val="006447BA"/>
    <w:rsid w:val="00653E9D"/>
    <w:rsid w:val="00661A26"/>
    <w:rsid w:val="00665D49"/>
    <w:rsid w:val="00670644"/>
    <w:rsid w:val="00673B94"/>
    <w:rsid w:val="00686D75"/>
    <w:rsid w:val="006956F0"/>
    <w:rsid w:val="006A4714"/>
    <w:rsid w:val="006A7FEF"/>
    <w:rsid w:val="006B16E3"/>
    <w:rsid w:val="006B1EAA"/>
    <w:rsid w:val="006B6173"/>
    <w:rsid w:val="006B69DE"/>
    <w:rsid w:val="006D555E"/>
    <w:rsid w:val="006D7763"/>
    <w:rsid w:val="006F1AA5"/>
    <w:rsid w:val="00702154"/>
    <w:rsid w:val="00712770"/>
    <w:rsid w:val="0072516D"/>
    <w:rsid w:val="0072731E"/>
    <w:rsid w:val="007524D5"/>
    <w:rsid w:val="00754BE6"/>
    <w:rsid w:val="0075645E"/>
    <w:rsid w:val="0076492E"/>
    <w:rsid w:val="00766761"/>
    <w:rsid w:val="00770330"/>
    <w:rsid w:val="00784D1C"/>
    <w:rsid w:val="00784ED4"/>
    <w:rsid w:val="00785272"/>
    <w:rsid w:val="00786009"/>
    <w:rsid w:val="00792F32"/>
    <w:rsid w:val="007A438E"/>
    <w:rsid w:val="007D4DA3"/>
    <w:rsid w:val="007E054A"/>
    <w:rsid w:val="0080426A"/>
    <w:rsid w:val="0081007C"/>
    <w:rsid w:val="0081176E"/>
    <w:rsid w:val="00821503"/>
    <w:rsid w:val="00824227"/>
    <w:rsid w:val="008667CF"/>
    <w:rsid w:val="00877C8C"/>
    <w:rsid w:val="008800CE"/>
    <w:rsid w:val="00881717"/>
    <w:rsid w:val="008843DB"/>
    <w:rsid w:val="008853EF"/>
    <w:rsid w:val="008A368E"/>
    <w:rsid w:val="008A5AB2"/>
    <w:rsid w:val="008A7C63"/>
    <w:rsid w:val="008B67CD"/>
    <w:rsid w:val="008C0ABE"/>
    <w:rsid w:val="008E0D5D"/>
    <w:rsid w:val="008E699B"/>
    <w:rsid w:val="008F242B"/>
    <w:rsid w:val="00903DB3"/>
    <w:rsid w:val="009324C6"/>
    <w:rsid w:val="00934708"/>
    <w:rsid w:val="00941289"/>
    <w:rsid w:val="0094225C"/>
    <w:rsid w:val="00944A73"/>
    <w:rsid w:val="00950711"/>
    <w:rsid w:val="00967625"/>
    <w:rsid w:val="00987878"/>
    <w:rsid w:val="009A5C28"/>
    <w:rsid w:val="009B1701"/>
    <w:rsid w:val="009B6463"/>
    <w:rsid w:val="009D2711"/>
    <w:rsid w:val="009E231A"/>
    <w:rsid w:val="009E7367"/>
    <w:rsid w:val="009F2C7D"/>
    <w:rsid w:val="009F2F56"/>
    <w:rsid w:val="00A10E34"/>
    <w:rsid w:val="00A12169"/>
    <w:rsid w:val="00A14DB6"/>
    <w:rsid w:val="00A22A9C"/>
    <w:rsid w:val="00A43BAB"/>
    <w:rsid w:val="00A62AE1"/>
    <w:rsid w:val="00A64EE2"/>
    <w:rsid w:val="00A729A0"/>
    <w:rsid w:val="00A753DE"/>
    <w:rsid w:val="00A82513"/>
    <w:rsid w:val="00A93088"/>
    <w:rsid w:val="00AA3DBA"/>
    <w:rsid w:val="00AA7D09"/>
    <w:rsid w:val="00AB51E0"/>
    <w:rsid w:val="00AD0524"/>
    <w:rsid w:val="00AD1E7F"/>
    <w:rsid w:val="00AE180B"/>
    <w:rsid w:val="00AE33E0"/>
    <w:rsid w:val="00B36DCC"/>
    <w:rsid w:val="00B51F49"/>
    <w:rsid w:val="00B60DAE"/>
    <w:rsid w:val="00B6384B"/>
    <w:rsid w:val="00B90639"/>
    <w:rsid w:val="00B95805"/>
    <w:rsid w:val="00BA1D8F"/>
    <w:rsid w:val="00BB0E48"/>
    <w:rsid w:val="00BC2778"/>
    <w:rsid w:val="00BE3E07"/>
    <w:rsid w:val="00BE5626"/>
    <w:rsid w:val="00C044E3"/>
    <w:rsid w:val="00C161DC"/>
    <w:rsid w:val="00C36009"/>
    <w:rsid w:val="00C50301"/>
    <w:rsid w:val="00C5225A"/>
    <w:rsid w:val="00C53C22"/>
    <w:rsid w:val="00C566A9"/>
    <w:rsid w:val="00C56CCC"/>
    <w:rsid w:val="00C6007C"/>
    <w:rsid w:val="00C76873"/>
    <w:rsid w:val="00C77413"/>
    <w:rsid w:val="00C87F89"/>
    <w:rsid w:val="00C976A9"/>
    <w:rsid w:val="00CA0D4C"/>
    <w:rsid w:val="00CA3165"/>
    <w:rsid w:val="00CA3E41"/>
    <w:rsid w:val="00CB1587"/>
    <w:rsid w:val="00CB4D6C"/>
    <w:rsid w:val="00CC2352"/>
    <w:rsid w:val="00CC65CE"/>
    <w:rsid w:val="00CD4839"/>
    <w:rsid w:val="00CE626E"/>
    <w:rsid w:val="00D11B98"/>
    <w:rsid w:val="00D26992"/>
    <w:rsid w:val="00D31004"/>
    <w:rsid w:val="00D446E8"/>
    <w:rsid w:val="00D51795"/>
    <w:rsid w:val="00D61F7E"/>
    <w:rsid w:val="00D650FE"/>
    <w:rsid w:val="00D80244"/>
    <w:rsid w:val="00D85D0D"/>
    <w:rsid w:val="00D91392"/>
    <w:rsid w:val="00D96076"/>
    <w:rsid w:val="00D97951"/>
    <w:rsid w:val="00DA2EDE"/>
    <w:rsid w:val="00DA419B"/>
    <w:rsid w:val="00DB5036"/>
    <w:rsid w:val="00DD1441"/>
    <w:rsid w:val="00DD1496"/>
    <w:rsid w:val="00DD726D"/>
    <w:rsid w:val="00DE44DA"/>
    <w:rsid w:val="00DE529F"/>
    <w:rsid w:val="00DE6625"/>
    <w:rsid w:val="00DE70C3"/>
    <w:rsid w:val="00DF13F9"/>
    <w:rsid w:val="00E04287"/>
    <w:rsid w:val="00E07665"/>
    <w:rsid w:val="00E31786"/>
    <w:rsid w:val="00E54FF6"/>
    <w:rsid w:val="00EE795B"/>
    <w:rsid w:val="00EF50CD"/>
    <w:rsid w:val="00F33B9C"/>
    <w:rsid w:val="00F47307"/>
    <w:rsid w:val="00F55ADC"/>
    <w:rsid w:val="00F63FDD"/>
    <w:rsid w:val="00F70AEC"/>
    <w:rsid w:val="00F75066"/>
    <w:rsid w:val="00F95DA1"/>
    <w:rsid w:val="00F97689"/>
    <w:rsid w:val="00FA0F5E"/>
    <w:rsid w:val="00FA5289"/>
    <w:rsid w:val="00FB634A"/>
    <w:rsid w:val="00FB6E65"/>
    <w:rsid w:val="00FC23A7"/>
    <w:rsid w:val="00FC6741"/>
    <w:rsid w:val="00FD1F8F"/>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36574</TotalTime>
  <Pages>21</Pages>
  <Words>22793</Words>
  <Characters>129922</Characters>
  <Application>Microsoft Office Word</Application>
  <DocSecurity>0</DocSecurity>
  <Lines>1082</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85</cp:revision>
  <dcterms:created xsi:type="dcterms:W3CDTF">2025-11-28T10:52:00Z</dcterms:created>
  <dcterms:modified xsi:type="dcterms:W3CDTF">2026-01-03T10:14:00Z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