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r w:rsidRPr="00405732">
        <w:rPr>
          <w:i/>
          <w:iCs/>
        </w:rPr>
        <w:t>severe acute respiratory syndrome coronavirus</w:t>
      </w:r>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r w:rsidR="00EA139D" w:rsidRPr="008E5729">
        <w:rPr>
          <w:i/>
          <w:iCs/>
        </w:rPr>
        <w:t>tags</w:t>
      </w:r>
      <w:r w:rsidR="0063172F">
        <w:t>.</w:t>
      </w:r>
      <w:r w:rsidR="00EA139D">
        <w:t xml:space="preserve"> </w:t>
      </w:r>
      <w:r w:rsidR="0063172F">
        <w:t>As</w:t>
      </w:r>
      <w:r>
        <w:t xml:space="preserve">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r>
        <w:rPr>
          <w:i/>
          <w:iCs/>
        </w:rPr>
        <w:t>Doctype</w:t>
      </w:r>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r w:rsidRPr="00147992">
        <w:rPr>
          <w:i/>
          <w:iCs/>
        </w:rPr>
        <w:t>Doctype</w:t>
      </w:r>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atribudo </w:t>
      </w:r>
      <w:r>
        <w:rPr>
          <w:i/>
          <w:iCs/>
        </w:rPr>
        <w:t>border=1</w:t>
      </w:r>
      <w:r w:rsidR="00E35955">
        <w:t xml:space="preserve"> utilizado na </w:t>
      </w:r>
      <w:r w:rsidR="00E35955">
        <w:rPr>
          <w:i/>
          <w:iCs/>
        </w:rPr>
        <w:t>tag</w:t>
      </w:r>
      <w:r w:rsidR="00E35955">
        <w:t xml:space="preserve"> &lt;</w:t>
      </w:r>
      <w:r w:rsidR="00E35955">
        <w:rPr>
          <w:i/>
          <w:iCs/>
        </w:rPr>
        <w:t>table</w:t>
      </w:r>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r>
        <w:rPr>
          <w:i/>
          <w:iCs/>
        </w:rPr>
        <w:t>Th</w:t>
      </w:r>
      <w:r>
        <w:t>: define o cabeçalho de uma coluna da tabela.</w:t>
      </w:r>
    </w:p>
    <w:p w14:paraId="7E33B1D1" w14:textId="64F92FFE" w:rsidR="00E35955" w:rsidRDefault="00E35955" w:rsidP="00E35955">
      <w:pPr>
        <w:pStyle w:val="PargrafodaLista"/>
        <w:numPr>
          <w:ilvl w:val="0"/>
          <w:numId w:val="14"/>
        </w:numPr>
      </w:pPr>
      <w:r>
        <w:rPr>
          <w:i/>
          <w:iCs/>
        </w:rPr>
        <w:t>Tr</w:t>
      </w:r>
      <w:r>
        <w:t>: encarregado de definir cada linha da tabela.</w:t>
      </w:r>
    </w:p>
    <w:p w14:paraId="76249837" w14:textId="2836172F" w:rsidR="008E6045" w:rsidRPr="008E6045" w:rsidRDefault="00E35955" w:rsidP="008E6045">
      <w:pPr>
        <w:pStyle w:val="PargrafodaLista"/>
        <w:numPr>
          <w:ilvl w:val="0"/>
          <w:numId w:val="14"/>
        </w:numPr>
      </w:pPr>
      <w:r>
        <w:rPr>
          <w:i/>
          <w:iCs/>
        </w:rPr>
        <w:t>Td</w:t>
      </w:r>
      <w:r>
        <w:t xml:space="preserve">: define as células que compõem as linhas. Podem conter qualquer outra </w:t>
      </w:r>
      <w:r>
        <w:rPr>
          <w:i/>
          <w:iCs/>
        </w:rPr>
        <w:t>tag</w:t>
      </w:r>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r w:rsidR="008E6045" w:rsidRPr="00296788">
        <w:rPr>
          <w:i/>
        </w:rPr>
        <w:t>Cascading Styl</w:t>
      </w:r>
      <w:r w:rsidR="00F94B9D" w:rsidRPr="00296788">
        <w:rPr>
          <w:i/>
        </w:rPr>
        <w:t>e</w:t>
      </w:r>
      <w:r w:rsidR="008E6045" w:rsidRPr="00296788">
        <w:rPr>
          <w:i/>
        </w:rPr>
        <w:t xml:space="preserve"> Sheets</w:t>
      </w:r>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r w:rsidR="00296788" w:rsidRPr="00296788">
        <w:rPr>
          <w:i/>
        </w:rPr>
        <w:t>tags</w:t>
      </w:r>
      <w:r w:rsidR="00296788">
        <w:t xml:space="preserve"> e mais </w:t>
      </w:r>
      <w:r w:rsidR="00296788" w:rsidRPr="00296788">
        <w:rPr>
          <w:i/>
        </w:rPr>
        <w:t>tags</w:t>
      </w:r>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r w:rsidRPr="00AB2FCF">
        <w:rPr>
          <w:rStyle w:val="paraphrase"/>
          <w:i/>
          <w:iCs/>
          <w:sz w:val="24"/>
          <w:szCs w:val="24"/>
        </w:rPr>
        <w:t>bootstrap</w:t>
      </w:r>
      <w:r w:rsidRPr="00387FA3">
        <w:rPr>
          <w:rStyle w:val="paraphrase"/>
          <w:sz w:val="24"/>
          <w:szCs w:val="24"/>
        </w:rPr>
        <w:t xml:space="preserve">, </w:t>
      </w:r>
      <w:hyperlink r:id="rId15" w:anchor="2-_Bulma" w:tooltip="2- Bulma" w:history="1">
        <w:r w:rsidRPr="00387FA3">
          <w:rPr>
            <w:rFonts w:cs="Arial"/>
            <w:color w:val="000000"/>
            <w:sz w:val="24"/>
            <w:szCs w:val="24"/>
          </w:rPr>
          <w:t>b</w:t>
        </w:r>
        <w:r w:rsidRPr="00387FA3">
          <w:rPr>
            <w:rStyle w:val="Hyperlink"/>
            <w:rFonts w:cs="Arial"/>
            <w:color w:val="444444"/>
            <w:sz w:val="24"/>
            <w:szCs w:val="24"/>
          </w:rPr>
          <w:t>ulma</w:t>
        </w:r>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foundation</w:t>
        </w:r>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Semantic</w:t>
        </w:r>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r w:rsidRPr="008E5729">
        <w:rPr>
          <w:rStyle w:val="paraphrase"/>
          <w:i/>
          <w:iCs/>
        </w:rPr>
        <w:t>style</w:t>
      </w:r>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r w:rsidR="00CC5404" w:rsidRPr="008E5729">
        <w:rPr>
          <w:rStyle w:val="paraphrase"/>
          <w:i/>
          <w:iCs/>
        </w:rPr>
        <w:t>tag</w:t>
      </w:r>
      <w:r w:rsidR="00CC5404">
        <w:rPr>
          <w:rStyle w:val="paraphrase"/>
        </w:rPr>
        <w:t xml:space="preserve"> utilizada no HTML, como a </w:t>
      </w:r>
      <w:r w:rsidR="00CC5404" w:rsidRPr="008E5729">
        <w:rPr>
          <w:rStyle w:val="paraphrase"/>
          <w:i/>
          <w:iCs/>
        </w:rPr>
        <w:t>tag</w:t>
      </w:r>
      <w:r w:rsidR="00CC5404">
        <w:rPr>
          <w:rStyle w:val="paraphrase"/>
        </w:rPr>
        <w:t xml:space="preserve"> &lt;</w:t>
      </w:r>
      <w:r w:rsidR="00CC5404" w:rsidRPr="00D15620">
        <w:rPr>
          <w:rStyle w:val="paraphrase"/>
          <w:i/>
          <w:iCs/>
        </w:rPr>
        <w:t>div</w:t>
      </w:r>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r>
        <w:rPr>
          <w:rStyle w:val="paraphrase"/>
          <w:i/>
          <w:iCs/>
        </w:rPr>
        <w:t>Height</w:t>
      </w:r>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r>
        <w:rPr>
          <w:rStyle w:val="paraphrase"/>
          <w:i/>
          <w:iCs/>
        </w:rPr>
        <w:t>Margin</w:t>
      </w:r>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r w:rsidR="003A6280">
        <w:rPr>
          <w:rStyle w:val="paraphrase"/>
          <w:i/>
          <w:iCs/>
        </w:rPr>
        <w:t>margin-top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r>
        <w:rPr>
          <w:rStyle w:val="paraphrase"/>
          <w:i/>
          <w:iCs/>
        </w:rPr>
        <w:t>Width</w:t>
      </w:r>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r>
        <w:rPr>
          <w:rStyle w:val="paraphrase"/>
          <w:i/>
          <w:iCs/>
        </w:rPr>
        <w:t>Font</w:t>
      </w:r>
      <w:r w:rsidR="003A6280">
        <w:rPr>
          <w:rStyle w:val="paraphrase"/>
        </w:rPr>
        <w:t>:</w:t>
      </w:r>
      <w:r>
        <w:rPr>
          <w:rStyle w:val="paraphrase"/>
        </w:rPr>
        <w:t xml:space="preserve"> </w:t>
      </w:r>
      <w:r w:rsidRPr="002E18FC">
        <w:rPr>
          <w:rStyle w:val="paraphrase"/>
          <w:i/>
          <w:iCs/>
        </w:rPr>
        <w:t>tag</w:t>
      </w:r>
      <w:r>
        <w:rPr>
          <w:rStyle w:val="paraphrase"/>
        </w:rPr>
        <w:t xml:space="preserve"> geral para informações acerca de fontes em um elemento. Possui diversos valores, como, por exemplo, </w:t>
      </w:r>
      <w:r>
        <w:rPr>
          <w:rStyle w:val="paraphrase"/>
          <w:i/>
          <w:iCs/>
        </w:rPr>
        <w:t>font-size</w:t>
      </w:r>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007E00F3">
        <w:rPr>
          <w:i/>
          <w:szCs w:val="24"/>
        </w:rPr>
        <w:t xml:space="preserve"> </w:t>
      </w:r>
      <w:r w:rsidR="007E00F3">
        <w:rPr>
          <w:iCs/>
          <w:szCs w:val="24"/>
        </w:rPr>
        <w:t>front-end</w:t>
      </w:r>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Bootstrap era motivar as equipes de desenvolvimento a utilizar uma única estrutura de código</w:t>
      </w:r>
      <w:r w:rsidR="007D2707">
        <w:rPr>
          <w:szCs w:val="24"/>
        </w:rPr>
        <w:t xml:space="preserve">, nomenclatura de </w:t>
      </w:r>
      <w:r w:rsidR="00343CB8">
        <w:rPr>
          <w:szCs w:val="24"/>
        </w:rPr>
        <w:t>classes e etc,</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Bootstrap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r w:rsidRPr="00343CB8">
        <w:rPr>
          <w:i/>
          <w:iCs/>
          <w:szCs w:val="24"/>
        </w:rPr>
        <w:t>sliders</w:t>
      </w:r>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r w:rsidR="00343CB8" w:rsidRPr="00343CB8">
        <w:rPr>
          <w:i/>
          <w:iCs/>
        </w:rPr>
        <w:t>bootstrap</w:t>
      </w:r>
      <w:r w:rsidR="00343CB8" w:rsidRPr="00343CB8">
        <w:t xml:space="preserve"> não é apenas um framework com design responsivo eficaz, mas oferece todos os tipos de opções de funcionalidade e estilo (Techio; Chicon, 2016).</w:t>
      </w:r>
    </w:p>
    <w:p w14:paraId="41473BAB" w14:textId="556DFCE3" w:rsidR="008165E6" w:rsidRDefault="008165E6" w:rsidP="00343CB8">
      <w:r>
        <w:t>Para conseguir</w:t>
      </w:r>
    </w:p>
    <w:p w14:paraId="4C54A232" w14:textId="6CCAF26E" w:rsidR="00343CB8" w:rsidRDefault="00343CB8" w:rsidP="00343CB8">
      <w:r w:rsidRPr="00343CB8">
        <w:t>Para exemplificar a funcionalidade do Bootstrap,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Bootstrap, Código HTML</w:t>
      </w:r>
    </w:p>
    <w:p w14:paraId="7A10EC27" w14:textId="5088A742" w:rsidR="00B11812" w:rsidRPr="00343CB8" w:rsidRDefault="00B11812" w:rsidP="00343CB8">
      <w:r w:rsidRPr="00B11812">
        <w:rPr>
          <w:noProof/>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com Bootstrap, Página Web</w:t>
      </w:r>
    </w:p>
    <w:p w14:paraId="74904CE4" w14:textId="73033420" w:rsidR="00B11812" w:rsidRPr="00343CB8" w:rsidRDefault="00B11812" w:rsidP="00B11812">
      <w:pPr>
        <w:pStyle w:val="Legendafiguras"/>
      </w:pPr>
      <w:r w:rsidRPr="00B11812">
        <w:rPr>
          <w:noProof/>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Através das classes e elementos predefinidos pelo Bootstrap,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Flanagan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front-end</w:t>
      </w:r>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multiparadigma,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r w:rsidRPr="00F62119">
        <w:rPr>
          <w:i/>
          <w:iCs/>
        </w:rPr>
        <w:t>typescript</w:t>
      </w:r>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r w:rsidRPr="00B71196">
        <w:rPr>
          <w:i/>
          <w:iCs/>
        </w:rPr>
        <w:t>tags</w:t>
      </w:r>
      <w:r w:rsidRPr="00612339">
        <w:t xml:space="preserve">. Nesse sentido, as </w:t>
      </w:r>
      <w:r w:rsidRPr="00B71196">
        <w:rPr>
          <w:i/>
          <w:iCs/>
        </w:rPr>
        <w:t>tags</w:t>
      </w:r>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r w:rsidRPr="00B71196">
        <w:rPr>
          <w:i/>
          <w:iCs/>
        </w:rPr>
        <w:t>JavaScript</w:t>
      </w:r>
      <w:r w:rsidRPr="00612339">
        <w:t xml:space="preserve">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estruturadas </w:t>
      </w:r>
      <w:r w:rsidR="007B5DED">
        <w:t xml:space="preserve">como </w:t>
      </w:r>
      <w:r w:rsidR="0030779E">
        <w:t>Cobol,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t>•</w:t>
      </w:r>
      <w:r w:rsidRPr="00BA2717">
        <w:tab/>
        <w:t>.gitattributes: arquivo que possui orientações para o servidor de versionamento.</w:t>
      </w:r>
    </w:p>
    <w:p w14:paraId="153ECDC2" w14:textId="77777777" w:rsidR="00BA2717" w:rsidRPr="00BA2717" w:rsidRDefault="00BA2717" w:rsidP="00BA2717">
      <w:r w:rsidRPr="00BA2717">
        <w:lastRenderedPageBreak/>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 xml:space="preserve">routes, </w:t>
      </w:r>
      <w:r w:rsidR="00440DCF" w:rsidRPr="002A7475">
        <w:rPr>
          <w:i/>
          <w:iCs/>
          <w:szCs w:val="24"/>
        </w:rPr>
        <w:lastRenderedPageBreak/>
        <w:t>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$table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r w:rsidRPr="00197410">
        <w:rPr>
          <w:b/>
          <w:bCs/>
          <w:color w:val="000000" w:themeColor="text1"/>
          <w:sz w:val="20"/>
          <w:szCs w:val="20"/>
        </w:rPr>
        <w:t>Model</w:t>
      </w:r>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r>
        <w:rPr>
          <w:i/>
          <w:iCs/>
        </w:rPr>
        <w:t>Controller</w:t>
      </w:r>
      <w:r>
        <w:t xml:space="preserve">, os campos do formulário da figura 19 são atribuídos à variáveis, após isso, </w:t>
      </w:r>
      <w:r w:rsidR="003B555E">
        <w:t>o trecho de código “</w:t>
      </w:r>
      <w:r w:rsidR="003B555E" w:rsidRPr="00B26C2F">
        <w:t>endereço::insert</w:t>
      </w:r>
      <w:r w:rsidR="003B555E">
        <w:rPr>
          <w:i/>
          <w:iCs/>
        </w:rPr>
        <w:t>”</w:t>
      </w:r>
      <w:r w:rsidR="003B555E">
        <w:t xml:space="preserve"> é responsável por enviar dados que o usuário inseriu para </w:t>
      </w:r>
      <w:r w:rsidR="00B26C2F">
        <w:t>a tabela “endereco”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r w:rsidRPr="001A3B98">
        <w:rPr>
          <w:i/>
          <w:iCs/>
        </w:rPr>
        <w:t>Controller</w:t>
      </w:r>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r>
        <w:rPr>
          <w:i/>
          <w:iCs/>
        </w:rPr>
        <w:t>Controller</w:t>
      </w:r>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@foreach própria do Laravel,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r w:rsidR="002626E4">
        <w:rPr>
          <w:rStyle w:val="added"/>
        </w:rPr>
        <w:t>varchar,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 xml:space="preserve">ao contrário do </w:t>
      </w:r>
      <w:r>
        <w:lastRenderedPageBreak/>
        <w:t>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r w:rsidRPr="0063172F">
        <w:rPr>
          <w:sz w:val="20"/>
          <w:szCs w:val="20"/>
        </w:rPr>
        <w:t>Packt Publishing,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63172F">
        <w:rPr>
          <w:sz w:val="20"/>
          <w:szCs w:val="20"/>
          <w:lang w:val="en-US"/>
        </w:rPr>
        <w:t>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5115" w14:textId="77777777" w:rsidR="00DD43E5" w:rsidRDefault="00DD43E5" w:rsidP="00E53B53">
      <w:pPr>
        <w:spacing w:line="240" w:lineRule="auto"/>
      </w:pPr>
      <w:r>
        <w:separator/>
      </w:r>
    </w:p>
  </w:endnote>
  <w:endnote w:type="continuationSeparator" w:id="0">
    <w:p w14:paraId="4BC867B2" w14:textId="77777777" w:rsidR="00DD43E5" w:rsidRDefault="00DD43E5"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BFC9" w14:textId="77777777" w:rsidR="00DD43E5" w:rsidRDefault="00DD43E5" w:rsidP="00E53B53">
      <w:pPr>
        <w:spacing w:line="240" w:lineRule="auto"/>
      </w:pPr>
      <w:r>
        <w:separator/>
      </w:r>
    </w:p>
  </w:footnote>
  <w:footnote w:type="continuationSeparator" w:id="0">
    <w:p w14:paraId="7CB086EE" w14:textId="77777777" w:rsidR="00DD43E5" w:rsidRDefault="00DD43E5"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6"/>
  </w:num>
  <w:num w:numId="2" w16cid:durableId="840050880">
    <w:abstractNumId w:val="9"/>
  </w:num>
  <w:num w:numId="3" w16cid:durableId="1554777763">
    <w:abstractNumId w:val="7"/>
  </w:num>
  <w:num w:numId="4" w16cid:durableId="1470898269">
    <w:abstractNumId w:val="15"/>
  </w:num>
  <w:num w:numId="5" w16cid:durableId="358119439">
    <w:abstractNumId w:val="8"/>
  </w:num>
  <w:num w:numId="6" w16cid:durableId="492336342">
    <w:abstractNumId w:val="2"/>
  </w:num>
  <w:num w:numId="7" w16cid:durableId="1131678493">
    <w:abstractNumId w:val="10"/>
  </w:num>
  <w:num w:numId="8" w16cid:durableId="1755394225">
    <w:abstractNumId w:val="1"/>
  </w:num>
  <w:num w:numId="9" w16cid:durableId="1094058166">
    <w:abstractNumId w:val="5"/>
  </w:num>
  <w:num w:numId="10" w16cid:durableId="1397582122">
    <w:abstractNumId w:val="3"/>
  </w:num>
  <w:num w:numId="11" w16cid:durableId="690451128">
    <w:abstractNumId w:val="12"/>
  </w:num>
  <w:num w:numId="12" w16cid:durableId="364330944">
    <w:abstractNumId w:val="4"/>
  </w:num>
  <w:num w:numId="13" w16cid:durableId="241377808">
    <w:abstractNumId w:val="11"/>
  </w:num>
  <w:num w:numId="14" w16cid:durableId="1888492930">
    <w:abstractNumId w:val="14"/>
  </w:num>
  <w:num w:numId="15" w16cid:durableId="1110666793">
    <w:abstractNumId w:val="0"/>
  </w:num>
  <w:num w:numId="16" w16cid:durableId="148251937">
    <w:abstractNumId w:val="13"/>
  </w:num>
  <w:num w:numId="17" w16cid:durableId="81599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23FD5"/>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17DF"/>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Pages>
  <Words>6122</Words>
  <Characters>33062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29</cp:revision>
  <dcterms:created xsi:type="dcterms:W3CDTF">2022-10-11T04:19:00Z</dcterms:created>
  <dcterms:modified xsi:type="dcterms:W3CDTF">2022-10-16T04:46:00Z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