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1914BED0" w:rsidR="00471030" w:rsidRDefault="00471030" w:rsidP="00471030">
      <w:pPr>
        <w:pStyle w:val="TituloFiguras"/>
      </w:pPr>
      <w:r>
        <w:t xml:space="preserve">Figura </w:t>
      </w:r>
      <w:r>
        <w:fldChar w:fldCharType="begin"/>
      </w:r>
      <w:r>
        <w:instrText>SEQ Figura \* ARABIC</w:instrText>
      </w:r>
      <w:r>
        <w:fldChar w:fldCharType="separate"/>
      </w:r>
      <w:r w:rsidR="005D180A">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2582DEBC" w:rsidR="00471030" w:rsidRDefault="00471030" w:rsidP="00471030">
      <w:pPr>
        <w:pStyle w:val="TituloFiguras"/>
      </w:pPr>
      <w:r>
        <w:t xml:space="preserve">Figura </w:t>
      </w:r>
      <w:r>
        <w:fldChar w:fldCharType="begin"/>
      </w:r>
      <w:r>
        <w:instrText>SEQ Figura \* ARABIC</w:instrText>
      </w:r>
      <w:r>
        <w:fldChar w:fldCharType="separate"/>
      </w:r>
      <w:r w:rsidR="005D180A">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6FB92675" w:rsidR="00471030" w:rsidRDefault="00471030" w:rsidP="00A506EF">
      <w:pPr>
        <w:pStyle w:val="TituloFiguras"/>
      </w:pPr>
      <w:r>
        <w:t xml:space="preserve">Figura </w:t>
      </w:r>
      <w:r>
        <w:fldChar w:fldCharType="begin"/>
      </w:r>
      <w:r>
        <w:instrText>SEQ Figura \* ARABIC</w:instrText>
      </w:r>
      <w:r>
        <w:fldChar w:fldCharType="separate"/>
      </w:r>
      <w:r w:rsidR="005D180A">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362FDC58" w:rsidR="00471030" w:rsidRPr="001D03C8" w:rsidRDefault="00471030" w:rsidP="001D03C8">
      <w:pPr>
        <w:pStyle w:val="TituloFiguras"/>
      </w:pPr>
      <w:r>
        <w:t xml:space="preserve">Figura </w:t>
      </w:r>
      <w:r>
        <w:fldChar w:fldCharType="begin"/>
      </w:r>
      <w:r>
        <w:instrText>SEQ Figura \* ARABIC</w:instrText>
      </w:r>
      <w:r>
        <w:fldChar w:fldCharType="separate"/>
      </w:r>
      <w:r w:rsidR="005D180A">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45A6A5DC" w:rsidR="00471030" w:rsidRDefault="00471030" w:rsidP="00A506EF">
      <w:pPr>
        <w:pStyle w:val="TituloFiguras"/>
      </w:pPr>
      <w:r>
        <w:t xml:space="preserve">Figura </w:t>
      </w:r>
      <w:r>
        <w:fldChar w:fldCharType="begin"/>
      </w:r>
      <w:r>
        <w:instrText>SEQ Figura \* ARABIC</w:instrText>
      </w:r>
      <w:r>
        <w:fldChar w:fldCharType="separate"/>
      </w:r>
      <w:r w:rsidR="005D180A">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3E67B19D" w:rsidR="00471030" w:rsidRDefault="00471030" w:rsidP="00471030">
      <w:pPr>
        <w:pStyle w:val="TituloFiguras"/>
      </w:pPr>
      <w:r>
        <w:t xml:space="preserve">Figura </w:t>
      </w:r>
      <w:r>
        <w:fldChar w:fldCharType="begin"/>
      </w:r>
      <w:r>
        <w:instrText>SEQ Figura \* ARABIC</w:instrText>
      </w:r>
      <w:r>
        <w:fldChar w:fldCharType="separate"/>
      </w:r>
      <w:r w:rsidR="005D180A">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66030179" w:rsidR="00471030" w:rsidRDefault="00471030" w:rsidP="00A506EF">
      <w:pPr>
        <w:pStyle w:val="TituloFiguras"/>
      </w:pPr>
      <w:r>
        <w:t xml:space="preserve">Figura </w:t>
      </w:r>
      <w:r>
        <w:fldChar w:fldCharType="begin"/>
      </w:r>
      <w:r>
        <w:instrText>SEQ Figura \* ARABIC</w:instrText>
      </w:r>
      <w:r>
        <w:fldChar w:fldCharType="separate"/>
      </w:r>
      <w:r w:rsidR="005D180A">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093D829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5D180A">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11BBFAC4" w:rsidR="00471030" w:rsidRPr="00AC0DCC" w:rsidRDefault="00471030" w:rsidP="00AC0DCC">
      <w:pPr>
        <w:pStyle w:val="TituloFiguras"/>
      </w:pPr>
      <w:r>
        <w:t xml:space="preserve">Figura </w:t>
      </w:r>
      <w:r>
        <w:fldChar w:fldCharType="begin"/>
      </w:r>
      <w:r>
        <w:instrText>SEQ Figura \* ARABIC</w:instrText>
      </w:r>
      <w:r>
        <w:fldChar w:fldCharType="separate"/>
      </w:r>
      <w:r w:rsidR="005D180A">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43951C1B" w:rsidR="00471030" w:rsidRDefault="00471030" w:rsidP="00471030">
      <w:pPr>
        <w:pStyle w:val="TituloFiguras"/>
      </w:pPr>
      <w:r>
        <w:t xml:space="preserve">Figura </w:t>
      </w:r>
      <w:r>
        <w:fldChar w:fldCharType="begin"/>
      </w:r>
      <w:r>
        <w:instrText>SEQ Figura \* ARABIC</w:instrText>
      </w:r>
      <w:r>
        <w:fldChar w:fldCharType="separate"/>
      </w:r>
      <w:r w:rsidR="005D180A">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45C4DB7F" w:rsidR="00111467" w:rsidRDefault="00111467" w:rsidP="00111467">
      <w:pPr>
        <w:pStyle w:val="TituloFiguras"/>
      </w:pPr>
      <w:r>
        <w:t xml:space="preserve">Figura </w:t>
      </w:r>
      <w:r w:rsidR="00000000">
        <w:fldChar w:fldCharType="begin"/>
      </w:r>
      <w:r w:rsidR="00000000">
        <w:instrText xml:space="preserve"> SEQ Figura \* ARABIC </w:instrText>
      </w:r>
      <w:r w:rsidR="00000000">
        <w:fldChar w:fldCharType="separate"/>
      </w:r>
      <w:r w:rsidR="005D180A">
        <w:rPr>
          <w:noProof/>
        </w:rPr>
        <w:t>11</w:t>
      </w:r>
      <w:r w:rsidR="00000000">
        <w:rPr>
          <w:noProof/>
        </w:rPr>
        <w:fldChar w:fldCharType="end"/>
      </w:r>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2869D71F" w:rsidR="001636F1" w:rsidRDefault="001636F1" w:rsidP="001636F1">
      <w:pPr>
        <w:pStyle w:val="TituloFiguras"/>
      </w:pPr>
      <w:r>
        <w:t xml:space="preserve">Figura </w:t>
      </w:r>
      <w:r w:rsidR="00000000">
        <w:fldChar w:fldCharType="begin"/>
      </w:r>
      <w:r w:rsidR="00000000">
        <w:instrText xml:space="preserve"> SEQ Figura \* ARABIC </w:instrText>
      </w:r>
      <w:r w:rsidR="00000000">
        <w:fldChar w:fldCharType="separate"/>
      </w:r>
      <w:r w:rsidR="005D180A">
        <w:rPr>
          <w:noProof/>
        </w:rPr>
        <w:t>12</w:t>
      </w:r>
      <w:r w:rsidR="00000000">
        <w:rPr>
          <w:noProof/>
        </w:rPr>
        <w:fldChar w:fldCharType="end"/>
      </w:r>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3D678B58"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5D180A">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7CE94" w:rsidR="00E26ACB" w:rsidRDefault="00E26ACB" w:rsidP="00A03524">
      <w:pPr>
        <w:pStyle w:val="TituloFiguras"/>
      </w:pPr>
      <w:r>
        <w:t xml:space="preserve">Figura </w:t>
      </w:r>
      <w:r>
        <w:fldChar w:fldCharType="begin"/>
      </w:r>
      <w:r>
        <w:instrText>SEQ Figura \* ARABIC</w:instrText>
      </w:r>
      <w:r>
        <w:fldChar w:fldCharType="separate"/>
      </w:r>
      <w:r w:rsidR="005D180A">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042ED000" w:rsidR="00287F46" w:rsidRDefault="00287F46" w:rsidP="00146AD8">
      <w:pPr>
        <w:pStyle w:val="TituloFiguras"/>
      </w:pPr>
      <w:r>
        <w:lastRenderedPageBreak/>
        <w:t xml:space="preserve">Figura </w:t>
      </w:r>
      <w:r>
        <w:fldChar w:fldCharType="begin"/>
      </w:r>
      <w:r>
        <w:instrText>SEQ Figura \* ARABIC</w:instrText>
      </w:r>
      <w:r>
        <w:fldChar w:fldCharType="separate"/>
      </w:r>
      <w:r w:rsidR="005D180A">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5180A77D" w:rsidR="0042196B" w:rsidRDefault="0042196B" w:rsidP="00A03524">
      <w:pPr>
        <w:pStyle w:val="TituloFiguras"/>
      </w:pPr>
      <w:r>
        <w:t xml:space="preserve">Figura </w:t>
      </w:r>
      <w:r>
        <w:fldChar w:fldCharType="begin"/>
      </w:r>
      <w:r>
        <w:instrText>SEQ Figura \* ARABIC</w:instrText>
      </w:r>
      <w:r>
        <w:fldChar w:fldCharType="separate"/>
      </w:r>
      <w:r w:rsidR="005D180A">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20D0C291" w:rsidR="00E26ACB" w:rsidRDefault="00E26ACB" w:rsidP="00E26ACB">
      <w:pPr>
        <w:pStyle w:val="TituloFiguras"/>
      </w:pPr>
      <w:r>
        <w:t xml:space="preserve">Figura </w:t>
      </w:r>
      <w:r>
        <w:fldChar w:fldCharType="begin"/>
      </w:r>
      <w:r>
        <w:instrText>SEQ Figura \* ARABIC</w:instrText>
      </w:r>
      <w:r>
        <w:fldChar w:fldCharType="separate"/>
      </w:r>
      <w:r w:rsidR="005D180A">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206376C3" w:rsidR="0044407A" w:rsidRDefault="0044407A" w:rsidP="00A03524">
      <w:pPr>
        <w:pStyle w:val="TituloFiguras"/>
      </w:pPr>
      <w:r>
        <w:t xml:space="preserve">Figura </w:t>
      </w:r>
      <w:r>
        <w:fldChar w:fldCharType="begin"/>
      </w:r>
      <w:r>
        <w:instrText>SEQ Figura \* ARABIC</w:instrText>
      </w:r>
      <w:r>
        <w:fldChar w:fldCharType="separate"/>
      </w:r>
      <w:r w:rsidR="005D180A">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30DDCB76" w:rsidR="006475F1" w:rsidRDefault="006475F1" w:rsidP="006475F1">
      <w:pPr>
        <w:pStyle w:val="TituloFiguras"/>
      </w:pPr>
      <w:r>
        <w:t xml:space="preserve">Figura </w:t>
      </w:r>
      <w:r>
        <w:fldChar w:fldCharType="begin"/>
      </w:r>
      <w:r>
        <w:instrText>SEQ Figura \* ARABIC</w:instrText>
      </w:r>
      <w:r>
        <w:fldChar w:fldCharType="separate"/>
      </w:r>
      <w:r w:rsidR="005D180A">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480A515C" w:rsidR="005552E1" w:rsidRDefault="005552E1" w:rsidP="00A03524">
      <w:pPr>
        <w:pStyle w:val="TituloFiguras"/>
      </w:pPr>
      <w:r>
        <w:lastRenderedPageBreak/>
        <w:t xml:space="preserve">Figura </w:t>
      </w:r>
      <w:r>
        <w:fldChar w:fldCharType="begin"/>
      </w:r>
      <w:r>
        <w:instrText>SEQ Figura \* ARABIC</w:instrText>
      </w:r>
      <w:r>
        <w:fldChar w:fldCharType="separate"/>
      </w:r>
      <w:r w:rsidR="005D180A">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FC0C7C9" w:rsidR="008422BC" w:rsidRDefault="008422BC" w:rsidP="00A03524">
      <w:pPr>
        <w:pStyle w:val="TituloFiguras"/>
      </w:pPr>
      <w:r>
        <w:t xml:space="preserve">Figura </w:t>
      </w:r>
      <w:r>
        <w:fldChar w:fldCharType="begin"/>
      </w:r>
      <w:r>
        <w:instrText>SEQ Figura \* ARABIC</w:instrText>
      </w:r>
      <w:r>
        <w:fldChar w:fldCharType="separate"/>
      </w:r>
      <w:r w:rsidR="005D180A">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425E5EAD" w:rsidR="00197642" w:rsidRPr="002149D5" w:rsidRDefault="002149D5" w:rsidP="00146AD8">
      <w:pPr>
        <w:pStyle w:val="TituloFiguras"/>
        <w:rPr>
          <w:i/>
          <w:iCs/>
        </w:rPr>
      </w:pPr>
      <w:r w:rsidRPr="00CB4766">
        <w:t xml:space="preserve">Figura </w:t>
      </w:r>
      <w:r w:rsidR="00000000">
        <w:fldChar w:fldCharType="begin"/>
      </w:r>
      <w:r w:rsidR="00000000">
        <w:instrText xml:space="preserve"> SEQ Figura \* ARABIC </w:instrText>
      </w:r>
      <w:r w:rsidR="00000000">
        <w:fldChar w:fldCharType="separate"/>
      </w:r>
      <w:r w:rsidR="005D180A">
        <w:rPr>
          <w:noProof/>
        </w:rPr>
        <w:t>22</w:t>
      </w:r>
      <w:r w:rsidR="00000000">
        <w:rPr>
          <w:noProof/>
        </w:rPr>
        <w:fldChar w:fldCharType="end"/>
      </w:r>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B81989A"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5D180A">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07A236A9" w:rsidR="00FF1A67" w:rsidRDefault="00FF1A67" w:rsidP="00A03524">
      <w:pPr>
        <w:pStyle w:val="TituloFiguras"/>
      </w:pPr>
      <w:r>
        <w:lastRenderedPageBreak/>
        <w:t xml:space="preserve">Figura </w:t>
      </w:r>
      <w:r>
        <w:fldChar w:fldCharType="begin"/>
      </w:r>
      <w:r>
        <w:instrText>SEQ Figura \* ARABIC</w:instrText>
      </w:r>
      <w:r>
        <w:fldChar w:fldCharType="separate"/>
      </w:r>
      <w:r w:rsidR="005D180A">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46A1E902" w:rsidR="00882E0A" w:rsidRDefault="00882E0A" w:rsidP="00A03524">
      <w:pPr>
        <w:pStyle w:val="TituloFiguras"/>
      </w:pPr>
      <w:r>
        <w:t xml:space="preserve">Figura </w:t>
      </w:r>
      <w:r>
        <w:fldChar w:fldCharType="begin"/>
      </w:r>
      <w:r>
        <w:instrText>SEQ Figura \* ARABIC</w:instrText>
      </w:r>
      <w:r>
        <w:fldChar w:fldCharType="separate"/>
      </w:r>
      <w:r w:rsidR="005D180A">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3EA2AF9B"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5D180A">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6E98AE16" w:rsidR="00882E0A" w:rsidRDefault="00882E0A" w:rsidP="00A03524">
      <w:pPr>
        <w:pStyle w:val="TituloFiguras"/>
      </w:pPr>
      <w:r>
        <w:t xml:space="preserve">Figura </w:t>
      </w:r>
      <w:r>
        <w:fldChar w:fldCharType="begin"/>
      </w:r>
      <w:r>
        <w:instrText>SEQ Figura \* ARABIC</w:instrText>
      </w:r>
      <w:r>
        <w:fldChar w:fldCharType="separate"/>
      </w:r>
      <w:r w:rsidR="005D180A">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2587FC63" w:rsidR="00882E0A" w:rsidRDefault="00882E0A" w:rsidP="00A03524">
      <w:pPr>
        <w:pStyle w:val="TituloFiguras"/>
      </w:pPr>
      <w:r>
        <w:t xml:space="preserve">Figura </w:t>
      </w:r>
      <w:r>
        <w:fldChar w:fldCharType="begin"/>
      </w:r>
      <w:r>
        <w:instrText>SEQ Figura \* ARABIC</w:instrText>
      </w:r>
      <w:r>
        <w:fldChar w:fldCharType="separate"/>
      </w:r>
      <w:r w:rsidR="005D180A">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64820740" w:rsidR="00882E0A" w:rsidRDefault="00882E0A" w:rsidP="00A03524">
      <w:pPr>
        <w:pStyle w:val="TituloFiguras"/>
      </w:pPr>
      <w:r>
        <w:t xml:space="preserve">Figura </w:t>
      </w:r>
      <w:r>
        <w:fldChar w:fldCharType="begin"/>
      </w:r>
      <w:r>
        <w:instrText>SEQ Figura \* ARABIC</w:instrText>
      </w:r>
      <w:r>
        <w:fldChar w:fldCharType="separate"/>
      </w:r>
      <w:r w:rsidR="005D180A">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0EB4E9C" w:rsidR="00882E0A" w:rsidRDefault="00882E0A" w:rsidP="00A03524">
      <w:pPr>
        <w:pStyle w:val="TituloFiguras"/>
      </w:pPr>
      <w:r>
        <w:lastRenderedPageBreak/>
        <w:t xml:space="preserve">Figura </w:t>
      </w:r>
      <w:r>
        <w:fldChar w:fldCharType="begin"/>
      </w:r>
      <w:r>
        <w:instrText>SEQ Figura \* ARABIC</w:instrText>
      </w:r>
      <w:r>
        <w:fldChar w:fldCharType="separate"/>
      </w:r>
      <w:r w:rsidR="005D180A">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A220DF5" w:rsidR="00CC143A" w:rsidRPr="00CC143A" w:rsidRDefault="00CC143A" w:rsidP="00A03524">
      <w:pPr>
        <w:pStyle w:val="TituloFiguras"/>
      </w:pPr>
      <w:r w:rsidRPr="00CC143A">
        <w:lastRenderedPageBreak/>
        <w:t xml:space="preserve">Figura </w:t>
      </w:r>
      <w:r w:rsidR="00000000">
        <w:fldChar w:fldCharType="begin"/>
      </w:r>
      <w:r w:rsidR="00000000">
        <w:instrText xml:space="preserve"> SEQ Figura \* ARABIC </w:instrText>
      </w:r>
      <w:r w:rsidR="00000000">
        <w:fldChar w:fldCharType="separate"/>
      </w:r>
      <w:r w:rsidR="005D180A">
        <w:rPr>
          <w:noProof/>
        </w:rPr>
        <w:t>31</w:t>
      </w:r>
      <w:r w:rsidR="00000000">
        <w:rPr>
          <w:noProof/>
        </w:rPr>
        <w:fldChar w:fldCharType="end"/>
      </w:r>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0FC9D0BB" w:rsidR="0087687B" w:rsidRDefault="0087687B" w:rsidP="0051652B">
      <w:pPr>
        <w:pStyle w:val="TituloFiguras"/>
      </w:pPr>
      <w:r>
        <w:lastRenderedPageBreak/>
        <w:t xml:space="preserve">Figura </w:t>
      </w:r>
      <w:r>
        <w:fldChar w:fldCharType="begin"/>
      </w:r>
      <w:r>
        <w:instrText xml:space="preserve"> SEQ Figura \* ARABIC </w:instrText>
      </w:r>
      <w:r>
        <w:fldChar w:fldCharType="separate"/>
      </w:r>
      <w:r w:rsidR="005D180A">
        <w:rPr>
          <w:noProof/>
        </w:rPr>
        <w:t>32</w:t>
      </w:r>
      <w:r>
        <w:fldChar w:fldCharType="end"/>
      </w:r>
      <w:r>
        <w:t xml:space="preserve"> - Tabela Cliente Não Normalizada</w:t>
      </w:r>
    </w:p>
    <w:p w14:paraId="55642AAE" w14:textId="34C39F68" w:rsidR="0087687B" w:rsidRDefault="0051652B" w:rsidP="0051652B">
      <w:pPr>
        <w:pStyle w:val="Legendafiguras"/>
      </w:pPr>
      <w:r w:rsidRPr="0051652B">
        <w:drawing>
          <wp:inline distT="0" distB="0" distL="0" distR="0" wp14:anchorId="4FC72941" wp14:editId="6BED34E0">
            <wp:extent cx="5400040" cy="1364615"/>
            <wp:effectExtent l="19050" t="19050" r="10160" b="26035"/>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5400040" cy="1364615"/>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1FDF4C92" w:rsidR="005D180A" w:rsidRDefault="005D180A" w:rsidP="005D180A">
      <w:pPr>
        <w:pStyle w:val="TituloFiguras"/>
      </w:pPr>
      <w:r>
        <w:t xml:space="preserve">Figura </w:t>
      </w:r>
      <w:r>
        <w:fldChar w:fldCharType="begin"/>
      </w:r>
      <w:r>
        <w:instrText xml:space="preserve"> SEQ Figura \* ARABIC </w:instrText>
      </w:r>
      <w:r>
        <w:fldChar w:fldCharType="separate"/>
      </w:r>
      <w:r>
        <w:rPr>
          <w:noProof/>
        </w:rPr>
        <w:t>33</w:t>
      </w:r>
      <w:r>
        <w:fldChar w:fldCharType="end"/>
      </w:r>
      <w:r>
        <w:t xml:space="preserve"> - Tabela Cliente 1FN</w:t>
      </w:r>
    </w:p>
    <w:p w14:paraId="28006397" w14:textId="73AB8679" w:rsidR="00313DBE" w:rsidRDefault="00313DBE" w:rsidP="005D180A">
      <w:pPr>
        <w:pStyle w:val="Legendafiguras"/>
      </w:pPr>
      <w:r w:rsidRPr="00313DBE">
        <w:drawing>
          <wp:inline distT="0" distB="0" distL="0" distR="0" wp14:anchorId="7A004615" wp14:editId="3053021E">
            <wp:extent cx="5400040" cy="2773045"/>
            <wp:effectExtent l="19050" t="19050" r="10160" b="2730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5400040" cy="2773045"/>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5C0FA6DA" w:rsidR="005D180A" w:rsidRPr="005D180A" w:rsidRDefault="005D180A" w:rsidP="005D180A">
      <w:r>
        <w:t>A segunda forma normal (2FN) ressalta que toda relação deve estar na 1FN e deve-se eliminar dependências funcionais parciais, logo, todo atributo que não seja dependente da chave primária. Para exemplificar, será usado exemplos de uma tabela de peças e fornecedor.</w:t>
      </w:r>
    </w:p>
    <w:p w14:paraId="773A2CD7" w14:textId="77777777" w:rsidR="0051652B" w:rsidRPr="0051652B" w:rsidRDefault="0051652B" w:rsidP="0051652B"/>
    <w:p w14:paraId="2209220D" w14:textId="78A2CA06" w:rsidR="00F01C00" w:rsidRDefault="00CC5D16" w:rsidP="005934A6">
      <w:pPr>
        <w:pStyle w:val="Ttulo3"/>
      </w:pPr>
      <w:bookmarkStart w:id="18" w:name="_Toc119719660"/>
      <w:r>
        <w:lastRenderedPageBreak/>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lastRenderedPageBreak/>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677783CF" w:rsidR="7581BAA3" w:rsidRPr="000E50EA" w:rsidRDefault="6242100D" w:rsidP="000E50EA">
      <w:pPr>
        <w:rPr>
          <w:szCs w:val="24"/>
        </w:rPr>
      </w:pPr>
      <w:r w:rsidRPr="000E50EA">
        <w:t>Os diagramas de caso de uso são formados por exatos seis tópicos sendo eles: casos de uso, relacionamentos, associações, e generalização e atores.</w:t>
      </w:r>
    </w:p>
    <w:p w14:paraId="54D93046" w14:textId="677783CF" w:rsidR="7581BAA3" w:rsidRPr="000E50EA" w:rsidRDefault="6242100D" w:rsidP="000E50EA">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08653D9D" w:rsidR="7581BAA3" w:rsidRPr="000E50EA" w:rsidRDefault="6242100D" w:rsidP="000E50EA">
      <w:r w:rsidRPr="000E50EA">
        <w:t xml:space="preserve">Relacionamento </w:t>
      </w:r>
      <w:proofErr w:type="spellStart"/>
      <w:r w:rsidRPr="000E50EA">
        <w:rPr>
          <w:i/>
        </w:rPr>
        <w:t>extend</w:t>
      </w:r>
      <w:proofErr w:type="spellEnd"/>
      <w:r w:rsidRPr="000E50EA">
        <w:t xml:space="preserve"> (extensão): indica uma forma reciclável do caso de uso, que para a condição e a execução de demais diagramas de caso de uso para tornar sua funcionalidade mais rápida e viável. </w:t>
      </w:r>
    </w:p>
    <w:p w14:paraId="4FF6569A" w14:textId="677783CF" w:rsidR="7581BAA3" w:rsidRPr="000E50EA" w:rsidRDefault="6242100D" w:rsidP="000E50EA">
      <w:r w:rsidRPr="000E50EA">
        <w:t>Relacionamento</w:t>
      </w:r>
      <w:r w:rsidRPr="000E50EA">
        <w:rPr>
          <w:i/>
        </w:rPr>
        <w:t xml:space="preserve"> include</w:t>
      </w:r>
      <w:r w:rsidRPr="000E50EA">
        <w:t xml:space="preserve"> (inclusão):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0E50EA">
      <w:r w:rsidRPr="000E50EA">
        <w:lastRenderedPageBreak/>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0E50EA">
      <w:r w:rsidRPr="000E50EA">
        <w:t>Generalização: mostra a familiaridade com a herança entre casos de uso e os atores.</w:t>
      </w:r>
    </w:p>
    <w:p w14:paraId="29CE827E" w14:textId="1CCAD91B" w:rsidR="7581BAA3" w:rsidRPr="000E50EA" w:rsidRDefault="6242100D" w:rsidP="000E50EA">
      <w:r w:rsidRPr="000E50EA">
        <w:t>Ator: desempenha um papel por uma só pessoa, dispositivo, sistema ou empresa, que tem interesse</w:t>
      </w:r>
      <w:r w:rsidR="000E50EA">
        <w:t xml:space="preserve"> em operar um sistema efetuado com sucesso</w:t>
      </w:r>
      <w:r w:rsidRPr="000E50EA">
        <w:t xml:space="preserve"> (PENDER, 2004).</w:t>
      </w:r>
    </w:p>
    <w:p w14:paraId="7CC50030" w14:textId="37E89EE7" w:rsidR="7581BAA3" w:rsidRDefault="7581BAA3" w:rsidP="7581BAA3"/>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6257B6FD"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lastRenderedPageBreak/>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5046E259" w:rsidR="00E43946" w:rsidRDefault="00E43946">
      <w:pPr>
        <w:pStyle w:val="Ttulo1"/>
        <w:numPr>
          <w:ilvl w:val="0"/>
          <w:numId w:val="8"/>
        </w:numPr>
      </w:pPr>
      <w:bookmarkStart w:id="25" w:name="_Toc119719666"/>
      <w:r w:rsidRPr="00CC5D16">
        <w:t>DESENVOLVIMENTO</w:t>
      </w:r>
      <w:bookmarkEnd w:id="25"/>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64945653" w:rsidR="00D80D7C" w:rsidRDefault="00D80D7C" w:rsidP="00D80D7C">
      <w:pPr>
        <w:pStyle w:val="TituloFiguras"/>
      </w:pPr>
      <w:r>
        <w:t xml:space="preserve">Figura </w:t>
      </w:r>
      <w:r w:rsidR="00000000">
        <w:fldChar w:fldCharType="begin"/>
      </w:r>
      <w:r w:rsidR="00000000">
        <w:instrText xml:space="preserve"> SEQ Figura \* ARABIC </w:instrText>
      </w:r>
      <w:r w:rsidR="00000000">
        <w:fldChar w:fldCharType="separate"/>
      </w:r>
      <w:r w:rsidR="005D180A">
        <w:rPr>
          <w:noProof/>
        </w:rPr>
        <w:t>34</w:t>
      </w:r>
      <w:r w:rsidR="00000000">
        <w:rPr>
          <w:noProof/>
        </w:rPr>
        <w:fldChar w:fldCharType="end"/>
      </w:r>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8"/>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7" w:name="_Toc119719668"/>
      <w:r>
        <w:t>3.</w:t>
      </w:r>
      <w:r w:rsidR="00DE776B">
        <w:t>2</w:t>
      </w:r>
      <w:r>
        <w:t xml:space="preserve"> </w:t>
      </w:r>
      <w:r w:rsidR="005B28F6">
        <w:t>Diagramas de Classes</w:t>
      </w:r>
      <w:bookmarkEnd w:id="27"/>
    </w:p>
    <w:p w14:paraId="29B7C598" w14:textId="1349A303" w:rsidR="004218AE" w:rsidRDefault="004218AE" w:rsidP="004218AE">
      <w:pPr>
        <w:pStyle w:val="TituloFiguras"/>
      </w:pPr>
      <w:r>
        <w:t xml:space="preserve">Figura </w:t>
      </w:r>
      <w:r w:rsidR="00000000">
        <w:fldChar w:fldCharType="begin"/>
      </w:r>
      <w:r w:rsidR="00000000">
        <w:instrText xml:space="preserve"> SEQ Figura \* ARABIC </w:instrText>
      </w:r>
      <w:r w:rsidR="00000000">
        <w:fldChar w:fldCharType="separate"/>
      </w:r>
      <w:r w:rsidR="005D180A">
        <w:rPr>
          <w:noProof/>
        </w:rPr>
        <w:t>35</w:t>
      </w:r>
      <w:r w:rsidR="00000000">
        <w:rPr>
          <w:noProof/>
        </w:rPr>
        <w:fldChar w:fldCharType="end"/>
      </w:r>
      <w:r>
        <w:t xml:space="preserve"> - Diagrama de Classes</w:t>
      </w:r>
    </w:p>
    <w:p w14:paraId="7D39C2AE" w14:textId="691D86F3" w:rsidR="004218AE" w:rsidRDefault="00416B4E" w:rsidP="004218AE">
      <w:pPr>
        <w:pStyle w:val="Legendafiguras"/>
      </w:pPr>
      <w:r w:rsidRPr="00416B4E">
        <w:rPr>
          <w:noProof/>
          <w:lang w:eastAsia="pt-BR"/>
        </w:rPr>
        <w:drawing>
          <wp:inline distT="0" distB="0" distL="0" distR="0" wp14:anchorId="2CCF0DD7" wp14:editId="2F90F2C4">
            <wp:extent cx="4565415" cy="4286250"/>
            <wp:effectExtent l="19050" t="19050" r="26035" b="1905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49"/>
                    <a:stretch>
                      <a:fillRect/>
                    </a:stretch>
                  </pic:blipFill>
                  <pic:spPr>
                    <a:xfrm>
                      <a:off x="0" y="0"/>
                      <a:ext cx="4579277" cy="429926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009F67A9" w:rsidR="00BA6EBD" w:rsidRDefault="00BA6EBD" w:rsidP="00BA6EBD">
      <w:pPr>
        <w:pStyle w:val="TituloFiguras"/>
      </w:pPr>
      <w:r>
        <w:t xml:space="preserve">Figura </w:t>
      </w:r>
      <w:r w:rsidR="00000000">
        <w:fldChar w:fldCharType="begin"/>
      </w:r>
      <w:r w:rsidR="00000000">
        <w:instrText xml:space="preserve"> SEQ Figura \* ARABIC </w:instrText>
      </w:r>
      <w:r w:rsidR="00000000">
        <w:fldChar w:fldCharType="separate"/>
      </w:r>
      <w:r w:rsidR="005D180A">
        <w:rPr>
          <w:noProof/>
        </w:rPr>
        <w:t>36</w:t>
      </w:r>
      <w:r w:rsidR="00000000">
        <w:rPr>
          <w:noProof/>
        </w:rPr>
        <w:fldChar w:fldCharType="end"/>
      </w:r>
      <w:r>
        <w:t xml:space="preserve"> - Diagrama Entidade Relacionamento</w:t>
      </w:r>
    </w:p>
    <w:p w14:paraId="223C8584" w14:textId="66BE0B96" w:rsidR="00BA6EBD" w:rsidRDefault="00BA6EBD" w:rsidP="00BA6EBD">
      <w:pPr>
        <w:pStyle w:val="Legendafiguras"/>
      </w:pPr>
      <w:r>
        <w:rPr>
          <w:noProof/>
          <w:lang w:eastAsia="pt-BR"/>
        </w:rPr>
        <w:drawing>
          <wp:inline distT="0" distB="0" distL="0" distR="0" wp14:anchorId="6146FED1" wp14:editId="2ED4A672">
            <wp:extent cx="4810125" cy="4113265"/>
            <wp:effectExtent l="19050" t="19050" r="9525" b="20955"/>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23472" cy="4124678"/>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pPr>
        <w:pStyle w:val="Ttulo1"/>
        <w:numPr>
          <w:ilvl w:val="0"/>
          <w:numId w:val="8"/>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lastRenderedPageBreak/>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lastRenderedPageBreak/>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1804148D" w:rsidR="00C72F6E" w:rsidRDefault="00C72F6E" w:rsidP="00C72F6E">
      <w:pPr>
        <w:rPr>
          <w:rFonts w:cs="Arial"/>
          <w:color w:val="222222"/>
          <w:szCs w:val="24"/>
          <w:shd w:val="clear" w:color="auto" w:fill="FFFFFF"/>
        </w:rPr>
      </w:pPr>
      <w:r w:rsidRPr="00C72F6E">
        <w:rPr>
          <w:rFonts w:cs="Arial"/>
          <w:color w:val="222222"/>
          <w:szCs w:val="24"/>
          <w:shd w:val="clear" w:color="auto" w:fill="FFFFFF"/>
        </w:rPr>
        <w:t xml:space="preserve">TAVARES, </w:t>
      </w:r>
      <w:proofErr w:type="spellStart"/>
      <w:r w:rsidRPr="00C72F6E">
        <w:rPr>
          <w:rFonts w:cs="Arial"/>
          <w:color w:val="222222"/>
          <w:szCs w:val="24"/>
          <w:shd w:val="clear" w:color="auto" w:fill="FFFFFF"/>
        </w:rPr>
        <w:t>Deisymar</w:t>
      </w:r>
      <w:proofErr w:type="spellEnd"/>
      <w:r w:rsidRPr="00C72F6E">
        <w:rPr>
          <w:rFonts w:cs="Arial"/>
          <w:color w:val="222222"/>
          <w:szCs w:val="24"/>
          <w:shd w:val="clear" w:color="auto" w:fill="FFFFFF"/>
        </w:rPr>
        <w:t xml:space="preserve"> Botega. Procedimento de análise para validação de diagrama de classes de domínio baseado em análise ontológica. 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 xml:space="preserve">Implementação dos frameworks bootstrap e Foundation aplicados na construção de um objeto de aprendizagem para o ensino da Engenharia </w:t>
      </w:r>
      <w:r w:rsidRPr="00A03524">
        <w:rPr>
          <w:b/>
          <w:bCs/>
          <w:szCs w:val="24"/>
        </w:rPr>
        <w:lastRenderedPageBreak/>
        <w:t>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921E" w14:textId="77777777" w:rsidR="002F666A" w:rsidRDefault="002F666A" w:rsidP="00E53B53">
      <w:pPr>
        <w:spacing w:line="240" w:lineRule="auto"/>
      </w:pPr>
      <w:r>
        <w:separator/>
      </w:r>
    </w:p>
  </w:endnote>
  <w:endnote w:type="continuationSeparator" w:id="0">
    <w:p w14:paraId="02D9D94B" w14:textId="77777777" w:rsidR="002F666A" w:rsidRDefault="002F666A" w:rsidP="00E53B53">
      <w:pPr>
        <w:spacing w:line="240" w:lineRule="auto"/>
      </w:pPr>
      <w:r>
        <w:continuationSeparator/>
      </w:r>
    </w:p>
  </w:endnote>
  <w:endnote w:type="continuationNotice" w:id="1">
    <w:p w14:paraId="7895E912" w14:textId="77777777" w:rsidR="002F666A" w:rsidRDefault="002F66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7854" w14:textId="77777777" w:rsidR="002F666A" w:rsidRDefault="002F666A" w:rsidP="00E53B53">
      <w:pPr>
        <w:spacing w:line="240" w:lineRule="auto"/>
      </w:pPr>
      <w:r>
        <w:separator/>
      </w:r>
    </w:p>
  </w:footnote>
  <w:footnote w:type="continuationSeparator" w:id="0">
    <w:p w14:paraId="2BD1151E" w14:textId="77777777" w:rsidR="002F666A" w:rsidRDefault="002F666A" w:rsidP="00E53B53">
      <w:pPr>
        <w:spacing w:line="240" w:lineRule="auto"/>
      </w:pPr>
      <w:r>
        <w:continuationSeparator/>
      </w:r>
    </w:p>
  </w:footnote>
  <w:footnote w:type="continuationNotice" w:id="1">
    <w:p w14:paraId="712DE4F8" w14:textId="77777777" w:rsidR="002F666A" w:rsidRDefault="002F66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4"/>
  </w:num>
  <w:num w:numId="4" w16cid:durableId="1666057076">
    <w:abstractNumId w:val="2"/>
  </w:num>
  <w:num w:numId="5" w16cid:durableId="1857888840">
    <w:abstractNumId w:val="7"/>
  </w:num>
  <w:num w:numId="6" w16cid:durableId="1820224647">
    <w:abstractNumId w:val="3"/>
  </w:num>
  <w:num w:numId="7" w16cid:durableId="1785534892">
    <w:abstractNumId w:val="6"/>
  </w:num>
  <w:num w:numId="8" w16cid:durableId="2012444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E50EA"/>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66A"/>
    <w:rsid w:val="002F67AF"/>
    <w:rsid w:val="00302A0B"/>
    <w:rsid w:val="00303E94"/>
    <w:rsid w:val="0030620F"/>
    <w:rsid w:val="0030779E"/>
    <w:rsid w:val="00313D22"/>
    <w:rsid w:val="00313DBE"/>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67F"/>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57CC5"/>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CB3"/>
    <w:rsid w:val="00507BA5"/>
    <w:rsid w:val="00507BFC"/>
    <w:rsid w:val="00507F5A"/>
    <w:rsid w:val="00511732"/>
    <w:rsid w:val="00512122"/>
    <w:rsid w:val="005131C8"/>
    <w:rsid w:val="00516011"/>
    <w:rsid w:val="0051652B"/>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A6FF8"/>
    <w:rsid w:val="005B21AE"/>
    <w:rsid w:val="005B28F6"/>
    <w:rsid w:val="005B3BC2"/>
    <w:rsid w:val="005B4589"/>
    <w:rsid w:val="005C4037"/>
    <w:rsid w:val="005C5E24"/>
    <w:rsid w:val="005C6223"/>
    <w:rsid w:val="005D07FA"/>
    <w:rsid w:val="005D180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2293"/>
    <w:rsid w:val="00862585"/>
    <w:rsid w:val="0087448D"/>
    <w:rsid w:val="0087687B"/>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D7D01"/>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6C71"/>
    <w:rsid w:val="00AE091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2F6E"/>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430B"/>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47</Pages>
  <Words>9458</Words>
  <Characters>51077</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60415</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10</cp:revision>
  <dcterms:created xsi:type="dcterms:W3CDTF">2022-11-22T01:08:00Z</dcterms:created>
  <dcterms:modified xsi:type="dcterms:W3CDTF">2022-11-23T20:21:00Z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