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304A"/>
        </w:rPr>
        <w:t>Roteiro de apresentação</w:t>
      </w:r>
    </w:p>
    <w:p>
      <w:r>
        <w:t>Ouvidoria com IA Generativa  ·  Aplicação IA_Gen  ·  Seminário de 15 minutos, 27/10/2026, 19h</w:t>
      </w:r>
    </w:p>
    <w:p>
      <w:pPr>
        <w:pStyle w:val="Heading1"/>
      </w:pPr>
      <w:r>
        <w:rPr>
          <w:color w:val="12304A"/>
        </w:rPr>
        <w:t>Como usar</w:t>
      </w:r>
    </w:p>
    <w:p>
      <w:pPr>
        <w:pStyle w:val="ListBullet"/>
      </w:pPr>
      <w:r>
        <w:t>A divisão abaixo supõe 5 integrantes, com 2 a 3 slides cada. Troquem “Integrante N” pelos nomes; com menos pessoas, redistribuam os blocos mantendo a ordem.</w:t>
      </w:r>
    </w:p>
    <w:p>
      <w:pPr>
        <w:pStyle w:val="ListBullet"/>
      </w:pPr>
      <w:r>
        <w:t>O enunciado exige que todos apresentem e se complementem. Cada integrante pode adicionar uma frase própria ao final do slide do colega.</w:t>
      </w:r>
    </w:p>
    <w:p>
      <w:pPr>
        <w:pStyle w:val="ListBullet"/>
      </w:pPr>
      <w:r>
        <w:t>As falas somam cerca de 1.160 palavras, o que dá 9 a 10 minutos em ritmo normal. A folga de uns 5 minutos é para a troca de apresentador, as transições e as frases próprias de cada um. Ensaiem com cronômetro: o limite de 15 minutos é rígido.</w:t>
      </w:r>
    </w:p>
    <w:p>
      <w:pPr>
        <w:pStyle w:val="ListBullet"/>
      </w:pPr>
      <w:r>
        <w:t>Os tempos são os mesmos das notas do arquivo apresentacao.pptx.</w:t>
      </w:r>
    </w:p>
    <w:p>
      <w:pPr>
        <w:pStyle w:val="Heading1"/>
      </w:pPr>
      <w:r>
        <w:rPr>
          <w:color w:val="12304A"/>
        </w:rPr>
        <w:t>Divisão e tempos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Slide</w:t>
            </w:r>
          </w:p>
        </w:tc>
        <w:tc>
          <w:tcPr>
            <w:tcW w:type="dxa" w:w="2436"/>
          </w:tcPr>
          <w:p>
            <w:r>
              <w:t>Tema</w:t>
            </w:r>
          </w:p>
        </w:tc>
        <w:tc>
          <w:tcPr>
            <w:tcW w:type="dxa" w:w="2436"/>
          </w:tcPr>
          <w:p>
            <w:r>
              <w:t>Tempo</w:t>
            </w:r>
          </w:p>
        </w:tc>
        <w:tc>
          <w:tcPr>
            <w:tcW w:type="dxa" w:w="2436"/>
          </w:tcPr>
          <w:p>
            <w:r>
              <w:t>Quem fala</w:t>
            </w:r>
          </w:p>
        </w:tc>
      </w:tr>
      <w:tr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Capa</w:t>
            </w:r>
          </w:p>
        </w:tc>
        <w:tc>
          <w:tcPr>
            <w:tcW w:type="dxa" w:w="2436"/>
          </w:tcPr>
          <w:p>
            <w:r>
              <w:t>0:00 a 0:30</w:t>
            </w:r>
          </w:p>
        </w:tc>
        <w:tc>
          <w:tcPr>
            <w:tcW w:type="dxa" w:w="2436"/>
          </w:tcPr>
          <w:p>
            <w:r>
              <w:t>Integrante 1</w:t>
            </w:r>
          </w:p>
        </w:tc>
      </w:tr>
      <w:tr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O problema: respostas padronizadas</w:t>
            </w:r>
          </w:p>
        </w:tc>
        <w:tc>
          <w:tcPr>
            <w:tcW w:type="dxa" w:w="2436"/>
          </w:tcPr>
          <w:p>
            <w:r>
              <w:t>0:30 a 1:30</w:t>
            </w:r>
          </w:p>
        </w:tc>
        <w:tc>
          <w:tcPr>
            <w:tcW w:type="dxa" w:w="2436"/>
          </w:tcPr>
          <w:p>
            <w:r>
              <w:t>Integrante 1</w:t>
            </w:r>
          </w:p>
        </w:tc>
      </w:tr>
      <w:tr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Base: 8,75 milhões de manifestações reais</w:t>
            </w:r>
          </w:p>
        </w:tc>
        <w:tc>
          <w:tcPr>
            <w:tcW w:type="dxa" w:w="2436"/>
          </w:tcPr>
          <w:p>
            <w:r>
              <w:t>1:30 a 3:00</w:t>
            </w:r>
          </w:p>
        </w:tc>
        <w:tc>
          <w:tcPr>
            <w:tcW w:type="dxa" w:w="2436"/>
          </w:tcPr>
          <w:p>
            <w:r>
              <w:t>Integrante 2</w:t>
            </w:r>
          </w:p>
        </w:tc>
      </w:tr>
      <w:tr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Solução: do registro à validação humana</w:t>
            </w:r>
          </w:p>
        </w:tc>
        <w:tc>
          <w:tcPr>
            <w:tcW w:type="dxa" w:w="2436"/>
          </w:tcPr>
          <w:p>
            <w:r>
              <w:t>3:00 a 4:30</w:t>
            </w:r>
          </w:p>
        </w:tc>
        <w:tc>
          <w:tcPr>
            <w:tcW w:type="dxa" w:w="2436"/>
          </w:tcPr>
          <w:p>
            <w:r>
              <w:t>Integrante 3</w:t>
            </w:r>
          </w:p>
        </w:tc>
      </w:tr>
      <w:tr>
        <w:tc>
          <w:tcPr>
            <w:tcW w:type="dxa" w:w="2436"/>
          </w:tcPr>
          <w:p>
            <w:r>
              <w:t>5</w:t>
            </w:r>
          </w:p>
        </w:tc>
        <w:tc>
          <w:tcPr>
            <w:tcW w:type="dxa" w:w="2436"/>
          </w:tcPr>
          <w:p>
            <w:r>
              <w:t>Quatro técnicas, um ciclo completo</w:t>
            </w:r>
          </w:p>
        </w:tc>
        <w:tc>
          <w:tcPr>
            <w:tcW w:type="dxa" w:w="2436"/>
          </w:tcPr>
          <w:p>
            <w:r>
              <w:t>4:30 a 6:00</w:t>
            </w:r>
          </w:p>
        </w:tc>
        <w:tc>
          <w:tcPr>
            <w:tcW w:type="dxa" w:w="2436"/>
          </w:tcPr>
          <w:p>
            <w:r>
              <w:t>Integrante 4</w:t>
            </w:r>
          </w:p>
        </w:tc>
      </w:tr>
      <w:tr>
        <w:tc>
          <w:tcPr>
            <w:tcW w:type="dxa" w:w="2436"/>
          </w:tcPr>
          <w:p>
            <w:r>
              <w:t>6</w:t>
            </w:r>
          </w:p>
        </w:tc>
        <w:tc>
          <w:tcPr>
            <w:tcW w:type="dxa" w:w="2436"/>
          </w:tcPr>
          <w:p>
            <w:r>
              <w:t>Demonstração: o mesmo caso, duas versões</w:t>
            </w:r>
          </w:p>
        </w:tc>
        <w:tc>
          <w:tcPr>
            <w:tcW w:type="dxa" w:w="2436"/>
          </w:tcPr>
          <w:p>
            <w:r>
              <w:t>6:00 a 7:30</w:t>
            </w:r>
          </w:p>
        </w:tc>
        <w:tc>
          <w:tcPr>
            <w:tcW w:type="dxa" w:w="2436"/>
          </w:tcPr>
          <w:p>
            <w:r>
              <w:t>Integrante 5</w:t>
            </w:r>
          </w:p>
        </w:tc>
      </w:tr>
      <w:tr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Resultado 1: o RAG não ajudou a priorizar</w:t>
            </w:r>
          </w:p>
        </w:tc>
        <w:tc>
          <w:tcPr>
            <w:tcW w:type="dxa" w:w="2436"/>
          </w:tcPr>
          <w:p>
            <w:r>
              <w:t>7:30 a 9:00</w:t>
            </w:r>
          </w:p>
        </w:tc>
        <w:tc>
          <w:tcPr>
            <w:tcW w:type="dxa" w:w="2436"/>
          </w:tcPr>
          <w:p>
            <w:r>
              <w:t>Integrante 1</w:t>
            </w:r>
          </w:p>
        </w:tc>
      </w:tr>
      <w:tr>
        <w:tc>
          <w:tcPr>
            <w:tcW w:type="dxa" w:w="2436"/>
          </w:tcPr>
          <w:p>
            <w:r>
              <w:t>8</w:t>
            </w:r>
          </w:p>
        </w:tc>
        <w:tc>
          <w:tcPr>
            <w:tcW w:type="dxa" w:w="2436"/>
          </w:tcPr>
          <w:p>
            <w:r>
              <w:t>Resultado 2: o RAG fundamenta as citações</w:t>
            </w:r>
          </w:p>
        </w:tc>
        <w:tc>
          <w:tcPr>
            <w:tcW w:type="dxa" w:w="2436"/>
          </w:tcPr>
          <w:p>
            <w:r>
              <w:t>9:00 a 10:30</w:t>
            </w:r>
          </w:p>
        </w:tc>
        <w:tc>
          <w:tcPr>
            <w:tcW w:type="dxa" w:w="2436"/>
          </w:tcPr>
          <w:p>
            <w:r>
              <w:t>Integrante 2</w:t>
            </w:r>
          </w:p>
        </w:tc>
      </w:tr>
      <w:tr>
        <w:tc>
          <w:tcPr>
            <w:tcW w:type="dxa" w:w="2436"/>
          </w:tcPr>
          <w:p>
            <w:r>
              <w:t>9</w:t>
            </w:r>
          </w:p>
        </w:tc>
        <w:tc>
          <w:tcPr>
            <w:tcW w:type="dxa" w:w="2436"/>
          </w:tcPr>
          <w:p>
            <w:r>
              <w:t>Resultado 3: sumarização da base inteira</w:t>
            </w:r>
          </w:p>
        </w:tc>
        <w:tc>
          <w:tcPr>
            <w:tcW w:type="dxa" w:w="2436"/>
          </w:tcPr>
          <w:p>
            <w:r>
              <w:t>10:30 a 12:00</w:t>
            </w:r>
          </w:p>
        </w:tc>
        <w:tc>
          <w:tcPr>
            <w:tcW w:type="dxa" w:w="2436"/>
          </w:tcPr>
          <w:p>
            <w:r>
              <w:t>Integrante 3</w:t>
            </w:r>
          </w:p>
        </w:tc>
      </w:tr>
      <w:tr>
        <w:tc>
          <w:tcPr>
            <w:tcW w:type="dxa" w:w="2436"/>
          </w:tcPr>
          <w:p>
            <w:r>
              <w:t>10</w:t>
            </w:r>
          </w:p>
        </w:tc>
        <w:tc>
          <w:tcPr>
            <w:tcW w:type="dxa" w:w="2436"/>
          </w:tcPr>
          <w:p>
            <w:r>
              <w:t>Limitações e riscos observados</w:t>
            </w:r>
          </w:p>
        </w:tc>
        <w:tc>
          <w:tcPr>
            <w:tcW w:type="dxa" w:w="2436"/>
          </w:tcPr>
          <w:p>
            <w:r>
              <w:t>12:00 a 13:30</w:t>
            </w:r>
          </w:p>
        </w:tc>
        <w:tc>
          <w:tcPr>
            <w:tcW w:type="dxa" w:w="2436"/>
          </w:tcPr>
          <w:p>
            <w:r>
              <w:t>Integrante 4</w:t>
            </w:r>
          </w:p>
        </w:tc>
      </w:tr>
      <w:tr>
        <w:tc>
          <w:tcPr>
            <w:tcW w:type="dxa" w:w="2436"/>
          </w:tcPr>
          <w:p>
            <w:r>
              <w:t>11</w:t>
            </w:r>
          </w:p>
        </w:tc>
        <w:tc>
          <w:tcPr>
            <w:tcW w:type="dxa" w:w="2436"/>
          </w:tcPr>
          <w:p>
            <w:r>
              <w:t>Conclusões e melhorias futuras</w:t>
            </w:r>
          </w:p>
        </w:tc>
        <w:tc>
          <w:tcPr>
            <w:tcW w:type="dxa" w:w="2436"/>
          </w:tcPr>
          <w:p>
            <w:r>
              <w:t>13:30 a 15:00</w:t>
            </w:r>
          </w:p>
        </w:tc>
        <w:tc>
          <w:tcPr>
            <w:tcW w:type="dxa" w:w="2436"/>
          </w:tcPr>
          <w:p>
            <w:r>
              <w:t>Integrante 5, depois todos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304A"/>
        </w:rPr>
        <w:t>Fala por slide</w:t>
      </w:r>
    </w:p>
    <w:p>
      <w:pPr>
        <w:pStyle w:val="Heading2"/>
      </w:pPr>
      <w:r>
        <w:rPr>
          <w:color w:val="12304A"/>
        </w:rPr>
        <w:t>Slide 1: Capa</w:t>
      </w:r>
    </w:p>
    <w:p>
      <w:r>
        <w:rPr>
          <w:b/>
          <w:color w:val="1B7F8C"/>
        </w:rPr>
        <w:t>0:00 a 0:30  ·  Integrante 1</w:t>
      </w:r>
    </w:p>
    <w:p>
      <w:r>
        <w:t>Boa noite, professor e colegas. Somos o grupo [nomes]. Nosso trabalho aplica IA Generativa a um problema real: as ouvidorias públicas. Vamos mostrar um protótipo que sugere a prioridade e uma minuta de resposta para cada manifestação, sempre com o servidor decidindo no final. Tudo roda em modelo local, sem enviar dados para a nuvem.</w:t>
      </w:r>
    </w:p>
    <w:p>
      <w:r>
        <w:rPr>
          <w:i/>
          <w:color w:val="6B7C8F"/>
          <w:sz w:val="21"/>
        </w:rPr>
        <w:t>Dica: Cada integrante diz o próprio nome na abertura.</w:t>
      </w:r>
    </w:p>
    <w:p>
      <w:pPr>
        <w:pStyle w:val="Heading2"/>
      </w:pPr>
      <w:r>
        <w:rPr>
          <w:color w:val="12304A"/>
        </w:rPr>
        <w:t>Slide 2: O problema: respostas padronizadas</w:t>
      </w:r>
    </w:p>
    <w:p>
      <w:r>
        <w:rPr>
          <w:b/>
          <w:color w:val="1B7F8C"/>
        </w:rPr>
        <w:t>0:30 a 1:30  ·  Integrante 1</w:t>
      </w:r>
    </w:p>
    <w:p>
      <w:r>
        <w:t>O Fala.BR concentrou 8,75 milhões de manifestações entre 2014 e 2026, em 1.777 órgãos e 309 assuntos. O tempo médio de resolução na base inteira é de 24 dias. As respostas costumam ser padronizadas, no modelo copia e cola, os servidores estão sobrecarregados e os gestores não têm métricas confiáveis. Nosso objetivo é apoiar o servidor, não substituí-lo: o sistema sugere prioridade e minuta fundamentadas na legislação, e a decisão final fica com o humano. O fluxo é: registro real, busca semântica, minuta mais priorização e validação humana.</w:t>
      </w:r>
    </w:p>
    <w:p>
      <w:r>
        <w:rPr>
          <w:i/>
          <w:color w:val="6B7C8F"/>
          <w:sz w:val="21"/>
        </w:rPr>
        <w:t>Dica: Apontar para os três números e depois para o fluxo na parte de baixo.</w:t>
      </w:r>
    </w:p>
    <w:p>
      <w:pPr>
        <w:pStyle w:val="Heading2"/>
      </w:pPr>
      <w:r>
        <w:rPr>
          <w:color w:val="12304A"/>
        </w:rPr>
        <w:t>Slide 3: Base: 8,75 milhões de manifestações reais</w:t>
      </w:r>
    </w:p>
    <w:p>
      <w:r>
        <w:rPr>
          <w:b/>
          <w:color w:val="1B7F8C"/>
        </w:rPr>
        <w:t>1:30 a 3:00  ·  Integrante 2</w:t>
      </w:r>
    </w:p>
    <w:p>
      <w:r>
        <w:t>Usamos os 13 arquivos CSV do Fala.BR, publicados pela CGU como dados abertos, de 2014 a 2026. Somam 8.752.638 registros, e o gráfico mostra o crescimento forte a partir de 2020; 2026 ainda é um ano parcial. Como são 2 gigabytes, lemos em blocos, normalizamos as 26 colunas e agregamos por ano, tipo, órgão e assunto. Daí tiramos uma amostra de 90 casos concluídos de 2025 e 2026, estratificada por tipo de manifestação. Agora o achado mais importante da preparação: os CSVs não trazem o texto da manifestação, só metadados como tipo, órgão, assunto, prazos e satisfação. Por isso o relato do cidadão usado no experimento é sintético: o modelo gera um relato plausível a partir de tipo, órgão e assunto. Vamos voltar a esse ponto nas limitações.</w:t>
      </w:r>
    </w:p>
    <w:p>
      <w:r>
        <w:rPr>
          <w:i/>
          <w:color w:val="6B7C8F"/>
          <w:sz w:val="21"/>
        </w:rPr>
        <w:t>Dica: Não esconder o relato sintético: é a primeira coisa que a banca vai perguntar.</w:t>
      </w:r>
    </w:p>
    <w:p>
      <w:pPr>
        <w:pStyle w:val="Heading2"/>
      </w:pPr>
      <w:r>
        <w:rPr>
          <w:color w:val="12304A"/>
        </w:rPr>
        <w:t>Slide 4: Solução: do registro à validação humana</w:t>
      </w:r>
    </w:p>
    <w:p>
      <w:r>
        <w:rPr>
          <w:b/>
          <w:color w:val="1B7F8C"/>
        </w:rPr>
        <w:t>3:00 a 4:30  ·  Integrante 3</w:t>
      </w:r>
    </w:p>
    <w:p>
      <w:r>
        <w:t>Este diagrama mostra como o pipeline funciona, da esquerda para a direita. Em roxo tracejado está o preparo offline, feito antes da demonstração: os 13 CSVs do Fala.BR viram indicadores por órgão, e as cinco leis são quebradas por artigo e indexadas com o modelo de embeddings bge-m3, num total de 326 trechos. Em verde está o que acontece a cada manifestação. A consulta vai para a busca semântica, que traz os 4 artigos mais próximos. Eles chegam ao modelo junto com o histórico real do órgão. O modelo é uma variante multimodal do Qwen3 de 8 bilhões de parâmetros, usada só para texto, rodando no Ollama dentro do nosso Kubernetes. A saída, em JSON, vai para o servidor, que valida e decide. A linha cinza “A: sem RAG” é o baseline: o modelo recebe só o relato. Como tudo roda em infraestrutura própria, os textos não saem da instituição, o que responde à preocupação com a LGPD.</w:t>
      </w:r>
    </w:p>
    <w:p>
      <w:r>
        <w:rPr>
          <w:i/>
          <w:color w:val="6B7C8F"/>
          <w:sz w:val="21"/>
        </w:rPr>
        <w:t>Dica: Percorrer o diagrama com o cursor: roxo (offline), verde (por consulta), cinza (baseline). Para dar zoom, abrir saida/diagrama_pipeline.html em tela cheia.</w:t>
      </w:r>
    </w:p>
    <w:p>
      <w:pPr>
        <w:pStyle w:val="Heading2"/>
      </w:pPr>
      <w:r>
        <w:rPr>
          <w:color w:val="12304A"/>
        </w:rPr>
        <w:t>Slide 5: Quatro técnicas, um ciclo completo</w:t>
      </w:r>
    </w:p>
    <w:p>
      <w:r>
        <w:rPr>
          <w:b/>
          <w:color w:val="1B7F8C"/>
        </w:rPr>
        <w:t>4:30 a 6:00  ·  Integrante 4</w:t>
      </w:r>
    </w:p>
    <w:p>
      <w:r>
        <w:t>Usamos quatro técnicas que cobrem o ciclo completo. Uma: priorização estruturada. O modelo devolve JSON com alta, média ou baixa e uma justificativa de uma frase, o que permite roteamento automático. Duas: RAG com embeddings. Quebramos as leis por artigo, buscamos por similaridade e colocamos os quatro trechos mais próximos no contexto. Três: geração condicionada. O prompt manda escrever em segunda pessoa, não inventar prazos nem protocolos e citar só o que está no contexto. Quatro: sumarização agregada. Os indicadores são calculados em código sobre a base inteira, e o modelo só redige o resumo, porque aprendemos que ele erra números. Essa quarta técnica aparece nos resultados.</w:t>
      </w:r>
    </w:p>
    <w:p>
      <w:r>
        <w:rPr>
          <w:i/>
          <w:color w:val="6B7C8F"/>
          <w:sz w:val="21"/>
        </w:rPr>
        <w:t>Dica: Um card por técnica, na ordem 1, 2, 3, 4.</w:t>
      </w:r>
    </w:p>
    <w:p>
      <w:pPr>
        <w:pStyle w:val="Heading2"/>
      </w:pPr>
      <w:r>
        <w:rPr>
          <w:color w:val="12304A"/>
        </w:rPr>
        <w:t>Slide 6: Demonstração: o mesmo caso, duas versões</w:t>
      </w:r>
    </w:p>
    <w:p>
      <w:r>
        <w:rPr>
          <w:b/>
          <w:color w:val="1B7F8C"/>
        </w:rPr>
        <w:t>6:00 a 7:30  ·  Integrante 5</w:t>
      </w:r>
    </w:p>
    <w:p>
      <w:r>
        <w:t>Este é o caso 3 da amostra, uma denúncia sobre o sistema penitenciário da AGEPEN. O relato sintético fala de falta de comida, remédio e água nos presídios e de denúncias ignoradas. As duas versões marcaram prioridade alta, o que bate com a regra de referência. A diferença está na minuta. A versão A cita o artigo 30 da Lei 11.996 de 2009, uma norma que não está no nosso corpus e que não conseguimos verificar, ou seja, uma citação sem fundamento. A versão B não cita lei nenhuma e encaminha a denúncia à AGEPEN e aos órgãos apuratórios. Isso ilustra o principal ganho do RAG: o modelo deixa de inventar fundamento legal. Os prompts completos estão no arquivo 03_pipeline.py da entrega.</w:t>
      </w:r>
    </w:p>
    <w:p>
      <w:r>
        <w:rPr>
          <w:i/>
          <w:color w:val="6B7C8F"/>
          <w:sz w:val="21"/>
        </w:rPr>
        <w:t>Dica: Se sobrar tempo, abrir o exemplos.md em saida/ para mostrar a minuta inteira. Não é necessário.</w:t>
      </w:r>
    </w:p>
    <w:p>
      <w:pPr>
        <w:pStyle w:val="Heading2"/>
      </w:pPr>
      <w:r>
        <w:rPr>
          <w:color w:val="12304A"/>
        </w:rPr>
        <w:t>Slide 7: Resultado 1: o RAG não ajudou a priorizar</w:t>
      </w:r>
    </w:p>
    <w:p>
      <w:r>
        <w:rPr>
          <w:b/>
          <w:color w:val="1B7F8C"/>
        </w:rPr>
        <w:t>7:30 a 9:00  ·  Integrante 1</w:t>
      </w:r>
    </w:p>
    <w:p>
      <w:r>
        <w:t>Agora os resultados. Primeiro, a priorização, comparada com uma regra de referência baseada em tipo e assunto, nos 90 casos. O baseline concordou em 82,2% e teve F1 de 0,87. A versão com RAG concordou em 67,8%, F1 de 0,72. Ou seja, o RAG não ajudou a priorizar. O padrão do erro: a versão B rebaixou 19 dos 37 casos de prioridade alta para média, 51%, contra 7 casos no baseline, 19%. Nenhum erro passou de um nível. Nossa hipótese, que não chegamos a testar, é que o contexto normativo e o histórico de atraso deixam o modelo mais conservador. Uma ressalva importante: o gabarito é uma regra, não um julgamento humano, então isso mede alinhamento com a regra.</w:t>
      </w:r>
    </w:p>
    <w:p>
      <w:r>
        <w:rPr>
          <w:i/>
          <w:color w:val="6B7C8F"/>
          <w:sz w:val="21"/>
        </w:rPr>
        <w:t>Dica: Dizer “hipótese não testada” em voz alta. Não afirmar a causa.</w:t>
      </w:r>
    </w:p>
    <w:p>
      <w:pPr>
        <w:pStyle w:val="Heading2"/>
      </w:pPr>
      <w:r>
        <w:rPr>
          <w:color w:val="12304A"/>
        </w:rPr>
        <w:t>Slide 8: Resultado 2: o RAG fundamenta as citações</w:t>
      </w:r>
    </w:p>
    <w:p>
      <w:r>
        <w:rPr>
          <w:b/>
          <w:color w:val="1B7F8C"/>
        </w:rPr>
        <w:t>9:00 a 10:30  ·  Integrante 2</w:t>
      </w:r>
    </w:p>
    <w:p>
      <w:r>
        <w:t>Segundo resultado: a fundamentação normativa. Contamos as citações de lei e artigo nas minutas. O baseline fez 46 citações, e só 6,5% delas, 3 de 46, existem no corpus indexado. A versão com RAG fez 32 citações, e 96,9%, 31 de 32, estavam no contexto recuperado. Esse é o grande ganho do RAG. Mas ele reduz, não elimina, as alucinações: nas duas versões apareceram telefones inventados, como números de atendimento da ANEEL, e promessas de ação já realizada, como “já foi notificada”, em 7 minutas do baseline e 6 da versão B. Essa métrica de citação não enxerga isso, e por isso a validação humana continua obrigatória.</w:t>
      </w:r>
    </w:p>
    <w:p>
      <w:r>
        <w:rPr>
          <w:i/>
          <w:color w:val="6B7C8F"/>
          <w:sz w:val="21"/>
        </w:rPr>
        <w:t>Dica: Aqui está a conclusão forte do trabalho. Falar devagar nos dois percentuais.</w:t>
      </w:r>
    </w:p>
    <w:p>
      <w:pPr>
        <w:pStyle w:val="Heading2"/>
      </w:pPr>
      <w:r>
        <w:rPr>
          <w:color w:val="12304A"/>
        </w:rPr>
        <w:t>Slide 9: Resultado 3: sumarização da base inteira</w:t>
      </w:r>
    </w:p>
    <w:p>
      <w:r>
        <w:rPr>
          <w:b/>
          <w:color w:val="1B7F8C"/>
        </w:rPr>
        <w:t>10:30 a 12:00  ·  Integrante 3</w:t>
      </w:r>
    </w:p>
    <w:p>
      <w:r>
        <w:t>Terceiro: a sumarização agregada, sobre toda a base de 2025. Calculamos em código o percentual de manifestações respondidas com atraso por órgão, para os órgãos com pelo menos 5 mil manifestações. O atraso se concentra nos órgãos municipais: a Prefeitura Municipal chega a 16,5% e a Câmara Municipal a 14,4%, enquanto os ministérios federais ficam perto de zero. Quando pedimos ao LLM que escrevesse o resumo, ele errou números: disse que 70% eram reclamações, quando o dado dá cerca de 49%. Por isso a decisão de projeto: os números vêm do código, e o modelo só redige.</w:t>
      </w:r>
    </w:p>
    <w:p>
      <w:r>
        <w:rPr>
          <w:i/>
          <w:color w:val="6B7C8F"/>
          <w:sz w:val="21"/>
        </w:rPr>
        <w:t>Dica: Apontar a barra da Prefeitura Municipal e depois a caixa vermelha.</w:t>
      </w:r>
    </w:p>
    <w:p>
      <w:pPr>
        <w:pStyle w:val="Heading2"/>
      </w:pPr>
      <w:r>
        <w:rPr>
          <w:color w:val="12304A"/>
        </w:rPr>
        <w:t>Slide 10: Limitações e riscos observados</w:t>
      </w:r>
    </w:p>
    <w:p>
      <w:r>
        <w:rPr>
          <w:b/>
          <w:color w:val="1B7F8C"/>
        </w:rPr>
        <w:t>12:00 a 13:30  ·  Integrante 4</w:t>
      </w:r>
    </w:p>
    <w:p>
      <w:r>
        <w:t>Limitações e riscos. Um: relato sintético, gerado pelo mesmo modelo que depois o interpreta, o que pode facilitar a tarefa. Dois: o gabarito de prioridade é uma regra, não julgamento de servidores. Três: alucinação residual, com telefones e promessas inventados mesmo com RAG. Quatro: amostra pequena, 90 casos, uma execução, sem intervalo de confiança. Cinco: infraestrutura. A janela de contexto efetiva ficou entre 4 e 8 mil tokens, e não os 32 mil nominais, e o pod do Ollama foi encerrado por falta de memória com 8 GiB, então ampliamos para 16.</w:t>
      </w:r>
    </w:p>
    <w:p>
      <w:r>
        <w:rPr>
          <w:i/>
          <w:color w:val="6B7C8F"/>
          <w:sz w:val="21"/>
        </w:rPr>
        <w:t>Dica: Ler as cinco limitações sem justificar demais; a honestidade conta ponto na avaliação crítica.</w:t>
      </w:r>
    </w:p>
    <w:p>
      <w:pPr>
        <w:pStyle w:val="Heading2"/>
      </w:pPr>
      <w:r>
        <w:rPr>
          <w:color w:val="12304A"/>
        </w:rPr>
        <w:t>Slide 11: Conclusões e melhorias futuras</w:t>
      </w:r>
    </w:p>
    <w:p>
      <w:r>
        <w:rPr>
          <w:b/>
          <w:color w:val="1B7F8C"/>
        </w:rPr>
        <w:t>13:30 a 15:00  ·  Integrante 5, depois todos</w:t>
      </w:r>
    </w:p>
    <w:p>
      <w:r>
        <w:t>Voltando às perguntas do enunciado. Como a solução se comporta na prática? Funciona de ponta a ponta, em infraestrutura própria. Atende ao problema? Em parte: fundamenta bem as citações, 97% contra 6,5%, mas não melhorou a priorização. O aprendizado principal é que a validação humana segue obrigatória e que números devem ser calculados em código. Como melhorias futuras: usar texto real, como pedidos de acesso à informação ou o Brasil Participativo; ter rótulos de prioridade feitos por servidores; calibrar a prioridade com exemplos no prompt; e checar contatos e prazos da minuta automaticamente. Obrigado, ficamos à disposição para perguntas.</w:t>
      </w:r>
    </w:p>
    <w:p>
      <w:r>
        <w:rPr>
          <w:i/>
          <w:color w:val="6B7C8F"/>
          <w:sz w:val="21"/>
        </w:rPr>
        <w:t>Dica: Se o tempo estourar, cortar a segunda metade das melhorias futuras, não os resultados.</w:t>
      </w:r>
    </w:p>
    <w:p>
      <w:r>
        <w:br w:type="page"/>
      </w:r>
    </w:p>
    <w:p>
      <w:pPr>
        <w:pStyle w:val="Heading1"/>
      </w:pPr>
      <w:r>
        <w:rPr>
          <w:color w:val="12304A"/>
        </w:rPr>
        <w:t>Perguntas prováveis da banca e dos colegas</w:t>
      </w:r>
    </w:p>
    <w:p>
      <w:r>
        <w:t>Todos devem conseguir responder. Respostas curtas, sem esconder as limitações.</w:t>
      </w:r>
    </w:p>
    <w:p>
      <w:r>
        <w:rPr>
          <w:b/>
        </w:rPr>
        <w:t>Por que o Qwen3-VL e não o Qwen3-8B de texto?</w:t>
      </w:r>
    </w:p>
    <w:p>
      <w:r>
        <w:t>Era o modelo já disponível no nosso cluster. É uma variante multimodal da mesma família, e usamos só o texto. Os documentos do estudo de caso citam o Qwen3-8B; essa diferença é uma limitação que declaramos.</w:t>
      </w:r>
    </w:p>
    <w:p>
      <w:r>
        <w:rPr>
          <w:b/>
        </w:rPr>
        <w:t>Por que o relato é sintético? Isso não invalida o experimento?</w:t>
      </w:r>
    </w:p>
    <w:p>
      <w:r>
        <w:t>A base do Fala.BR em CSV só traz metadados, sem o texto da manifestação. Gerar o relato permitiu testar o fluxo completo, mas o resultado vale para esse cenário e não para relatos reais. Está nas limitações.</w:t>
      </w:r>
    </w:p>
    <w:p>
      <w:r>
        <w:rPr>
          <w:b/>
        </w:rPr>
        <w:t>Como vocês sabem que a prioridade de referência está certa?</w:t>
      </w:r>
    </w:p>
    <w:p>
      <w:r>
        <w:t>Não sabemos. É uma regra por tipo de manifestação e sensibilidade do assunto. O que medimos é o alinhamento com essa regra. O próximo passo seria rótulos de servidores.</w:t>
      </w:r>
    </w:p>
    <w:p>
      <w:r>
        <w:rPr>
          <w:b/>
        </w:rPr>
        <w:t>Por que o RAG piorou a priorização?</w:t>
      </w:r>
    </w:p>
    <w:p>
      <w:r>
        <w:t>A versão B rebaixou metade dos casos de prioridade alta. Nossa hipótese é que o contexto normativo e o histórico de atraso deixam o modelo mais conservador, mas não testamos. Poderíamos separar a priorização do passo com RAG.</w:t>
      </w:r>
    </w:p>
    <w:p>
      <w:r>
        <w:rPr>
          <w:b/>
        </w:rPr>
        <w:t>E a LGPD, como ficou?</w:t>
      </w:r>
    </w:p>
    <w:p>
      <w:r>
        <w:t>O CSV tem só metadados, como faixa etária, UF e órgão, sem nome nem texto. Mesmo assim, desenhamos para o caso de texto real: o modelo roda em infraestrutura própria e nada é enviado para serviço em nuvem.</w:t>
      </w:r>
    </w:p>
    <w:p>
      <w:r>
        <w:rPr>
          <w:b/>
        </w:rPr>
        <w:t>Dá para confiar nas minutas?</w:t>
      </w:r>
    </w:p>
    <w:p>
      <w:r>
        <w:t>Não sem revisão. O RAG reduziu as citações fora do corpus de 93,5% para 3,1%, mas ainda surgiram telefones e promessas inventados. Por isso a validação humana é parte do desenho.</w:t>
      </w:r>
    </w:p>
    <w:p>
      <w:r>
        <w:rPr>
          <w:b/>
        </w:rPr>
        <w:t>Quanto tempo leva por caso?</w:t>
      </w:r>
    </w:p>
    <w:p>
      <w:r>
        <w:t>Em torno de 25 segundos por caso para gerar o relato e as duas versões, numa RTX 3050, a cerca de 23 tokens por segundo.</w:t>
      </w:r>
    </w:p>
    <w:p>
      <w:pPr>
        <w:pStyle w:val="Heading1"/>
      </w:pPr>
      <w:r>
        <w:rPr>
          <w:color w:val="12304A"/>
        </w:rPr>
        <w:t>Antes de começar</w:t>
      </w:r>
    </w:p>
    <w:p>
      <w:pPr>
        <w:pStyle w:val="ListBullet"/>
      </w:pPr>
      <w:r>
        <w:t>Abrir o apresentacao.pptx no PowerPoint e conferir o layout de todos os slides.</w:t>
      </w:r>
    </w:p>
    <w:p>
      <w:pPr>
        <w:pStyle w:val="ListBullet"/>
      </w:pPr>
      <w:r>
        <w:t>Ter o exemplos.md (pasta saida) e o 03_pipeline.py abertos, caso peçam o prompt ou a minuta completa.</w:t>
      </w:r>
    </w:p>
    <w:p>
      <w:pPr>
        <w:pStyle w:val="ListBullet"/>
      </w:pPr>
      <w:r>
        <w:t>Combinar quem responde cada pergunta: o integrante que falou do tema responde, e os outros complementam.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