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14938" w:type="dxa"/>
        <w:jc w:val="center"/>
        <w:tblLook w:val="04A0" w:firstRow="1" w:lastRow="0" w:firstColumn="1" w:lastColumn="0" w:noHBand="0" w:noVBand="1"/>
      </w:tblPr>
      <w:tblGrid>
        <w:gridCol w:w="786"/>
        <w:gridCol w:w="6435"/>
        <w:gridCol w:w="866"/>
        <w:gridCol w:w="5985"/>
        <w:gridCol w:w="866"/>
      </w:tblGrid>
      <w:tr w:rsidR="008E2DEF" w:rsidRPr="000D4DA0" w14:paraId="7F86E900" w14:textId="77777777" w:rsidTr="008E2DEF">
        <w:trPr>
          <w:jc w:val="center"/>
        </w:trPr>
        <w:tc>
          <w:tcPr>
            <w:tcW w:w="0" w:type="auto"/>
          </w:tcPr>
          <w:p w14:paraId="11B0A8D7" w14:textId="1F16FE4D" w:rsidR="008E2DEF" w:rsidRPr="000D4DA0" w:rsidRDefault="008E2DEF" w:rsidP="00DF582D">
            <w:pPr>
              <w:jc w:val="center"/>
              <w:rPr>
                <w:rFonts w:ascii="Calibri Light" w:hAnsi="Calibri Light" w:cs="Calibri Light"/>
                <w:b/>
                <w:bCs/>
              </w:rPr>
            </w:pPr>
            <w:r w:rsidRPr="000D4DA0">
              <w:rPr>
                <w:rFonts w:ascii="Calibri Light" w:hAnsi="Calibri Light" w:cs="Calibri Light"/>
                <w:b/>
                <w:bCs/>
              </w:rPr>
              <w:t>Linha</w:t>
            </w:r>
          </w:p>
        </w:tc>
        <w:tc>
          <w:tcPr>
            <w:tcW w:w="6435" w:type="dxa"/>
          </w:tcPr>
          <w:p w14:paraId="4149E9C4" w14:textId="77777777" w:rsidR="008E2DEF" w:rsidRPr="000D4DA0" w:rsidRDefault="008E2DEF" w:rsidP="00DF582D">
            <w:pPr>
              <w:jc w:val="center"/>
              <w:rPr>
                <w:rFonts w:ascii="Calibri Light" w:hAnsi="Calibri Light" w:cs="Calibri Light"/>
                <w:b/>
                <w:bCs/>
              </w:rPr>
            </w:pPr>
            <w:r w:rsidRPr="000D4DA0">
              <w:rPr>
                <w:rFonts w:ascii="Calibri Light" w:hAnsi="Calibri Light" w:cs="Calibri Light"/>
                <w:b/>
                <w:bCs/>
              </w:rPr>
              <w:t>Texto original</w:t>
            </w:r>
          </w:p>
        </w:tc>
        <w:tc>
          <w:tcPr>
            <w:tcW w:w="866" w:type="dxa"/>
          </w:tcPr>
          <w:p w14:paraId="4B99DDBE" w14:textId="77777777" w:rsidR="008E2DEF" w:rsidRPr="000D4DA0" w:rsidRDefault="008E2DEF" w:rsidP="00DF582D">
            <w:pPr>
              <w:jc w:val="center"/>
              <w:rPr>
                <w:rFonts w:ascii="Calibri Light" w:hAnsi="Calibri Light" w:cs="Calibri Light"/>
                <w:b/>
                <w:bCs/>
              </w:rPr>
            </w:pPr>
            <w:proofErr w:type="spellStart"/>
            <w:r w:rsidRPr="000D4DA0">
              <w:rPr>
                <w:rFonts w:ascii="Calibri Light" w:hAnsi="Calibri Light" w:cs="Calibri Light"/>
                <w:b/>
                <w:bCs/>
              </w:rPr>
              <w:t>Qtd</w:t>
            </w:r>
            <w:proofErr w:type="spellEnd"/>
            <w:r w:rsidRPr="000D4DA0">
              <w:rPr>
                <w:rFonts w:ascii="Calibri Light" w:hAnsi="Calibri Light" w:cs="Calibri Light"/>
                <w:b/>
                <w:bCs/>
              </w:rPr>
              <w:t xml:space="preserve"> 1</w:t>
            </w:r>
          </w:p>
        </w:tc>
        <w:tc>
          <w:tcPr>
            <w:tcW w:w="5985" w:type="dxa"/>
          </w:tcPr>
          <w:p w14:paraId="68DC9E2F" w14:textId="77777777" w:rsidR="008E2DEF" w:rsidRPr="000D4DA0" w:rsidRDefault="008E2DEF" w:rsidP="00DF582D">
            <w:pPr>
              <w:jc w:val="center"/>
              <w:rPr>
                <w:rFonts w:ascii="Calibri Light" w:hAnsi="Calibri Light" w:cs="Calibri Light"/>
                <w:b/>
                <w:bCs/>
              </w:rPr>
            </w:pPr>
            <w:r w:rsidRPr="000D4DA0">
              <w:rPr>
                <w:rFonts w:ascii="Calibri Light" w:hAnsi="Calibri Light" w:cs="Calibri Light"/>
                <w:b/>
                <w:bCs/>
              </w:rPr>
              <w:t>Texto traduzido</w:t>
            </w:r>
          </w:p>
        </w:tc>
        <w:tc>
          <w:tcPr>
            <w:tcW w:w="866" w:type="dxa"/>
          </w:tcPr>
          <w:p w14:paraId="72AD5AF2" w14:textId="77777777" w:rsidR="008E2DEF" w:rsidRPr="000D4DA0" w:rsidRDefault="008E2DEF" w:rsidP="00DF582D">
            <w:pPr>
              <w:jc w:val="center"/>
              <w:rPr>
                <w:rFonts w:ascii="Calibri Light" w:hAnsi="Calibri Light" w:cs="Calibri Light"/>
                <w:b/>
                <w:bCs/>
              </w:rPr>
            </w:pPr>
            <w:proofErr w:type="spellStart"/>
            <w:r w:rsidRPr="000D4DA0">
              <w:rPr>
                <w:rFonts w:ascii="Calibri Light" w:hAnsi="Calibri Light" w:cs="Calibri Light"/>
                <w:b/>
                <w:bCs/>
              </w:rPr>
              <w:t>Qtd</w:t>
            </w:r>
            <w:proofErr w:type="spellEnd"/>
            <w:r w:rsidRPr="000D4DA0">
              <w:rPr>
                <w:rFonts w:ascii="Calibri Light" w:hAnsi="Calibri Light" w:cs="Calibri Light"/>
                <w:b/>
                <w:bCs/>
              </w:rPr>
              <w:t xml:space="preserve"> 2</w:t>
            </w:r>
          </w:p>
        </w:tc>
      </w:tr>
      <w:tr w:rsidR="008E2DEF" w:rsidRPr="000D4DA0" w14:paraId="6293A79B" w14:textId="77777777" w:rsidTr="008E2DEF">
        <w:trPr>
          <w:jc w:val="center"/>
        </w:trPr>
        <w:tc>
          <w:tcPr>
            <w:tcW w:w="0" w:type="auto"/>
          </w:tcPr>
          <w:p w14:paraId="75A5A533"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 xml:space="preserve">    1</w:t>
            </w:r>
          </w:p>
        </w:tc>
        <w:tc>
          <w:tcPr>
            <w:tcW w:w="6435" w:type="dxa"/>
          </w:tcPr>
          <w:p w14:paraId="6EBF8DA3" w14:textId="77777777" w:rsidR="008E2DEF" w:rsidRPr="000D4DA0" w:rsidRDefault="008E2DEF" w:rsidP="00DF582D">
            <w:pPr>
              <w:jc w:val="both"/>
              <w:rPr>
                <w:rFonts w:ascii="Calibri Light" w:hAnsi="Calibri Light" w:cs="Calibri Light"/>
                <w:b/>
                <w:bCs/>
                <w:sz w:val="32"/>
                <w:szCs w:val="32"/>
              </w:rPr>
            </w:pPr>
            <w:r w:rsidRPr="000D4DA0">
              <w:rPr>
                <w:rFonts w:ascii="Calibri Light" w:hAnsi="Calibri Light" w:cs="Calibri Light"/>
                <w:b/>
                <w:bCs/>
                <w:sz w:val="32"/>
                <w:szCs w:val="32"/>
              </w:rPr>
              <w:t>Conclusão</w:t>
            </w:r>
          </w:p>
        </w:tc>
        <w:tc>
          <w:tcPr>
            <w:tcW w:w="866" w:type="dxa"/>
          </w:tcPr>
          <w:p w14:paraId="45A986A6"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1</w:t>
            </w:r>
          </w:p>
        </w:tc>
        <w:tc>
          <w:tcPr>
            <w:tcW w:w="5985" w:type="dxa"/>
          </w:tcPr>
          <w:p w14:paraId="139F5F74" w14:textId="77777777" w:rsidR="008E2DEF" w:rsidRPr="000D4DA0" w:rsidRDefault="008E2DEF" w:rsidP="00DF582D">
            <w:pPr>
              <w:jc w:val="both"/>
              <w:rPr>
                <w:rFonts w:ascii="Calibri Light" w:hAnsi="Calibri Light" w:cs="Calibri Light"/>
              </w:rPr>
            </w:pPr>
            <w:proofErr w:type="spellStart"/>
            <w:r w:rsidRPr="000D4DA0">
              <w:rPr>
                <w:rFonts w:ascii="Calibri Light" w:hAnsi="Calibri Light" w:cs="Calibri Light"/>
                <w:b/>
                <w:bCs/>
                <w:sz w:val="32"/>
                <w:szCs w:val="32"/>
              </w:rPr>
              <w:t>Conclusion</w:t>
            </w:r>
            <w:proofErr w:type="spellEnd"/>
          </w:p>
        </w:tc>
        <w:tc>
          <w:tcPr>
            <w:tcW w:w="866" w:type="dxa"/>
          </w:tcPr>
          <w:p w14:paraId="641DB41D"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1</w:t>
            </w:r>
          </w:p>
        </w:tc>
      </w:tr>
      <w:tr w:rsidR="008E2DEF" w:rsidRPr="000D4DA0" w14:paraId="6AF23B17" w14:textId="77777777" w:rsidTr="008E2DEF">
        <w:trPr>
          <w:jc w:val="center"/>
        </w:trPr>
        <w:tc>
          <w:tcPr>
            <w:tcW w:w="0" w:type="auto"/>
          </w:tcPr>
          <w:p w14:paraId="5591D4CD"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 xml:space="preserve">    2</w:t>
            </w:r>
          </w:p>
        </w:tc>
        <w:tc>
          <w:tcPr>
            <w:tcW w:w="6435" w:type="dxa"/>
          </w:tcPr>
          <w:p w14:paraId="569DA11A"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Esta pesquisa resultou em um conjunto de argumentos favoráveis à legitimidade científica e epistemológica do método Grumbach de planejamento estratégico e, por extensão, à metodologia de planejamento por cenários.</w:t>
            </w:r>
          </w:p>
        </w:tc>
        <w:tc>
          <w:tcPr>
            <w:tcW w:w="866" w:type="dxa"/>
          </w:tcPr>
          <w:p w14:paraId="783A3A1C"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28</w:t>
            </w:r>
          </w:p>
        </w:tc>
        <w:tc>
          <w:tcPr>
            <w:tcW w:w="5985" w:type="dxa"/>
          </w:tcPr>
          <w:p w14:paraId="6CD431F0"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This research resulted in a set of arguments supporting the scientific and epistemological legitimacy of the Grumbach method of strategic planning and, by extension, the scenario planning methodology.</w:t>
            </w:r>
          </w:p>
        </w:tc>
        <w:tc>
          <w:tcPr>
            <w:tcW w:w="866" w:type="dxa"/>
          </w:tcPr>
          <w:p w14:paraId="238CC870"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27</w:t>
            </w:r>
          </w:p>
        </w:tc>
      </w:tr>
      <w:tr w:rsidR="008E2DEF" w:rsidRPr="000D4DA0" w14:paraId="3B7A5F9D" w14:textId="77777777" w:rsidTr="008E2DEF">
        <w:trPr>
          <w:jc w:val="center"/>
        </w:trPr>
        <w:tc>
          <w:tcPr>
            <w:tcW w:w="0" w:type="auto"/>
          </w:tcPr>
          <w:p w14:paraId="69D1C95B"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 xml:space="preserve">    3</w:t>
            </w:r>
          </w:p>
        </w:tc>
        <w:tc>
          <w:tcPr>
            <w:tcW w:w="6435" w:type="dxa"/>
          </w:tcPr>
          <w:p w14:paraId="30268665"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A fundamentação teórica da legitimidade científica foi desenvolvida sob o tradicional método cartesiano.</w:t>
            </w:r>
          </w:p>
        </w:tc>
        <w:tc>
          <w:tcPr>
            <w:tcW w:w="866" w:type="dxa"/>
          </w:tcPr>
          <w:p w14:paraId="50FE9E77"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12</w:t>
            </w:r>
          </w:p>
        </w:tc>
        <w:tc>
          <w:tcPr>
            <w:tcW w:w="5985" w:type="dxa"/>
          </w:tcPr>
          <w:p w14:paraId="531229E6"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The theoretical foundation of scientific legitimacy was developed under the traditional Cartesian method.</w:t>
            </w:r>
          </w:p>
        </w:tc>
        <w:tc>
          <w:tcPr>
            <w:tcW w:w="866" w:type="dxa"/>
          </w:tcPr>
          <w:p w14:paraId="7ADE4141"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11</w:t>
            </w:r>
          </w:p>
        </w:tc>
      </w:tr>
      <w:tr w:rsidR="008E2DEF" w:rsidRPr="000D4DA0" w14:paraId="2CBB0386" w14:textId="77777777" w:rsidTr="008E2DEF">
        <w:trPr>
          <w:jc w:val="center"/>
        </w:trPr>
        <w:tc>
          <w:tcPr>
            <w:tcW w:w="0" w:type="auto"/>
          </w:tcPr>
          <w:p w14:paraId="60B2CD65"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 xml:space="preserve">    4</w:t>
            </w:r>
          </w:p>
        </w:tc>
        <w:tc>
          <w:tcPr>
            <w:tcW w:w="6435" w:type="dxa"/>
          </w:tcPr>
          <w:p w14:paraId="467E80D8"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Enquanto a da legitimidade epistemológica se fez sob a ótica de Karl Popper, principalmente.</w:t>
            </w:r>
          </w:p>
        </w:tc>
        <w:tc>
          <w:tcPr>
            <w:tcW w:w="866" w:type="dxa"/>
          </w:tcPr>
          <w:p w14:paraId="7E21C08C"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13</w:t>
            </w:r>
          </w:p>
        </w:tc>
        <w:tc>
          <w:tcPr>
            <w:tcW w:w="5985" w:type="dxa"/>
          </w:tcPr>
          <w:p w14:paraId="6FE4B225"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Meanwhile, epistemological legitimacy was mainly approached from the perspective of Karl Popper.</w:t>
            </w:r>
          </w:p>
        </w:tc>
        <w:tc>
          <w:tcPr>
            <w:tcW w:w="866" w:type="dxa"/>
          </w:tcPr>
          <w:p w14:paraId="339315E0"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13</w:t>
            </w:r>
          </w:p>
        </w:tc>
      </w:tr>
      <w:tr w:rsidR="008E2DEF" w:rsidRPr="000D4DA0" w14:paraId="6B32B791" w14:textId="77777777" w:rsidTr="008E2DEF">
        <w:trPr>
          <w:jc w:val="center"/>
        </w:trPr>
        <w:tc>
          <w:tcPr>
            <w:tcW w:w="0" w:type="auto"/>
          </w:tcPr>
          <w:p w14:paraId="1D82FAA8"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 xml:space="preserve">    5</w:t>
            </w:r>
          </w:p>
        </w:tc>
        <w:tc>
          <w:tcPr>
            <w:tcW w:w="6435" w:type="dxa"/>
          </w:tcPr>
          <w:p w14:paraId="44D6C3BE"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A investigação gerou:</w:t>
            </w:r>
          </w:p>
        </w:tc>
        <w:tc>
          <w:tcPr>
            <w:tcW w:w="866" w:type="dxa"/>
          </w:tcPr>
          <w:p w14:paraId="7E201926"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3</w:t>
            </w:r>
          </w:p>
        </w:tc>
        <w:tc>
          <w:tcPr>
            <w:tcW w:w="5985" w:type="dxa"/>
          </w:tcPr>
          <w:p w14:paraId="3071D1CC"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 xml:space="preserve">The </w:t>
            </w:r>
            <w:proofErr w:type="spellStart"/>
            <w:r w:rsidRPr="000D4DA0">
              <w:rPr>
                <w:rFonts w:ascii="Calibri Light" w:hAnsi="Calibri Light" w:cs="Calibri Light"/>
              </w:rPr>
              <w:t>investigation</w:t>
            </w:r>
            <w:proofErr w:type="spellEnd"/>
            <w:r w:rsidRPr="000D4DA0">
              <w:rPr>
                <w:rFonts w:ascii="Calibri Light" w:hAnsi="Calibri Light" w:cs="Calibri Light"/>
              </w:rPr>
              <w:t xml:space="preserve"> </w:t>
            </w:r>
            <w:proofErr w:type="spellStart"/>
            <w:r w:rsidRPr="000D4DA0">
              <w:rPr>
                <w:rFonts w:ascii="Calibri Light" w:hAnsi="Calibri Light" w:cs="Calibri Light"/>
              </w:rPr>
              <w:t>produced</w:t>
            </w:r>
            <w:proofErr w:type="spellEnd"/>
            <w:r w:rsidRPr="000D4DA0">
              <w:rPr>
                <w:rFonts w:ascii="Calibri Light" w:hAnsi="Calibri Light" w:cs="Calibri Light"/>
              </w:rPr>
              <w:t>:</w:t>
            </w:r>
          </w:p>
        </w:tc>
        <w:tc>
          <w:tcPr>
            <w:tcW w:w="866" w:type="dxa"/>
          </w:tcPr>
          <w:p w14:paraId="198A56DA"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3</w:t>
            </w:r>
          </w:p>
        </w:tc>
      </w:tr>
      <w:tr w:rsidR="008E2DEF" w:rsidRPr="000D4DA0" w14:paraId="592663DC" w14:textId="77777777" w:rsidTr="008E2DEF">
        <w:trPr>
          <w:jc w:val="center"/>
        </w:trPr>
        <w:tc>
          <w:tcPr>
            <w:tcW w:w="0" w:type="auto"/>
          </w:tcPr>
          <w:p w14:paraId="13B935BB"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 xml:space="preserve">    6</w:t>
            </w:r>
          </w:p>
        </w:tc>
        <w:tc>
          <w:tcPr>
            <w:tcW w:w="6435" w:type="dxa"/>
          </w:tcPr>
          <w:p w14:paraId="434F0ABE"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uma lista de conceitos essenciais sobre planejamento por cenários;</w:t>
            </w:r>
          </w:p>
        </w:tc>
        <w:tc>
          <w:tcPr>
            <w:tcW w:w="866" w:type="dxa"/>
          </w:tcPr>
          <w:p w14:paraId="4A5C039F"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10</w:t>
            </w:r>
          </w:p>
        </w:tc>
        <w:tc>
          <w:tcPr>
            <w:tcW w:w="5985" w:type="dxa"/>
          </w:tcPr>
          <w:p w14:paraId="4703DA7B"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a list of essential concepts about scenario planning;</w:t>
            </w:r>
          </w:p>
        </w:tc>
        <w:tc>
          <w:tcPr>
            <w:tcW w:w="866" w:type="dxa"/>
          </w:tcPr>
          <w:p w14:paraId="79E173DA"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9</w:t>
            </w:r>
          </w:p>
        </w:tc>
      </w:tr>
      <w:tr w:rsidR="008E2DEF" w:rsidRPr="000D4DA0" w14:paraId="45782330" w14:textId="77777777" w:rsidTr="008E2DEF">
        <w:trPr>
          <w:jc w:val="center"/>
        </w:trPr>
        <w:tc>
          <w:tcPr>
            <w:tcW w:w="0" w:type="auto"/>
          </w:tcPr>
          <w:p w14:paraId="30D1DDE4"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 xml:space="preserve">    7</w:t>
            </w:r>
          </w:p>
        </w:tc>
        <w:tc>
          <w:tcPr>
            <w:tcW w:w="6435" w:type="dxa"/>
          </w:tcPr>
          <w:p w14:paraId="7E3A4E0A"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uma lista de desafios céticos;</w:t>
            </w:r>
          </w:p>
        </w:tc>
        <w:tc>
          <w:tcPr>
            <w:tcW w:w="866" w:type="dxa"/>
          </w:tcPr>
          <w:p w14:paraId="1DD0CA26"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6</w:t>
            </w:r>
          </w:p>
        </w:tc>
        <w:tc>
          <w:tcPr>
            <w:tcW w:w="5985" w:type="dxa"/>
          </w:tcPr>
          <w:p w14:paraId="6DE7D8A9"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a list of skeptical challenges;</w:t>
            </w:r>
          </w:p>
        </w:tc>
        <w:tc>
          <w:tcPr>
            <w:tcW w:w="866" w:type="dxa"/>
          </w:tcPr>
          <w:p w14:paraId="726FC8D2"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5</w:t>
            </w:r>
          </w:p>
        </w:tc>
      </w:tr>
      <w:tr w:rsidR="008E2DEF" w:rsidRPr="000D4DA0" w14:paraId="6FBBDD04" w14:textId="77777777" w:rsidTr="008E2DEF">
        <w:trPr>
          <w:jc w:val="center"/>
        </w:trPr>
        <w:tc>
          <w:tcPr>
            <w:tcW w:w="0" w:type="auto"/>
          </w:tcPr>
          <w:p w14:paraId="2CEACEDE"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 xml:space="preserve">    8</w:t>
            </w:r>
          </w:p>
        </w:tc>
        <w:tc>
          <w:tcPr>
            <w:tcW w:w="6435" w:type="dxa"/>
          </w:tcPr>
          <w:p w14:paraId="470ED9BD"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um glossário essencial;</w:t>
            </w:r>
          </w:p>
        </w:tc>
        <w:tc>
          <w:tcPr>
            <w:tcW w:w="866" w:type="dxa"/>
          </w:tcPr>
          <w:p w14:paraId="1FC3FF41"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3</w:t>
            </w:r>
          </w:p>
        </w:tc>
        <w:tc>
          <w:tcPr>
            <w:tcW w:w="5985" w:type="dxa"/>
          </w:tcPr>
          <w:p w14:paraId="3D24210D" w14:textId="77777777" w:rsidR="008E2DEF" w:rsidRPr="000D4DA0" w:rsidRDefault="008E2DEF" w:rsidP="00DF582D">
            <w:pPr>
              <w:jc w:val="both"/>
              <w:rPr>
                <w:rFonts w:ascii="Calibri Light" w:hAnsi="Calibri Light" w:cs="Calibri Light"/>
              </w:rPr>
            </w:pPr>
            <w:proofErr w:type="spellStart"/>
            <w:r w:rsidRPr="000D4DA0">
              <w:rPr>
                <w:rFonts w:ascii="Calibri Light" w:hAnsi="Calibri Light" w:cs="Calibri Light"/>
              </w:rPr>
              <w:t>an</w:t>
            </w:r>
            <w:proofErr w:type="spellEnd"/>
            <w:r w:rsidRPr="000D4DA0">
              <w:rPr>
                <w:rFonts w:ascii="Calibri Light" w:hAnsi="Calibri Light" w:cs="Calibri Light"/>
              </w:rPr>
              <w:t xml:space="preserve"> </w:t>
            </w:r>
            <w:proofErr w:type="spellStart"/>
            <w:r w:rsidRPr="000D4DA0">
              <w:rPr>
                <w:rFonts w:ascii="Calibri Light" w:hAnsi="Calibri Light" w:cs="Calibri Light"/>
              </w:rPr>
              <w:t>essential</w:t>
            </w:r>
            <w:proofErr w:type="spellEnd"/>
            <w:r w:rsidRPr="000D4DA0">
              <w:rPr>
                <w:rFonts w:ascii="Calibri Light" w:hAnsi="Calibri Light" w:cs="Calibri Light"/>
              </w:rPr>
              <w:t xml:space="preserve"> </w:t>
            </w:r>
            <w:proofErr w:type="spellStart"/>
            <w:r w:rsidRPr="000D4DA0">
              <w:rPr>
                <w:rFonts w:ascii="Calibri Light" w:hAnsi="Calibri Light" w:cs="Calibri Light"/>
              </w:rPr>
              <w:t>glossary</w:t>
            </w:r>
            <w:proofErr w:type="spellEnd"/>
            <w:r w:rsidRPr="000D4DA0">
              <w:rPr>
                <w:rFonts w:ascii="Calibri Light" w:hAnsi="Calibri Light" w:cs="Calibri Light"/>
              </w:rPr>
              <w:t>;</w:t>
            </w:r>
          </w:p>
        </w:tc>
        <w:tc>
          <w:tcPr>
            <w:tcW w:w="866" w:type="dxa"/>
          </w:tcPr>
          <w:p w14:paraId="2E14D1A8"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3</w:t>
            </w:r>
          </w:p>
        </w:tc>
      </w:tr>
      <w:tr w:rsidR="008E2DEF" w:rsidRPr="000D4DA0" w14:paraId="1515F149" w14:textId="77777777" w:rsidTr="008E2DEF">
        <w:trPr>
          <w:jc w:val="center"/>
        </w:trPr>
        <w:tc>
          <w:tcPr>
            <w:tcW w:w="0" w:type="auto"/>
          </w:tcPr>
          <w:p w14:paraId="151ACB22"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 xml:space="preserve">    9</w:t>
            </w:r>
          </w:p>
        </w:tc>
        <w:tc>
          <w:tcPr>
            <w:tcW w:w="6435" w:type="dxa"/>
          </w:tcPr>
          <w:p w14:paraId="3FEF8163"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um conjunto de premissas para avaliar a cientificidade do método investigado;</w:t>
            </w:r>
          </w:p>
        </w:tc>
        <w:tc>
          <w:tcPr>
            <w:tcW w:w="866" w:type="dxa"/>
          </w:tcPr>
          <w:p w14:paraId="624388FB"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11</w:t>
            </w:r>
          </w:p>
        </w:tc>
        <w:tc>
          <w:tcPr>
            <w:tcW w:w="5985" w:type="dxa"/>
          </w:tcPr>
          <w:p w14:paraId="53EAF31A"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a set of premises to assess the scientific nature of the investigated method;</w:t>
            </w:r>
          </w:p>
        </w:tc>
        <w:tc>
          <w:tcPr>
            <w:tcW w:w="866" w:type="dxa"/>
          </w:tcPr>
          <w:p w14:paraId="777D1830"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12</w:t>
            </w:r>
          </w:p>
        </w:tc>
      </w:tr>
      <w:tr w:rsidR="008E2DEF" w:rsidRPr="000D4DA0" w14:paraId="6DAAEBEB" w14:textId="77777777" w:rsidTr="008E2DEF">
        <w:trPr>
          <w:jc w:val="center"/>
        </w:trPr>
        <w:tc>
          <w:tcPr>
            <w:tcW w:w="0" w:type="auto"/>
          </w:tcPr>
          <w:p w14:paraId="05D63D23"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 xml:space="preserve">    10</w:t>
            </w:r>
          </w:p>
        </w:tc>
        <w:tc>
          <w:tcPr>
            <w:tcW w:w="6435" w:type="dxa"/>
          </w:tcPr>
          <w:p w14:paraId="06F4235D"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um conjunto de pressupostos que apoiariam a representatividade do método em relação à metodologia;</w:t>
            </w:r>
          </w:p>
        </w:tc>
        <w:tc>
          <w:tcPr>
            <w:tcW w:w="866" w:type="dxa"/>
          </w:tcPr>
          <w:p w14:paraId="5EFD4A60"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13</w:t>
            </w:r>
          </w:p>
        </w:tc>
        <w:tc>
          <w:tcPr>
            <w:tcW w:w="5985" w:type="dxa"/>
          </w:tcPr>
          <w:p w14:paraId="361B296E"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a set of assumptions that would support the representativeness of the method in relation to the methodology;</w:t>
            </w:r>
          </w:p>
        </w:tc>
        <w:tc>
          <w:tcPr>
            <w:tcW w:w="866" w:type="dxa"/>
          </w:tcPr>
          <w:p w14:paraId="4B1131A9"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14</w:t>
            </w:r>
          </w:p>
        </w:tc>
      </w:tr>
      <w:tr w:rsidR="008E2DEF" w:rsidRPr="000D4DA0" w14:paraId="5027B1F9" w14:textId="77777777" w:rsidTr="008E2DEF">
        <w:trPr>
          <w:jc w:val="center"/>
        </w:trPr>
        <w:tc>
          <w:tcPr>
            <w:tcW w:w="0" w:type="auto"/>
          </w:tcPr>
          <w:p w14:paraId="51299A2B"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 xml:space="preserve">    11</w:t>
            </w:r>
          </w:p>
        </w:tc>
        <w:tc>
          <w:tcPr>
            <w:tcW w:w="6435" w:type="dxa"/>
          </w:tcPr>
          <w:p w14:paraId="440C50F1"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uma tabela de variáveis relacionando os preceitos do método cartesiano a cada etapa do método investigado;</w:t>
            </w:r>
          </w:p>
        </w:tc>
        <w:tc>
          <w:tcPr>
            <w:tcW w:w="866" w:type="dxa"/>
          </w:tcPr>
          <w:p w14:paraId="278A07EB"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15</w:t>
            </w:r>
          </w:p>
        </w:tc>
        <w:tc>
          <w:tcPr>
            <w:tcW w:w="5985" w:type="dxa"/>
          </w:tcPr>
          <w:p w14:paraId="755E7817"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a table of variables relating the precepts of the Cartesian method to each stage of the investigated method;</w:t>
            </w:r>
          </w:p>
        </w:tc>
        <w:tc>
          <w:tcPr>
            <w:tcW w:w="866" w:type="dxa"/>
          </w:tcPr>
          <w:p w14:paraId="443213A0"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16</w:t>
            </w:r>
          </w:p>
        </w:tc>
      </w:tr>
      <w:tr w:rsidR="008E2DEF" w:rsidRPr="000D4DA0" w14:paraId="0C35E7FC" w14:textId="77777777" w:rsidTr="008E2DEF">
        <w:trPr>
          <w:jc w:val="center"/>
        </w:trPr>
        <w:tc>
          <w:tcPr>
            <w:tcW w:w="0" w:type="auto"/>
          </w:tcPr>
          <w:p w14:paraId="1DE376EC"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 xml:space="preserve">    12</w:t>
            </w:r>
          </w:p>
        </w:tc>
        <w:tc>
          <w:tcPr>
            <w:tcW w:w="6435" w:type="dxa"/>
          </w:tcPr>
          <w:p w14:paraId="3A5610EE"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uma lista de questões para rastrear cada etapa do método investigado, avaliar o controle sobre os dados usados e gerados, bem como as técnicas para enunciar hipóteses e evidências;</w:t>
            </w:r>
          </w:p>
        </w:tc>
        <w:tc>
          <w:tcPr>
            <w:tcW w:w="866" w:type="dxa"/>
          </w:tcPr>
          <w:p w14:paraId="12D44218"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27</w:t>
            </w:r>
          </w:p>
        </w:tc>
        <w:tc>
          <w:tcPr>
            <w:tcW w:w="5985" w:type="dxa"/>
          </w:tcPr>
          <w:p w14:paraId="73F85F11"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a list of questions to track each stage of the investigated method, evaluate the control over the data used and generated, as well as the techniques for stating hypotheses and evidence;</w:t>
            </w:r>
          </w:p>
        </w:tc>
        <w:tc>
          <w:tcPr>
            <w:tcW w:w="866" w:type="dxa"/>
          </w:tcPr>
          <w:p w14:paraId="1A6412E7"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27</w:t>
            </w:r>
          </w:p>
        </w:tc>
      </w:tr>
      <w:tr w:rsidR="008E2DEF" w:rsidRPr="000D4DA0" w14:paraId="5C6E9F0E" w14:textId="77777777" w:rsidTr="008E2DEF">
        <w:trPr>
          <w:jc w:val="center"/>
        </w:trPr>
        <w:tc>
          <w:tcPr>
            <w:tcW w:w="0" w:type="auto"/>
          </w:tcPr>
          <w:p w14:paraId="0B116DA4"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 xml:space="preserve">    13</w:t>
            </w:r>
          </w:p>
        </w:tc>
        <w:tc>
          <w:tcPr>
            <w:tcW w:w="6435" w:type="dxa"/>
          </w:tcPr>
          <w:p w14:paraId="36A7DDCF"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uma tabela de variáveis sobre critérios de credibilidade dos dados gerados em cada etapa do método investigado.</w:t>
            </w:r>
          </w:p>
        </w:tc>
        <w:tc>
          <w:tcPr>
            <w:tcW w:w="866" w:type="dxa"/>
          </w:tcPr>
          <w:p w14:paraId="60F50EA3"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16</w:t>
            </w:r>
          </w:p>
        </w:tc>
        <w:tc>
          <w:tcPr>
            <w:tcW w:w="5985" w:type="dxa"/>
          </w:tcPr>
          <w:p w14:paraId="343F6526"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a table of variables on criteria for the credibility of the data generated at each stage of the investigated method.</w:t>
            </w:r>
          </w:p>
        </w:tc>
        <w:tc>
          <w:tcPr>
            <w:tcW w:w="866" w:type="dxa"/>
          </w:tcPr>
          <w:p w14:paraId="7F1825C9"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18</w:t>
            </w:r>
          </w:p>
        </w:tc>
      </w:tr>
      <w:tr w:rsidR="008E2DEF" w:rsidRPr="000D4DA0" w14:paraId="5BDD4F4D" w14:textId="77777777" w:rsidTr="008E2DEF">
        <w:trPr>
          <w:jc w:val="center"/>
        </w:trPr>
        <w:tc>
          <w:tcPr>
            <w:tcW w:w="0" w:type="auto"/>
          </w:tcPr>
          <w:p w14:paraId="1AD8D2DA"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lastRenderedPageBreak/>
              <w:t xml:space="preserve">    14</w:t>
            </w:r>
          </w:p>
        </w:tc>
        <w:tc>
          <w:tcPr>
            <w:tcW w:w="6435" w:type="dxa"/>
          </w:tcPr>
          <w:p w14:paraId="0B1DA4DA"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O estudo identificou lacunas na documentação do método Grumbach.</w:t>
            </w:r>
          </w:p>
        </w:tc>
        <w:tc>
          <w:tcPr>
            <w:tcW w:w="866" w:type="dxa"/>
          </w:tcPr>
          <w:p w14:paraId="0B4A06C1"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9</w:t>
            </w:r>
          </w:p>
        </w:tc>
        <w:tc>
          <w:tcPr>
            <w:tcW w:w="5985" w:type="dxa"/>
          </w:tcPr>
          <w:p w14:paraId="31F1DF80"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The study identified gaps in the documentation of the Grumbach method.</w:t>
            </w:r>
          </w:p>
        </w:tc>
        <w:tc>
          <w:tcPr>
            <w:tcW w:w="866" w:type="dxa"/>
          </w:tcPr>
          <w:p w14:paraId="2717EC9F"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11</w:t>
            </w:r>
          </w:p>
        </w:tc>
      </w:tr>
      <w:tr w:rsidR="008E2DEF" w:rsidRPr="000D4DA0" w14:paraId="5DCE0212" w14:textId="77777777" w:rsidTr="008E2DEF">
        <w:trPr>
          <w:jc w:val="center"/>
        </w:trPr>
        <w:tc>
          <w:tcPr>
            <w:tcW w:w="0" w:type="auto"/>
          </w:tcPr>
          <w:p w14:paraId="54381802"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 xml:space="preserve">    15</w:t>
            </w:r>
          </w:p>
        </w:tc>
        <w:tc>
          <w:tcPr>
            <w:tcW w:w="6435" w:type="dxa"/>
          </w:tcPr>
          <w:p w14:paraId="06FDF92B"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Elas se justificam pelo seu viés comercial (não científico) e são supridas na fase de preparação das atividades, prevista na documentação — sem prejuízo para as atividades, portanto.</w:t>
            </w:r>
          </w:p>
        </w:tc>
        <w:tc>
          <w:tcPr>
            <w:tcW w:w="866" w:type="dxa"/>
          </w:tcPr>
          <w:p w14:paraId="584CA470"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27</w:t>
            </w:r>
          </w:p>
        </w:tc>
        <w:tc>
          <w:tcPr>
            <w:tcW w:w="5985" w:type="dxa"/>
          </w:tcPr>
          <w:p w14:paraId="0F4D30E9"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 xml:space="preserve">They are justified by </w:t>
            </w:r>
            <w:proofErr w:type="gramStart"/>
            <w:r w:rsidRPr="000D4DA0">
              <w:rPr>
                <w:rFonts w:ascii="Calibri Light" w:hAnsi="Calibri Light" w:cs="Calibri Light"/>
                <w:lang w:val="en-US"/>
              </w:rPr>
              <w:t>its</w:t>
            </w:r>
            <w:proofErr w:type="gramEnd"/>
            <w:r w:rsidRPr="000D4DA0">
              <w:rPr>
                <w:rFonts w:ascii="Calibri Light" w:hAnsi="Calibri Light" w:cs="Calibri Light"/>
                <w:lang w:val="en-US"/>
              </w:rPr>
              <w:t xml:space="preserve"> commercial (non-scientific) bias and are addressed in the preparation phase of activities, as provided in the documentation—without prejudice to the activities, therefore.</w:t>
            </w:r>
          </w:p>
        </w:tc>
        <w:tc>
          <w:tcPr>
            <w:tcW w:w="866" w:type="dxa"/>
          </w:tcPr>
          <w:p w14:paraId="1F5A146B"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28</w:t>
            </w:r>
          </w:p>
        </w:tc>
      </w:tr>
      <w:tr w:rsidR="008E2DEF" w:rsidRPr="000D4DA0" w14:paraId="4C9A0E61" w14:textId="77777777" w:rsidTr="008E2DEF">
        <w:trPr>
          <w:jc w:val="center"/>
        </w:trPr>
        <w:tc>
          <w:tcPr>
            <w:tcW w:w="0" w:type="auto"/>
          </w:tcPr>
          <w:p w14:paraId="43324508"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 xml:space="preserve">    16</w:t>
            </w:r>
          </w:p>
        </w:tc>
        <w:tc>
          <w:tcPr>
            <w:tcW w:w="6435" w:type="dxa"/>
          </w:tcPr>
          <w:p w14:paraId="7A8F0B3C"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Resultados parciais do estudo observam que:</w:t>
            </w:r>
          </w:p>
        </w:tc>
        <w:tc>
          <w:tcPr>
            <w:tcW w:w="866" w:type="dxa"/>
          </w:tcPr>
          <w:p w14:paraId="5CAEFA00"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6</w:t>
            </w:r>
          </w:p>
        </w:tc>
        <w:tc>
          <w:tcPr>
            <w:tcW w:w="5985" w:type="dxa"/>
          </w:tcPr>
          <w:p w14:paraId="3FB9BFEC"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Partial results of the study note that:</w:t>
            </w:r>
          </w:p>
        </w:tc>
        <w:tc>
          <w:tcPr>
            <w:tcW w:w="866" w:type="dxa"/>
          </w:tcPr>
          <w:p w14:paraId="5404861E"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7</w:t>
            </w:r>
          </w:p>
        </w:tc>
      </w:tr>
      <w:tr w:rsidR="008E2DEF" w:rsidRPr="000D4DA0" w14:paraId="72CCD074" w14:textId="77777777" w:rsidTr="008E2DEF">
        <w:trPr>
          <w:jc w:val="center"/>
        </w:trPr>
        <w:tc>
          <w:tcPr>
            <w:tcW w:w="0" w:type="auto"/>
          </w:tcPr>
          <w:p w14:paraId="4D268524"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 xml:space="preserve">    17</w:t>
            </w:r>
          </w:p>
        </w:tc>
        <w:tc>
          <w:tcPr>
            <w:tcW w:w="6435" w:type="dxa"/>
          </w:tcPr>
          <w:p w14:paraId="59CE911D"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em cada uma das etapas do método investigado foram evidenciados todos os preceitos do método cartesiano;</w:t>
            </w:r>
          </w:p>
        </w:tc>
        <w:tc>
          <w:tcPr>
            <w:tcW w:w="866" w:type="dxa"/>
          </w:tcPr>
          <w:p w14:paraId="64A1F9F9"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17</w:t>
            </w:r>
          </w:p>
        </w:tc>
        <w:tc>
          <w:tcPr>
            <w:tcW w:w="5985" w:type="dxa"/>
          </w:tcPr>
          <w:p w14:paraId="34FFA9A3"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 xml:space="preserve">in each stage of the </w:t>
            </w:r>
            <w:proofErr w:type="gramStart"/>
            <w:r w:rsidRPr="000D4DA0">
              <w:rPr>
                <w:rFonts w:ascii="Calibri Light" w:hAnsi="Calibri Light" w:cs="Calibri Light"/>
                <w:lang w:val="en-US"/>
              </w:rPr>
              <w:t>investigated method</w:t>
            </w:r>
            <w:proofErr w:type="gramEnd"/>
            <w:r w:rsidRPr="000D4DA0">
              <w:rPr>
                <w:rFonts w:ascii="Calibri Light" w:hAnsi="Calibri Light" w:cs="Calibri Light"/>
                <w:lang w:val="en-US"/>
              </w:rPr>
              <w:t>, all precepts of the Cartesian method were evidenced;</w:t>
            </w:r>
          </w:p>
        </w:tc>
        <w:tc>
          <w:tcPr>
            <w:tcW w:w="866" w:type="dxa"/>
          </w:tcPr>
          <w:p w14:paraId="4F1BA66F"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16</w:t>
            </w:r>
          </w:p>
        </w:tc>
      </w:tr>
      <w:tr w:rsidR="008E2DEF" w:rsidRPr="000D4DA0" w14:paraId="381F893B" w14:textId="77777777" w:rsidTr="008E2DEF">
        <w:trPr>
          <w:jc w:val="center"/>
        </w:trPr>
        <w:tc>
          <w:tcPr>
            <w:tcW w:w="0" w:type="auto"/>
          </w:tcPr>
          <w:p w14:paraId="3665F411"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 xml:space="preserve">    18</w:t>
            </w:r>
          </w:p>
        </w:tc>
        <w:tc>
          <w:tcPr>
            <w:tcW w:w="6435" w:type="dxa"/>
          </w:tcPr>
          <w:p w14:paraId="005108D2"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foram verificadas estruturas de dados que identificam cenários prospectivos e hipóteses científicas como uma mesma classe de ideias;</w:t>
            </w:r>
          </w:p>
        </w:tc>
        <w:tc>
          <w:tcPr>
            <w:tcW w:w="866" w:type="dxa"/>
          </w:tcPr>
          <w:p w14:paraId="3FCC0F32"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18</w:t>
            </w:r>
          </w:p>
        </w:tc>
        <w:tc>
          <w:tcPr>
            <w:tcW w:w="5985" w:type="dxa"/>
          </w:tcPr>
          <w:p w14:paraId="126FBFC5"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data structures were verified that identify prospective scenarios and scientific hypotheses as the same class of ideas;</w:t>
            </w:r>
          </w:p>
        </w:tc>
        <w:tc>
          <w:tcPr>
            <w:tcW w:w="866" w:type="dxa"/>
          </w:tcPr>
          <w:p w14:paraId="641C98D1"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19</w:t>
            </w:r>
          </w:p>
        </w:tc>
      </w:tr>
      <w:tr w:rsidR="008E2DEF" w:rsidRPr="000D4DA0" w14:paraId="114E539E" w14:textId="77777777" w:rsidTr="008E2DEF">
        <w:trPr>
          <w:jc w:val="center"/>
        </w:trPr>
        <w:tc>
          <w:tcPr>
            <w:tcW w:w="0" w:type="auto"/>
          </w:tcPr>
          <w:p w14:paraId="2CE06737"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 xml:space="preserve">    19</w:t>
            </w:r>
          </w:p>
        </w:tc>
        <w:tc>
          <w:tcPr>
            <w:tcW w:w="6435" w:type="dxa"/>
          </w:tcPr>
          <w:p w14:paraId="37E46719"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o estudo de caso atestou o uso de fontes de dados críveis, a geração de dados consistentes e suficientes em todo o processo e a construção de enunciados que obedecem às três leis do pensamento.</w:t>
            </w:r>
          </w:p>
        </w:tc>
        <w:tc>
          <w:tcPr>
            <w:tcW w:w="866" w:type="dxa"/>
          </w:tcPr>
          <w:p w14:paraId="5053F3D0"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27</w:t>
            </w:r>
          </w:p>
        </w:tc>
        <w:tc>
          <w:tcPr>
            <w:tcW w:w="5985" w:type="dxa"/>
          </w:tcPr>
          <w:p w14:paraId="3FBD4236" w14:textId="77777777" w:rsidR="008E2DEF" w:rsidRPr="000D4DA0" w:rsidRDefault="008E2DEF" w:rsidP="00DF582D">
            <w:pPr>
              <w:jc w:val="both"/>
              <w:rPr>
                <w:rFonts w:ascii="Calibri Light" w:hAnsi="Calibri Light" w:cs="Calibri Light"/>
                <w:lang w:val="en-US"/>
              </w:rPr>
            </w:pPr>
            <w:proofErr w:type="gramStart"/>
            <w:r w:rsidRPr="000D4DA0">
              <w:rPr>
                <w:rFonts w:ascii="Calibri Light" w:hAnsi="Calibri Light" w:cs="Calibri Light"/>
                <w:lang w:val="en-US"/>
              </w:rPr>
              <w:t>the</w:t>
            </w:r>
            <w:proofErr w:type="gramEnd"/>
            <w:r w:rsidRPr="000D4DA0">
              <w:rPr>
                <w:rFonts w:ascii="Calibri Light" w:hAnsi="Calibri Light" w:cs="Calibri Light"/>
                <w:lang w:val="en-US"/>
              </w:rPr>
              <w:t xml:space="preserve"> case study attested to the use of credible data sources, the generation of consistent and sufficient data throughout the process, and the construction of statements that comply with the three laws of thought.</w:t>
            </w:r>
          </w:p>
        </w:tc>
        <w:tc>
          <w:tcPr>
            <w:tcW w:w="866" w:type="dxa"/>
          </w:tcPr>
          <w:p w14:paraId="5AA1EEAD"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27</w:t>
            </w:r>
          </w:p>
        </w:tc>
      </w:tr>
      <w:tr w:rsidR="008E2DEF" w:rsidRPr="000D4DA0" w14:paraId="5403BBB3" w14:textId="77777777" w:rsidTr="008E2DEF">
        <w:trPr>
          <w:jc w:val="center"/>
        </w:trPr>
        <w:tc>
          <w:tcPr>
            <w:tcW w:w="0" w:type="auto"/>
          </w:tcPr>
          <w:p w14:paraId="04EA960A"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 xml:space="preserve">    20</w:t>
            </w:r>
          </w:p>
        </w:tc>
        <w:tc>
          <w:tcPr>
            <w:tcW w:w="6435" w:type="dxa"/>
          </w:tcPr>
          <w:p w14:paraId="368AB59B"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Conclusões parciais do estudo observam que:</w:t>
            </w:r>
          </w:p>
        </w:tc>
        <w:tc>
          <w:tcPr>
            <w:tcW w:w="866" w:type="dxa"/>
          </w:tcPr>
          <w:p w14:paraId="0265C917"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5</w:t>
            </w:r>
          </w:p>
        </w:tc>
        <w:tc>
          <w:tcPr>
            <w:tcW w:w="5985" w:type="dxa"/>
          </w:tcPr>
          <w:p w14:paraId="15E0194D"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Partial conclusions of the study note that:</w:t>
            </w:r>
          </w:p>
        </w:tc>
        <w:tc>
          <w:tcPr>
            <w:tcW w:w="866" w:type="dxa"/>
          </w:tcPr>
          <w:p w14:paraId="51375D51"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7</w:t>
            </w:r>
          </w:p>
        </w:tc>
      </w:tr>
      <w:tr w:rsidR="008E2DEF" w:rsidRPr="000D4DA0" w14:paraId="582ECF1B" w14:textId="77777777" w:rsidTr="008E2DEF">
        <w:trPr>
          <w:jc w:val="center"/>
        </w:trPr>
        <w:tc>
          <w:tcPr>
            <w:tcW w:w="0" w:type="auto"/>
          </w:tcPr>
          <w:p w14:paraId="2E44A29C"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 xml:space="preserve">    21</w:t>
            </w:r>
          </w:p>
        </w:tc>
        <w:tc>
          <w:tcPr>
            <w:tcW w:w="6435" w:type="dxa"/>
          </w:tcPr>
          <w:p w14:paraId="1A1F19AF"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cenários prospectivos são hipóteses que se tornam mutuamente exclusivas ao longo do tempo;</w:t>
            </w:r>
          </w:p>
        </w:tc>
        <w:tc>
          <w:tcPr>
            <w:tcW w:w="866" w:type="dxa"/>
          </w:tcPr>
          <w:p w14:paraId="36290E57"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13</w:t>
            </w:r>
          </w:p>
        </w:tc>
        <w:tc>
          <w:tcPr>
            <w:tcW w:w="5985" w:type="dxa"/>
          </w:tcPr>
          <w:p w14:paraId="6017E92F"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prospective scenarios are hypotheses that become mutually exclusive over time;</w:t>
            </w:r>
          </w:p>
        </w:tc>
        <w:tc>
          <w:tcPr>
            <w:tcW w:w="866" w:type="dxa"/>
          </w:tcPr>
          <w:p w14:paraId="10599827"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11</w:t>
            </w:r>
          </w:p>
        </w:tc>
      </w:tr>
      <w:tr w:rsidR="008E2DEF" w:rsidRPr="000D4DA0" w14:paraId="777A0AFD" w14:textId="77777777" w:rsidTr="008E2DEF">
        <w:trPr>
          <w:jc w:val="center"/>
        </w:trPr>
        <w:tc>
          <w:tcPr>
            <w:tcW w:w="0" w:type="auto"/>
          </w:tcPr>
          <w:p w14:paraId="16CC2ED4"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 xml:space="preserve">    22</w:t>
            </w:r>
          </w:p>
        </w:tc>
        <w:tc>
          <w:tcPr>
            <w:tcW w:w="6435" w:type="dxa"/>
          </w:tcPr>
          <w:p w14:paraId="322D43B2"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o passado está repleto de hipóteses que compõem fonte inesgotável de dados que informam estudos prospectivos;</w:t>
            </w:r>
          </w:p>
        </w:tc>
        <w:tc>
          <w:tcPr>
            <w:tcW w:w="866" w:type="dxa"/>
          </w:tcPr>
          <w:p w14:paraId="0D8AE4D9"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18</w:t>
            </w:r>
          </w:p>
        </w:tc>
        <w:tc>
          <w:tcPr>
            <w:tcW w:w="5985" w:type="dxa"/>
          </w:tcPr>
          <w:p w14:paraId="247A22DD" w14:textId="77777777" w:rsidR="008E2DEF" w:rsidRPr="000D4DA0" w:rsidRDefault="008E2DEF" w:rsidP="00DF582D">
            <w:pPr>
              <w:jc w:val="both"/>
              <w:rPr>
                <w:rFonts w:ascii="Calibri Light" w:hAnsi="Calibri Light" w:cs="Calibri Light"/>
                <w:lang w:val="en-US"/>
              </w:rPr>
            </w:pPr>
            <w:proofErr w:type="gramStart"/>
            <w:r w:rsidRPr="000D4DA0">
              <w:rPr>
                <w:rFonts w:ascii="Calibri Light" w:hAnsi="Calibri Light" w:cs="Calibri Light"/>
                <w:lang w:val="en-US"/>
              </w:rPr>
              <w:t>the</w:t>
            </w:r>
            <w:proofErr w:type="gramEnd"/>
            <w:r w:rsidRPr="000D4DA0">
              <w:rPr>
                <w:rFonts w:ascii="Calibri Light" w:hAnsi="Calibri Light" w:cs="Calibri Light"/>
                <w:lang w:val="en-US"/>
              </w:rPr>
              <w:t xml:space="preserve"> past is full of hypotheses that make up an inexhaustible source of data that informs prospective studies;</w:t>
            </w:r>
          </w:p>
        </w:tc>
        <w:tc>
          <w:tcPr>
            <w:tcW w:w="866" w:type="dxa"/>
          </w:tcPr>
          <w:p w14:paraId="7C983D71"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19</w:t>
            </w:r>
          </w:p>
        </w:tc>
      </w:tr>
      <w:tr w:rsidR="008E2DEF" w:rsidRPr="000D4DA0" w14:paraId="6E4DB86F" w14:textId="77777777" w:rsidTr="008E2DEF">
        <w:trPr>
          <w:jc w:val="center"/>
        </w:trPr>
        <w:tc>
          <w:tcPr>
            <w:tcW w:w="0" w:type="auto"/>
          </w:tcPr>
          <w:p w14:paraId="20047E54"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 xml:space="preserve">    23</w:t>
            </w:r>
          </w:p>
        </w:tc>
        <w:tc>
          <w:tcPr>
            <w:tcW w:w="6435" w:type="dxa"/>
          </w:tcPr>
          <w:p w14:paraId="676F1E13"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e a legitimidade científica e epistemológica do planejamento por cenários pode ser sustentada pela qualidade das evidências que sustentam as hipóteses, pois as menores probabilidades podem ser legítimas: Cisnes Negros (Taleb, 2020) existem, enfim.</w:t>
            </w:r>
          </w:p>
        </w:tc>
        <w:tc>
          <w:tcPr>
            <w:tcW w:w="866" w:type="dxa"/>
          </w:tcPr>
          <w:p w14:paraId="2CE1BCA2"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32</w:t>
            </w:r>
          </w:p>
        </w:tc>
        <w:tc>
          <w:tcPr>
            <w:tcW w:w="5985" w:type="dxa"/>
          </w:tcPr>
          <w:p w14:paraId="6B0E64BF"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 xml:space="preserve">and the scientific and epistemological legitimacy of scenario planning can be supported by the quality of </w:t>
            </w:r>
            <w:proofErr w:type="gramStart"/>
            <w:r w:rsidRPr="000D4DA0">
              <w:rPr>
                <w:rFonts w:ascii="Calibri Light" w:hAnsi="Calibri Light" w:cs="Calibri Light"/>
                <w:lang w:val="en-US"/>
              </w:rPr>
              <w:t>the evidence</w:t>
            </w:r>
            <w:proofErr w:type="gramEnd"/>
            <w:r w:rsidRPr="000D4DA0">
              <w:rPr>
                <w:rFonts w:ascii="Calibri Light" w:hAnsi="Calibri Light" w:cs="Calibri Light"/>
                <w:lang w:val="en-US"/>
              </w:rPr>
              <w:t xml:space="preserve"> that supports the hypotheses, since even the smallest probabilities can be legitimate: Black Swans (Taleb, 2020) do exist, after all.</w:t>
            </w:r>
          </w:p>
        </w:tc>
        <w:tc>
          <w:tcPr>
            <w:tcW w:w="866" w:type="dxa"/>
          </w:tcPr>
          <w:p w14:paraId="223BE1AF"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33</w:t>
            </w:r>
          </w:p>
        </w:tc>
      </w:tr>
      <w:tr w:rsidR="008E2DEF" w:rsidRPr="000D4DA0" w14:paraId="1D25FFE9" w14:textId="77777777" w:rsidTr="008E2DEF">
        <w:trPr>
          <w:jc w:val="center"/>
        </w:trPr>
        <w:tc>
          <w:tcPr>
            <w:tcW w:w="0" w:type="auto"/>
          </w:tcPr>
          <w:p w14:paraId="36A96D91" w14:textId="77777777" w:rsidR="008E2DEF" w:rsidRPr="000D4DA0" w:rsidRDefault="008E2DEF" w:rsidP="00DF582D">
            <w:pPr>
              <w:jc w:val="both"/>
              <w:rPr>
                <w:rFonts w:ascii="Calibri Light" w:hAnsi="Calibri Light" w:cs="Calibri Light"/>
              </w:rPr>
            </w:pPr>
            <w:r w:rsidRPr="000D4DA0">
              <w:rPr>
                <w:rFonts w:ascii="Calibri Light" w:hAnsi="Calibri Light" w:cs="Calibri Light"/>
                <w:lang w:val="en-US"/>
              </w:rPr>
              <w:t xml:space="preserve">    </w:t>
            </w:r>
            <w:r w:rsidRPr="000D4DA0">
              <w:rPr>
                <w:rFonts w:ascii="Calibri Light" w:hAnsi="Calibri Light" w:cs="Calibri Light"/>
              </w:rPr>
              <w:t>24</w:t>
            </w:r>
          </w:p>
        </w:tc>
        <w:tc>
          <w:tcPr>
            <w:tcW w:w="6435" w:type="dxa"/>
          </w:tcPr>
          <w:p w14:paraId="1CDD153E"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O estudo foi desenvolvido no âmbito de um curso de mestrado, cujas restrições de prazo e recursos são relevantes:</w:t>
            </w:r>
          </w:p>
        </w:tc>
        <w:tc>
          <w:tcPr>
            <w:tcW w:w="866" w:type="dxa"/>
          </w:tcPr>
          <w:p w14:paraId="68849C86"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20</w:t>
            </w:r>
          </w:p>
        </w:tc>
        <w:tc>
          <w:tcPr>
            <w:tcW w:w="5985" w:type="dxa"/>
          </w:tcPr>
          <w:p w14:paraId="4275B8F1"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The study was developed within the scope of a master's course, whose time and resource constraints are relevant:</w:t>
            </w:r>
          </w:p>
        </w:tc>
        <w:tc>
          <w:tcPr>
            <w:tcW w:w="866" w:type="dxa"/>
          </w:tcPr>
          <w:p w14:paraId="3944BD7C"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20</w:t>
            </w:r>
          </w:p>
        </w:tc>
      </w:tr>
      <w:tr w:rsidR="008E2DEF" w:rsidRPr="000D4DA0" w14:paraId="6AF29BFC" w14:textId="77777777" w:rsidTr="008E2DEF">
        <w:trPr>
          <w:jc w:val="center"/>
        </w:trPr>
        <w:tc>
          <w:tcPr>
            <w:tcW w:w="0" w:type="auto"/>
          </w:tcPr>
          <w:p w14:paraId="55D75A85"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lastRenderedPageBreak/>
              <w:t xml:space="preserve">    25</w:t>
            </w:r>
          </w:p>
        </w:tc>
        <w:tc>
          <w:tcPr>
            <w:tcW w:w="6435" w:type="dxa"/>
          </w:tcPr>
          <w:p w14:paraId="41B88818"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a seleção de um único método representativo da metodologia e o desenvolvimento de um singular estudo de caso.</w:t>
            </w:r>
          </w:p>
        </w:tc>
        <w:tc>
          <w:tcPr>
            <w:tcW w:w="866" w:type="dxa"/>
          </w:tcPr>
          <w:p w14:paraId="5F49CA26"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16</w:t>
            </w:r>
          </w:p>
        </w:tc>
        <w:tc>
          <w:tcPr>
            <w:tcW w:w="5985" w:type="dxa"/>
          </w:tcPr>
          <w:p w14:paraId="2CDCEDF2"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the selection of a single method representative of the methodology and the development of a unique case study.</w:t>
            </w:r>
          </w:p>
        </w:tc>
        <w:tc>
          <w:tcPr>
            <w:tcW w:w="866" w:type="dxa"/>
          </w:tcPr>
          <w:p w14:paraId="32A12419"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17</w:t>
            </w:r>
          </w:p>
        </w:tc>
      </w:tr>
      <w:tr w:rsidR="008E2DEF" w:rsidRPr="000D4DA0" w14:paraId="0B9C58AB" w14:textId="77777777" w:rsidTr="008E2DEF">
        <w:trPr>
          <w:jc w:val="center"/>
        </w:trPr>
        <w:tc>
          <w:tcPr>
            <w:tcW w:w="0" w:type="auto"/>
          </w:tcPr>
          <w:p w14:paraId="785708A1"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 xml:space="preserve">    26</w:t>
            </w:r>
          </w:p>
        </w:tc>
        <w:tc>
          <w:tcPr>
            <w:tcW w:w="6435" w:type="dxa"/>
          </w:tcPr>
          <w:p w14:paraId="3DF312E2"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Apesar delas, todas as premissas e os pressupostos foram cobertos pela investigação e todos os objetivos foram atingidos.</w:t>
            </w:r>
          </w:p>
        </w:tc>
        <w:tc>
          <w:tcPr>
            <w:tcW w:w="866" w:type="dxa"/>
          </w:tcPr>
          <w:p w14:paraId="31282E76"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18</w:t>
            </w:r>
          </w:p>
        </w:tc>
        <w:tc>
          <w:tcPr>
            <w:tcW w:w="5985" w:type="dxa"/>
          </w:tcPr>
          <w:p w14:paraId="6D8B2DD8"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 xml:space="preserve">Despite </w:t>
            </w:r>
            <w:proofErr w:type="gramStart"/>
            <w:r w:rsidRPr="000D4DA0">
              <w:rPr>
                <w:rFonts w:ascii="Calibri Light" w:hAnsi="Calibri Light" w:cs="Calibri Light"/>
                <w:lang w:val="en-US"/>
              </w:rPr>
              <w:t>these</w:t>
            </w:r>
            <w:proofErr w:type="gramEnd"/>
            <w:r w:rsidRPr="000D4DA0">
              <w:rPr>
                <w:rFonts w:ascii="Calibri Light" w:hAnsi="Calibri Light" w:cs="Calibri Light"/>
                <w:lang w:val="en-US"/>
              </w:rPr>
              <w:t>, all premises and assumptions were covered by the investigation and all objectives were achieved.</w:t>
            </w:r>
          </w:p>
        </w:tc>
        <w:tc>
          <w:tcPr>
            <w:tcW w:w="866" w:type="dxa"/>
          </w:tcPr>
          <w:p w14:paraId="0F6AB487"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18</w:t>
            </w:r>
          </w:p>
        </w:tc>
      </w:tr>
      <w:tr w:rsidR="008E2DEF" w:rsidRPr="000D4DA0" w14:paraId="18E493C6" w14:textId="77777777" w:rsidTr="008E2DEF">
        <w:trPr>
          <w:jc w:val="center"/>
        </w:trPr>
        <w:tc>
          <w:tcPr>
            <w:tcW w:w="0" w:type="auto"/>
          </w:tcPr>
          <w:p w14:paraId="08023F63"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 xml:space="preserve">    27</w:t>
            </w:r>
          </w:p>
        </w:tc>
        <w:tc>
          <w:tcPr>
            <w:tcW w:w="6435" w:type="dxa"/>
          </w:tcPr>
          <w:p w14:paraId="59467355"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Estudos futuros que podem superar tais restrições incluem:</w:t>
            </w:r>
          </w:p>
        </w:tc>
        <w:tc>
          <w:tcPr>
            <w:tcW w:w="866" w:type="dxa"/>
          </w:tcPr>
          <w:p w14:paraId="7EC370D2"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8</w:t>
            </w:r>
          </w:p>
        </w:tc>
        <w:tc>
          <w:tcPr>
            <w:tcW w:w="5985" w:type="dxa"/>
          </w:tcPr>
          <w:p w14:paraId="2ACC2C8A"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Future studies that may overcome such restrictions include:</w:t>
            </w:r>
          </w:p>
        </w:tc>
        <w:tc>
          <w:tcPr>
            <w:tcW w:w="866" w:type="dxa"/>
          </w:tcPr>
          <w:p w14:paraId="75D57489"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9</w:t>
            </w:r>
          </w:p>
        </w:tc>
      </w:tr>
      <w:tr w:rsidR="008E2DEF" w:rsidRPr="000D4DA0" w14:paraId="5F10B1BF" w14:textId="77777777" w:rsidTr="008E2DEF">
        <w:trPr>
          <w:jc w:val="center"/>
        </w:trPr>
        <w:tc>
          <w:tcPr>
            <w:tcW w:w="0" w:type="auto"/>
          </w:tcPr>
          <w:p w14:paraId="1405CAE7"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 xml:space="preserve">    28</w:t>
            </w:r>
          </w:p>
        </w:tc>
        <w:tc>
          <w:tcPr>
            <w:tcW w:w="6435" w:type="dxa"/>
          </w:tcPr>
          <w:p w14:paraId="3D45CDB2"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replicar a metodologia desta pesquisa com outros métodos de planejamento por cenários;</w:t>
            </w:r>
          </w:p>
        </w:tc>
        <w:tc>
          <w:tcPr>
            <w:tcW w:w="866" w:type="dxa"/>
          </w:tcPr>
          <w:p w14:paraId="39F0EDF8"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13</w:t>
            </w:r>
          </w:p>
        </w:tc>
        <w:tc>
          <w:tcPr>
            <w:tcW w:w="5985" w:type="dxa"/>
          </w:tcPr>
          <w:p w14:paraId="6AE627CC"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replicating the methodology of this research with other scenario planning methods;</w:t>
            </w:r>
          </w:p>
        </w:tc>
        <w:tc>
          <w:tcPr>
            <w:tcW w:w="866" w:type="dxa"/>
          </w:tcPr>
          <w:p w14:paraId="1A919BBF"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11</w:t>
            </w:r>
          </w:p>
        </w:tc>
      </w:tr>
      <w:tr w:rsidR="008E2DEF" w:rsidRPr="000D4DA0" w14:paraId="18F68793" w14:textId="77777777" w:rsidTr="008E2DEF">
        <w:trPr>
          <w:jc w:val="center"/>
        </w:trPr>
        <w:tc>
          <w:tcPr>
            <w:tcW w:w="0" w:type="auto"/>
          </w:tcPr>
          <w:p w14:paraId="1E7FD18B" w14:textId="77777777" w:rsidR="008E2DEF" w:rsidRPr="000D4DA0" w:rsidRDefault="008E2DEF" w:rsidP="00DF582D">
            <w:pPr>
              <w:jc w:val="both"/>
              <w:rPr>
                <w:rFonts w:ascii="Calibri Light" w:hAnsi="Calibri Light" w:cs="Calibri Light"/>
              </w:rPr>
            </w:pPr>
            <w:r w:rsidRPr="000D4DA0">
              <w:rPr>
                <w:rFonts w:ascii="Calibri Light" w:hAnsi="Calibri Light" w:cs="Calibri Light"/>
                <w:lang w:val="en-US"/>
              </w:rPr>
              <w:t xml:space="preserve">    </w:t>
            </w:r>
            <w:r w:rsidRPr="000D4DA0">
              <w:rPr>
                <w:rFonts w:ascii="Calibri Light" w:hAnsi="Calibri Light" w:cs="Calibri Light"/>
              </w:rPr>
              <w:t>29</w:t>
            </w:r>
          </w:p>
        </w:tc>
        <w:tc>
          <w:tcPr>
            <w:tcW w:w="6435" w:type="dxa"/>
          </w:tcPr>
          <w:p w14:paraId="28967D37"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comparar os resultados destes estudos;</w:t>
            </w:r>
          </w:p>
        </w:tc>
        <w:tc>
          <w:tcPr>
            <w:tcW w:w="866" w:type="dxa"/>
          </w:tcPr>
          <w:p w14:paraId="304E77E8"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6</w:t>
            </w:r>
          </w:p>
        </w:tc>
        <w:tc>
          <w:tcPr>
            <w:tcW w:w="5985" w:type="dxa"/>
          </w:tcPr>
          <w:p w14:paraId="4D5AB95A"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comparing the results of these studies;</w:t>
            </w:r>
          </w:p>
        </w:tc>
        <w:tc>
          <w:tcPr>
            <w:tcW w:w="866" w:type="dxa"/>
          </w:tcPr>
          <w:p w14:paraId="2C8582C5"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6</w:t>
            </w:r>
          </w:p>
        </w:tc>
      </w:tr>
      <w:tr w:rsidR="008E2DEF" w:rsidRPr="000D4DA0" w14:paraId="7AD6B26B" w14:textId="77777777" w:rsidTr="008E2DEF">
        <w:trPr>
          <w:jc w:val="center"/>
        </w:trPr>
        <w:tc>
          <w:tcPr>
            <w:tcW w:w="0" w:type="auto"/>
          </w:tcPr>
          <w:p w14:paraId="44BBDB3C"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 xml:space="preserve">    30</w:t>
            </w:r>
          </w:p>
        </w:tc>
        <w:tc>
          <w:tcPr>
            <w:tcW w:w="6435" w:type="dxa"/>
          </w:tcPr>
          <w:p w14:paraId="75D6558D"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e aprimorar os critérios para legitimidade do planejamento por cenários.</w:t>
            </w:r>
          </w:p>
        </w:tc>
        <w:tc>
          <w:tcPr>
            <w:tcW w:w="866" w:type="dxa"/>
          </w:tcPr>
          <w:p w14:paraId="3A9CEA60"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10</w:t>
            </w:r>
          </w:p>
        </w:tc>
        <w:tc>
          <w:tcPr>
            <w:tcW w:w="5985" w:type="dxa"/>
          </w:tcPr>
          <w:p w14:paraId="30D82AEF"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and improving the criteria for the legitimacy of scenario planning.</w:t>
            </w:r>
          </w:p>
        </w:tc>
        <w:tc>
          <w:tcPr>
            <w:tcW w:w="866" w:type="dxa"/>
          </w:tcPr>
          <w:p w14:paraId="6FF3E64B"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10</w:t>
            </w:r>
          </w:p>
        </w:tc>
      </w:tr>
      <w:tr w:rsidR="008E2DEF" w:rsidRPr="000D4DA0" w14:paraId="40CDBD2A" w14:textId="77777777" w:rsidTr="008E2DEF">
        <w:trPr>
          <w:jc w:val="center"/>
        </w:trPr>
        <w:tc>
          <w:tcPr>
            <w:tcW w:w="0" w:type="auto"/>
          </w:tcPr>
          <w:p w14:paraId="1987B7B9"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 xml:space="preserve">    31</w:t>
            </w:r>
          </w:p>
        </w:tc>
        <w:tc>
          <w:tcPr>
            <w:tcW w:w="6435" w:type="dxa"/>
          </w:tcPr>
          <w:p w14:paraId="069FE9A2"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Esperamos que este estudo seja útil para fundamentar o posicionamento da academia sobre a disciplina e que os conceitos e os argumentos aqui apresentados colaborem para conferir segurança ao uso de planejamento por cenários, em benefício das sociedades e organizações.</w:t>
            </w:r>
          </w:p>
        </w:tc>
        <w:tc>
          <w:tcPr>
            <w:tcW w:w="866" w:type="dxa"/>
          </w:tcPr>
          <w:p w14:paraId="3FD2B2E2"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38</w:t>
            </w:r>
          </w:p>
        </w:tc>
        <w:tc>
          <w:tcPr>
            <w:tcW w:w="5985" w:type="dxa"/>
          </w:tcPr>
          <w:p w14:paraId="11256970" w14:textId="77777777" w:rsidR="008E2DEF" w:rsidRPr="000D4DA0" w:rsidRDefault="008E2DEF" w:rsidP="00DF582D">
            <w:pPr>
              <w:jc w:val="both"/>
              <w:rPr>
                <w:rFonts w:ascii="Calibri Light" w:hAnsi="Calibri Light" w:cs="Calibri Light"/>
                <w:lang w:val="en-US"/>
              </w:rPr>
            </w:pPr>
            <w:r w:rsidRPr="000D4DA0">
              <w:rPr>
                <w:rFonts w:ascii="Calibri Light" w:hAnsi="Calibri Light" w:cs="Calibri Light"/>
                <w:lang w:val="en-US"/>
              </w:rPr>
              <w:t>We hope that this study will be useful to support the academic position on the discipline and that the concepts and arguments presented here will help to provide confidence in the use of scenario planning, for the benefit of societies and organizations.</w:t>
            </w:r>
          </w:p>
        </w:tc>
        <w:tc>
          <w:tcPr>
            <w:tcW w:w="866" w:type="dxa"/>
          </w:tcPr>
          <w:p w14:paraId="634A9F4A" w14:textId="77777777" w:rsidR="008E2DEF" w:rsidRPr="000D4DA0" w:rsidRDefault="008E2DEF" w:rsidP="00DF582D">
            <w:pPr>
              <w:jc w:val="both"/>
              <w:rPr>
                <w:rFonts w:ascii="Calibri Light" w:hAnsi="Calibri Light" w:cs="Calibri Light"/>
              </w:rPr>
            </w:pPr>
            <w:r w:rsidRPr="000D4DA0">
              <w:rPr>
                <w:rFonts w:ascii="Calibri Light" w:hAnsi="Calibri Light" w:cs="Calibri Light"/>
              </w:rPr>
              <w:t>39</w:t>
            </w:r>
          </w:p>
        </w:tc>
      </w:tr>
      <w:tr w:rsidR="00167287" w:rsidRPr="000D4DA0" w14:paraId="349E512C" w14:textId="77777777" w:rsidTr="008E2DEF">
        <w:trPr>
          <w:jc w:val="center"/>
        </w:trPr>
        <w:tc>
          <w:tcPr>
            <w:tcW w:w="0" w:type="auto"/>
          </w:tcPr>
          <w:p w14:paraId="7DF87963" w14:textId="77777777" w:rsidR="00167287" w:rsidRPr="000D4DA0" w:rsidRDefault="00167287" w:rsidP="00DF582D">
            <w:pPr>
              <w:jc w:val="both"/>
              <w:rPr>
                <w:rFonts w:ascii="Calibri Light" w:hAnsi="Calibri Light" w:cs="Calibri Light"/>
              </w:rPr>
            </w:pPr>
          </w:p>
        </w:tc>
        <w:tc>
          <w:tcPr>
            <w:tcW w:w="6435" w:type="dxa"/>
          </w:tcPr>
          <w:p w14:paraId="4055CB3E" w14:textId="77777777" w:rsidR="00167287" w:rsidRPr="000D4DA0" w:rsidRDefault="00167287" w:rsidP="00DF582D">
            <w:pPr>
              <w:jc w:val="both"/>
              <w:rPr>
                <w:rFonts w:ascii="Calibri Light" w:hAnsi="Calibri Light" w:cs="Calibri Light"/>
              </w:rPr>
            </w:pPr>
          </w:p>
        </w:tc>
        <w:tc>
          <w:tcPr>
            <w:tcW w:w="866" w:type="dxa"/>
          </w:tcPr>
          <w:p w14:paraId="3662E22A" w14:textId="23AF335F" w:rsidR="00167287" w:rsidRPr="000D4DA0" w:rsidRDefault="00167287" w:rsidP="00DF582D">
            <w:pPr>
              <w:jc w:val="both"/>
              <w:rPr>
                <w:rFonts w:ascii="Calibri Light" w:hAnsi="Calibri Light" w:cs="Calibri Light"/>
                <w:lang w:val="en-US"/>
              </w:rPr>
            </w:pPr>
            <w:r>
              <w:rPr>
                <w:rFonts w:ascii="Calibri Light" w:hAnsi="Calibri Light" w:cs="Calibri Light"/>
                <w:lang w:val="en-US"/>
              </w:rPr>
              <w:fldChar w:fldCharType="begin"/>
            </w:r>
            <w:r>
              <w:rPr>
                <w:rFonts w:ascii="Calibri Light" w:hAnsi="Calibri Light" w:cs="Calibri Light"/>
                <w:lang w:val="en-US"/>
              </w:rPr>
              <w:instrText xml:space="preserve"> =SUM(ABOVE) </w:instrText>
            </w:r>
            <w:r>
              <w:rPr>
                <w:rFonts w:ascii="Calibri Light" w:hAnsi="Calibri Light" w:cs="Calibri Light"/>
                <w:lang w:val="en-US"/>
              </w:rPr>
              <w:fldChar w:fldCharType="separate"/>
            </w:r>
            <w:r>
              <w:rPr>
                <w:rFonts w:ascii="Calibri Light" w:hAnsi="Calibri Light" w:cs="Calibri Light"/>
                <w:noProof/>
                <w:lang w:val="en-US"/>
              </w:rPr>
              <w:t>459</w:t>
            </w:r>
            <w:r>
              <w:rPr>
                <w:rFonts w:ascii="Calibri Light" w:hAnsi="Calibri Light" w:cs="Calibri Light"/>
                <w:lang w:val="en-US"/>
              </w:rPr>
              <w:fldChar w:fldCharType="end"/>
            </w:r>
          </w:p>
        </w:tc>
        <w:tc>
          <w:tcPr>
            <w:tcW w:w="5985" w:type="dxa"/>
          </w:tcPr>
          <w:p w14:paraId="0A8B3A88" w14:textId="77777777" w:rsidR="00167287" w:rsidRPr="000D4DA0" w:rsidRDefault="00167287" w:rsidP="00DF582D">
            <w:pPr>
              <w:jc w:val="both"/>
              <w:rPr>
                <w:rFonts w:ascii="Calibri Light" w:hAnsi="Calibri Light" w:cs="Calibri Light"/>
                <w:lang w:val="en-US"/>
              </w:rPr>
            </w:pPr>
          </w:p>
        </w:tc>
        <w:tc>
          <w:tcPr>
            <w:tcW w:w="866" w:type="dxa"/>
          </w:tcPr>
          <w:p w14:paraId="1A511BA5" w14:textId="77777777" w:rsidR="00167287" w:rsidRPr="000D4DA0" w:rsidRDefault="00167287" w:rsidP="00DF582D">
            <w:pPr>
              <w:jc w:val="both"/>
              <w:rPr>
                <w:rFonts w:ascii="Calibri Light" w:hAnsi="Calibri Light" w:cs="Calibri Light"/>
              </w:rPr>
            </w:pPr>
          </w:p>
        </w:tc>
      </w:tr>
    </w:tbl>
    <w:p w14:paraId="22DF24DF" w14:textId="09FB8882" w:rsidR="008E2DEF" w:rsidRPr="000D4DA0" w:rsidRDefault="008E2DEF" w:rsidP="00DF582D">
      <w:pPr>
        <w:jc w:val="both"/>
        <w:rPr>
          <w:rFonts w:ascii="Calibri Light" w:hAnsi="Calibri Light" w:cs="Calibri Light"/>
        </w:rPr>
      </w:pPr>
    </w:p>
    <w:sectPr w:rsidR="008E2DEF" w:rsidRPr="000D4DA0" w:rsidSect="008E2DEF">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DEF"/>
    <w:rsid w:val="000D4DA0"/>
    <w:rsid w:val="00167287"/>
    <w:rsid w:val="008E2DEF"/>
    <w:rsid w:val="00BA48D7"/>
    <w:rsid w:val="00DF582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25E6C"/>
  <w15:chartTrackingRefBased/>
  <w15:docId w15:val="{353C8644-5574-4633-BFAD-0E198A86D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E2D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E2D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E2DE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E2DE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E2DE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E2D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E2D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E2D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E2DE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E2DE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E2DE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E2DE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E2DE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E2DE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E2DE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E2DE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E2DE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E2DEF"/>
    <w:rPr>
      <w:rFonts w:eastAsiaTheme="majorEastAsia" w:cstheme="majorBidi"/>
      <w:color w:val="272727" w:themeColor="text1" w:themeTint="D8"/>
    </w:rPr>
  </w:style>
  <w:style w:type="paragraph" w:styleId="Ttulo">
    <w:name w:val="Title"/>
    <w:basedOn w:val="Normal"/>
    <w:next w:val="Normal"/>
    <w:link w:val="TtuloChar"/>
    <w:uiPriority w:val="10"/>
    <w:qFormat/>
    <w:rsid w:val="008E2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E2D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E2DE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E2DE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E2DEF"/>
    <w:pPr>
      <w:spacing w:before="160"/>
      <w:jc w:val="center"/>
    </w:pPr>
    <w:rPr>
      <w:i/>
      <w:iCs/>
      <w:color w:val="404040" w:themeColor="text1" w:themeTint="BF"/>
    </w:rPr>
  </w:style>
  <w:style w:type="character" w:customStyle="1" w:styleId="CitaoChar">
    <w:name w:val="Citação Char"/>
    <w:basedOn w:val="Fontepargpadro"/>
    <w:link w:val="Citao"/>
    <w:uiPriority w:val="29"/>
    <w:rsid w:val="008E2DEF"/>
    <w:rPr>
      <w:i/>
      <w:iCs/>
      <w:color w:val="404040" w:themeColor="text1" w:themeTint="BF"/>
    </w:rPr>
  </w:style>
  <w:style w:type="paragraph" w:styleId="PargrafodaLista">
    <w:name w:val="List Paragraph"/>
    <w:basedOn w:val="Normal"/>
    <w:uiPriority w:val="34"/>
    <w:qFormat/>
    <w:rsid w:val="008E2DEF"/>
    <w:pPr>
      <w:ind w:left="720"/>
      <w:contextualSpacing/>
    </w:pPr>
  </w:style>
  <w:style w:type="character" w:styleId="nfaseIntensa">
    <w:name w:val="Intense Emphasis"/>
    <w:basedOn w:val="Fontepargpadro"/>
    <w:uiPriority w:val="21"/>
    <w:qFormat/>
    <w:rsid w:val="008E2DEF"/>
    <w:rPr>
      <w:i/>
      <w:iCs/>
      <w:color w:val="0F4761" w:themeColor="accent1" w:themeShade="BF"/>
    </w:rPr>
  </w:style>
  <w:style w:type="paragraph" w:styleId="CitaoIntensa">
    <w:name w:val="Intense Quote"/>
    <w:basedOn w:val="Normal"/>
    <w:next w:val="Normal"/>
    <w:link w:val="CitaoIntensaChar"/>
    <w:uiPriority w:val="30"/>
    <w:qFormat/>
    <w:rsid w:val="008E2D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E2DEF"/>
    <w:rPr>
      <w:i/>
      <w:iCs/>
      <w:color w:val="0F4761" w:themeColor="accent1" w:themeShade="BF"/>
    </w:rPr>
  </w:style>
  <w:style w:type="character" w:styleId="RefernciaIntensa">
    <w:name w:val="Intense Reference"/>
    <w:basedOn w:val="Fontepargpadro"/>
    <w:uiPriority w:val="32"/>
    <w:qFormat/>
    <w:rsid w:val="008E2DEF"/>
    <w:rPr>
      <w:b/>
      <w:bCs/>
      <w:smallCaps/>
      <w:color w:val="0F4761" w:themeColor="accent1" w:themeShade="BF"/>
      <w:spacing w:val="5"/>
    </w:rPr>
  </w:style>
  <w:style w:type="table" w:styleId="Tabelacomgrade">
    <w:name w:val="Table Grid"/>
    <w:basedOn w:val="Tabelanormal"/>
    <w:uiPriority w:val="39"/>
    <w:rsid w:val="008E2D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1091</Words>
  <Characters>5840</Characters>
  <Application>Microsoft Office Word</Application>
  <DocSecurity>0</DocSecurity>
  <Lines>70</Lines>
  <Paragraphs>38</Paragraphs>
  <ScaleCrop>false</ScaleCrop>
  <Company/>
  <LinksUpToDate>false</LinksUpToDate>
  <CharactersWithSpaces>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Henrique Cordeiro</dc:creator>
  <cp:keywords/>
  <dc:description/>
  <cp:lastModifiedBy>Henrique Cordeiro</cp:lastModifiedBy>
  <cp:revision>4</cp:revision>
  <dcterms:created xsi:type="dcterms:W3CDTF">2026-02-19T12:28:00Z</dcterms:created>
  <dcterms:modified xsi:type="dcterms:W3CDTF">2026-02-19T12:35:00Z</dcterms:modified>
</cp:coreProperties>
</file>