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7"/>
        <w:gridCol w:w="4361"/>
        <w:gridCol w:w="676"/>
        <w:gridCol w:w="4155"/>
      </w:tblGrid>
      <w:tr w:rsidR="006422C7" w:rsidRPr="005D3D42" w14:paraId="66DCA482" w14:textId="77777777" w:rsidTr="005D3D42">
        <w:tc>
          <w:tcPr>
            <w:tcW w:w="867" w:type="dxa"/>
            <w:vAlign w:val="center"/>
          </w:tcPr>
          <w:p w14:paraId="1A43DD32" w14:textId="77777777" w:rsidR="006422C7" w:rsidRPr="005D3D42" w:rsidRDefault="00000000" w:rsidP="00F32CE4">
            <w:pPr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5D3D42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Linha</w:t>
            </w:r>
          </w:p>
        </w:tc>
        <w:tc>
          <w:tcPr>
            <w:tcW w:w="4361" w:type="dxa"/>
            <w:vAlign w:val="center"/>
          </w:tcPr>
          <w:p w14:paraId="38898DBF" w14:textId="77777777" w:rsidR="006422C7" w:rsidRPr="005D3D42" w:rsidRDefault="00000000" w:rsidP="00F32CE4">
            <w:pPr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5D3D42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Texto original</w:t>
            </w:r>
          </w:p>
        </w:tc>
        <w:tc>
          <w:tcPr>
            <w:tcW w:w="676" w:type="dxa"/>
            <w:vAlign w:val="center"/>
          </w:tcPr>
          <w:p w14:paraId="100FB646" w14:textId="77777777" w:rsidR="006422C7" w:rsidRPr="005D3D42" w:rsidRDefault="00000000" w:rsidP="00F32CE4">
            <w:pPr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5D3D42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Qtd</w:t>
            </w:r>
          </w:p>
        </w:tc>
        <w:tc>
          <w:tcPr>
            <w:tcW w:w="4155" w:type="dxa"/>
            <w:vAlign w:val="center"/>
          </w:tcPr>
          <w:p w14:paraId="45D065C2" w14:textId="77777777" w:rsidR="006422C7" w:rsidRPr="005D3D42" w:rsidRDefault="00000000" w:rsidP="00F32CE4">
            <w:pPr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5D3D42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Texto traduzido</w:t>
            </w:r>
          </w:p>
        </w:tc>
      </w:tr>
      <w:tr w:rsidR="006422C7" w:rsidRPr="00604F42" w14:paraId="3F882C03" w14:textId="77777777" w:rsidTr="00604F42">
        <w:tc>
          <w:tcPr>
            <w:tcW w:w="867" w:type="dxa"/>
          </w:tcPr>
          <w:p w14:paraId="399FF1AF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</w:t>
            </w:r>
          </w:p>
        </w:tc>
        <w:tc>
          <w:tcPr>
            <w:tcW w:w="4361" w:type="dxa"/>
          </w:tcPr>
          <w:p w14:paraId="480793FA" w14:textId="77777777" w:rsidR="006422C7" w:rsidRPr="00604F42" w:rsidRDefault="00000000" w:rsidP="00F32CE4">
            <w:pPr>
              <w:suppressAutoHyphens/>
              <w:spacing w:after="0" w:line="240" w:lineRule="auto"/>
              <w:jc w:val="both"/>
              <w:rPr>
                <w:rFonts w:ascii="Calibri Light" w:hAnsi="Calibri Light" w:cs="Calibri Light"/>
                <w:b/>
                <w:bCs/>
                <w:sz w:val="32"/>
                <w:szCs w:val="32"/>
                <w:lang w:val="pt-BR"/>
              </w:rPr>
            </w:pPr>
            <w:r w:rsidRPr="00604F42">
              <w:rPr>
                <w:rFonts w:ascii="Calibri Light" w:hAnsi="Calibri Light" w:cs="Calibri Light"/>
                <w:b/>
                <w:bCs/>
                <w:sz w:val="32"/>
                <w:szCs w:val="32"/>
                <w:lang w:val="pt-BR"/>
              </w:rPr>
              <w:t xml:space="preserve">1. </w:t>
            </w:r>
            <w:r w:rsidRPr="00604F42">
              <w:rPr>
                <w:rFonts w:ascii="Calibri Light" w:eastAsia="Times New Roman" w:hAnsi="Calibri Light" w:cs="Calibri Light"/>
                <w:b/>
                <w:bCs/>
                <w:sz w:val="32"/>
                <w:szCs w:val="32"/>
                <w:lang w:val="pt-BR" w:eastAsia="pt-BR"/>
              </w:rPr>
              <w:t>Planejamento</w:t>
            </w:r>
            <w:r w:rsidRPr="00604F42">
              <w:rPr>
                <w:rFonts w:ascii="Calibri Light" w:hAnsi="Calibri Light" w:cs="Calibri Light"/>
                <w:b/>
                <w:bCs/>
                <w:sz w:val="32"/>
                <w:szCs w:val="32"/>
                <w:lang w:val="pt-BR"/>
              </w:rPr>
              <w:t xml:space="preserve"> por cenários: o que é, para que serve e como é feito</w:t>
            </w:r>
          </w:p>
        </w:tc>
        <w:tc>
          <w:tcPr>
            <w:tcW w:w="676" w:type="dxa"/>
          </w:tcPr>
          <w:p w14:paraId="65C4A9A5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14</w:t>
            </w:r>
          </w:p>
        </w:tc>
        <w:tc>
          <w:tcPr>
            <w:tcW w:w="4155" w:type="dxa"/>
          </w:tcPr>
          <w:p w14:paraId="44AD1840" w14:textId="76269DD4" w:rsidR="006422C7" w:rsidRPr="00604F42" w:rsidRDefault="00604F42" w:rsidP="00F32CE4">
            <w:pPr>
              <w:suppressAutoHyphens/>
              <w:spacing w:after="0" w:line="240" w:lineRule="auto"/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 xml:space="preserve">1. </w:t>
            </w:r>
            <w:r w:rsidR="00000000" w:rsidRPr="00604F42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Scenario planning: what it is, what it is for, and how it is carried out</w:t>
            </w:r>
          </w:p>
        </w:tc>
      </w:tr>
      <w:tr w:rsidR="006422C7" w:rsidRPr="00604F42" w14:paraId="78CD14A5" w14:textId="77777777" w:rsidTr="00604F42">
        <w:tc>
          <w:tcPr>
            <w:tcW w:w="867" w:type="dxa"/>
          </w:tcPr>
          <w:p w14:paraId="660D43FB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4361" w:type="dxa"/>
          </w:tcPr>
          <w:p w14:paraId="25F5ECAC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Os primeiros passos da pesquisa visaram entender o planejamento por cenários sob questões filosóficas fundamentais.</w:t>
            </w:r>
          </w:p>
        </w:tc>
        <w:tc>
          <w:tcPr>
            <w:tcW w:w="676" w:type="dxa"/>
          </w:tcPr>
          <w:p w14:paraId="668538F5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15</w:t>
            </w:r>
          </w:p>
        </w:tc>
        <w:tc>
          <w:tcPr>
            <w:tcW w:w="4155" w:type="dxa"/>
          </w:tcPr>
          <w:p w14:paraId="1FE6EADE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The first steps of the research aimed to understand scenario planning under fundamental philosophical questions.</w:t>
            </w:r>
          </w:p>
        </w:tc>
      </w:tr>
      <w:tr w:rsidR="006422C7" w:rsidRPr="00604F42" w14:paraId="683DF366" w14:textId="77777777" w:rsidTr="00604F42">
        <w:tc>
          <w:tcPr>
            <w:tcW w:w="867" w:type="dxa"/>
          </w:tcPr>
          <w:p w14:paraId="6E9E0183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4361" w:type="dxa"/>
          </w:tcPr>
          <w:p w14:paraId="3EACFD4B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O estudo revelou desafios céticos oriundos de lacunas na fundamentação teórica e orientou a questão de pesquisa.</w:t>
            </w:r>
          </w:p>
        </w:tc>
        <w:tc>
          <w:tcPr>
            <w:tcW w:w="676" w:type="dxa"/>
          </w:tcPr>
          <w:p w14:paraId="0D7E0615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17</w:t>
            </w:r>
          </w:p>
        </w:tc>
        <w:tc>
          <w:tcPr>
            <w:tcW w:w="4155" w:type="dxa"/>
          </w:tcPr>
          <w:p w14:paraId="36BC1352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The study revealed skeptical challenges arising from gaps in the theoretical foundation and guided the research question.</w:t>
            </w:r>
          </w:p>
        </w:tc>
      </w:tr>
      <w:tr w:rsidR="006422C7" w:rsidRPr="00604F42" w14:paraId="5D33030F" w14:textId="77777777" w:rsidTr="00604F42">
        <w:tc>
          <w:tcPr>
            <w:tcW w:w="867" w:type="dxa"/>
          </w:tcPr>
          <w:p w14:paraId="2BAF7C41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4</w:t>
            </w:r>
          </w:p>
        </w:tc>
        <w:tc>
          <w:tcPr>
            <w:tcW w:w="4361" w:type="dxa"/>
          </w:tcPr>
          <w:p w14:paraId="063E882F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604F42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1.1. Fundamentos</w:t>
            </w:r>
          </w:p>
        </w:tc>
        <w:tc>
          <w:tcPr>
            <w:tcW w:w="676" w:type="dxa"/>
          </w:tcPr>
          <w:p w14:paraId="27FB19E4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4155" w:type="dxa"/>
          </w:tcPr>
          <w:p w14:paraId="671CF6C0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1.1. Fundamentals</w:t>
            </w:r>
          </w:p>
        </w:tc>
      </w:tr>
      <w:tr w:rsidR="006422C7" w:rsidRPr="00604F42" w14:paraId="7096B1F7" w14:textId="77777777" w:rsidTr="00604F42">
        <w:tc>
          <w:tcPr>
            <w:tcW w:w="867" w:type="dxa"/>
          </w:tcPr>
          <w:p w14:paraId="09093217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5</w:t>
            </w:r>
          </w:p>
        </w:tc>
        <w:tc>
          <w:tcPr>
            <w:tcW w:w="4361" w:type="dxa"/>
          </w:tcPr>
          <w:p w14:paraId="40D35573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Planejamento por cenários é uma metodologia que tem como suporte a construção de cenários exploratórios, alternativas de futuro.</w:t>
            </w:r>
          </w:p>
        </w:tc>
        <w:tc>
          <w:tcPr>
            <w:tcW w:w="676" w:type="dxa"/>
          </w:tcPr>
          <w:p w14:paraId="0682065B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18</w:t>
            </w:r>
          </w:p>
        </w:tc>
        <w:tc>
          <w:tcPr>
            <w:tcW w:w="4155" w:type="dxa"/>
          </w:tcPr>
          <w:p w14:paraId="453A81E9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Scenario planning is a methodology supported by the construction of </w:t>
            </w:r>
            <w:proofErr w:type="gramStart"/>
            <w:r w:rsidRPr="00604F42">
              <w:rPr>
                <w:rFonts w:ascii="Calibri Light" w:hAnsi="Calibri Light" w:cs="Calibri Light"/>
                <w:sz w:val="24"/>
                <w:szCs w:val="24"/>
              </w:rPr>
              <w:t>exploratory</w:t>
            </w:r>
            <w:proofErr w:type="gramEnd"/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 scenarios, alternatives of the future.</w:t>
            </w:r>
          </w:p>
        </w:tc>
      </w:tr>
      <w:tr w:rsidR="006422C7" w:rsidRPr="00604F42" w14:paraId="3428A4B3" w14:textId="77777777" w:rsidTr="00604F42">
        <w:tc>
          <w:tcPr>
            <w:tcW w:w="867" w:type="dxa"/>
          </w:tcPr>
          <w:p w14:paraId="60364744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6</w:t>
            </w:r>
          </w:p>
        </w:tc>
        <w:tc>
          <w:tcPr>
            <w:tcW w:w="4361" w:type="dxa"/>
          </w:tcPr>
          <w:p w14:paraId="1D58E355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Cada um deles apresenta relações de causa e efeito que os mostram possíveis e (mais ou menos) plausíveis.</w:t>
            </w:r>
          </w:p>
        </w:tc>
        <w:tc>
          <w:tcPr>
            <w:tcW w:w="676" w:type="dxa"/>
          </w:tcPr>
          <w:p w14:paraId="7615EF5E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18</w:t>
            </w:r>
          </w:p>
        </w:tc>
        <w:tc>
          <w:tcPr>
            <w:tcW w:w="4155" w:type="dxa"/>
          </w:tcPr>
          <w:p w14:paraId="428CF1E5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Each of them presents cause-and-effect relationships that show them as possible and (more or less) plausible.</w:t>
            </w:r>
          </w:p>
        </w:tc>
      </w:tr>
      <w:tr w:rsidR="006422C7" w:rsidRPr="00604F42" w14:paraId="3494C68D" w14:textId="77777777" w:rsidTr="00604F42">
        <w:tc>
          <w:tcPr>
            <w:tcW w:w="867" w:type="dxa"/>
          </w:tcPr>
          <w:p w14:paraId="16433DF2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7</w:t>
            </w:r>
          </w:p>
        </w:tc>
        <w:tc>
          <w:tcPr>
            <w:tcW w:w="4361" w:type="dxa"/>
          </w:tcPr>
          <w:p w14:paraId="2CAC3B5E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Chermack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Lynham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(2002) consideram que o processo de planejar com base em cenários altera modelos mentais, melhora a tomada de decisões, promove </w:t>
            </w: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lastRenderedPageBreak/>
              <w:t>aprendizagem e acentua o desempenho pessoal e organizacional.</w:t>
            </w:r>
          </w:p>
        </w:tc>
        <w:tc>
          <w:tcPr>
            <w:tcW w:w="676" w:type="dxa"/>
          </w:tcPr>
          <w:p w14:paraId="666E3F71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lastRenderedPageBreak/>
              <w:t>31</w:t>
            </w:r>
          </w:p>
        </w:tc>
        <w:tc>
          <w:tcPr>
            <w:tcW w:w="4155" w:type="dxa"/>
          </w:tcPr>
          <w:p w14:paraId="2E84B808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Chermack and Lynham (2002) consider that the process of planning based on scenarios alters mental models, improves decision-making, promotes </w:t>
            </w:r>
            <w:r w:rsidRPr="00604F42">
              <w:rPr>
                <w:rFonts w:ascii="Calibri Light" w:hAnsi="Calibri Light" w:cs="Calibri Light"/>
                <w:sz w:val="24"/>
                <w:szCs w:val="24"/>
              </w:rPr>
              <w:lastRenderedPageBreak/>
              <w:t>learning, and enhances personal and organizational performance.</w:t>
            </w:r>
          </w:p>
        </w:tc>
      </w:tr>
      <w:tr w:rsidR="006422C7" w:rsidRPr="00604F42" w14:paraId="6306AA88" w14:textId="77777777" w:rsidTr="00604F42">
        <w:tc>
          <w:tcPr>
            <w:tcW w:w="867" w:type="dxa"/>
          </w:tcPr>
          <w:p w14:paraId="4A91D92D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lastRenderedPageBreak/>
              <w:t>8</w:t>
            </w:r>
          </w:p>
        </w:tc>
        <w:tc>
          <w:tcPr>
            <w:tcW w:w="4361" w:type="dxa"/>
          </w:tcPr>
          <w:p w14:paraId="584577E6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Já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Chermack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Coons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(2015) e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Mackay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Tambeau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(2013) ressaltam que cenários são o cerne do processo, mas não o fim.</w:t>
            </w:r>
          </w:p>
        </w:tc>
        <w:tc>
          <w:tcPr>
            <w:tcW w:w="676" w:type="dxa"/>
          </w:tcPr>
          <w:p w14:paraId="7C15A99D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22</w:t>
            </w:r>
          </w:p>
        </w:tc>
        <w:tc>
          <w:tcPr>
            <w:tcW w:w="4155" w:type="dxa"/>
          </w:tcPr>
          <w:p w14:paraId="6618DDED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Chermack and Coons (2015) and Mackay and Tambeau (2013) emphasize that scenarios are the core of the process, but not the end.</w:t>
            </w:r>
          </w:p>
        </w:tc>
      </w:tr>
      <w:tr w:rsidR="006422C7" w:rsidRPr="00604F42" w14:paraId="67694CC6" w14:textId="77777777" w:rsidTr="00604F42">
        <w:tc>
          <w:tcPr>
            <w:tcW w:w="867" w:type="dxa"/>
          </w:tcPr>
          <w:p w14:paraId="11C910A8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9</w:t>
            </w:r>
          </w:p>
        </w:tc>
        <w:tc>
          <w:tcPr>
            <w:tcW w:w="4361" w:type="dxa"/>
          </w:tcPr>
          <w:p w14:paraId="6990AA10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Segundo Marcial (2011), o planejamento por cenários serve para que a tomada de decisões feita pelas organizações seja informada, evitando que sejam surpreendidas por eventos para os quais podem se preparar e alinhando suas escolhas ao futuro desejado.</w:t>
            </w:r>
          </w:p>
        </w:tc>
        <w:tc>
          <w:tcPr>
            <w:tcW w:w="676" w:type="dxa"/>
          </w:tcPr>
          <w:p w14:paraId="6DD90805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38</w:t>
            </w:r>
          </w:p>
        </w:tc>
        <w:tc>
          <w:tcPr>
            <w:tcW w:w="4155" w:type="dxa"/>
          </w:tcPr>
          <w:p w14:paraId="3A158A59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According to Marcial (2011), scenario planning serves to ensure that organizational decision-making is informed, avoiding surprises from events for which preparation is possible and aligning choices with the desired future.</w:t>
            </w:r>
          </w:p>
        </w:tc>
      </w:tr>
      <w:tr w:rsidR="006422C7" w:rsidRPr="00604F42" w14:paraId="1B5A867B" w14:textId="77777777" w:rsidTr="00604F42">
        <w:tc>
          <w:tcPr>
            <w:tcW w:w="867" w:type="dxa"/>
          </w:tcPr>
          <w:p w14:paraId="4DB33CF8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10</w:t>
            </w:r>
          </w:p>
        </w:tc>
        <w:tc>
          <w:tcPr>
            <w:tcW w:w="4361" w:type="dxa"/>
          </w:tcPr>
          <w:p w14:paraId="7036C54A" w14:textId="3194B406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Esse entendimento é corroborado por representantes das escolas de lógica intuitiva, francesa e probabilística, tais como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Chermack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Coons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(2015),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Godet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Durance</w:t>
            </w:r>
            <w:proofErr w:type="spellEnd"/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(2011) e Grumbach et al.</w:t>
            </w:r>
            <w:r w:rsidR="001A4E50" w:rsidRPr="000D54EB">
              <w:rPr>
                <w:rFonts w:ascii="Calibri Light" w:hAnsi="Calibri Light" w:cs="Calibri Light"/>
                <w:i/>
                <w:iCs/>
                <w:sz w:val="24"/>
                <w:szCs w:val="24"/>
                <w:lang w:val="pt-BR"/>
              </w:rPr>
              <w:t xml:space="preserve"> </w:t>
            </w:r>
            <w:r w:rsidR="001A4E50" w:rsidRPr="000D54EB">
              <w:rPr>
                <w:rFonts w:ascii="Calibri Light" w:hAnsi="Calibri Light" w:cs="Calibri Light"/>
                <w:i/>
                <w:iCs/>
                <w:sz w:val="24"/>
                <w:szCs w:val="24"/>
                <w:lang w:val="pt-BR"/>
              </w:rPr>
              <w:t>(2020).</w:t>
            </w:r>
          </w:p>
        </w:tc>
        <w:tc>
          <w:tcPr>
            <w:tcW w:w="676" w:type="dxa"/>
          </w:tcPr>
          <w:p w14:paraId="003BA7DD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28</w:t>
            </w:r>
          </w:p>
        </w:tc>
        <w:tc>
          <w:tcPr>
            <w:tcW w:w="4155" w:type="dxa"/>
          </w:tcPr>
          <w:p w14:paraId="0BA3860E" w14:textId="42666060" w:rsidR="006422C7" w:rsidRPr="00DD357F" w:rsidRDefault="001A4E5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 xml:space="preserve">This understanding is corroborated by representatives of the intuitive logic, French, and probabilistic schools, such as Chermack and Coons (2015), Godet and Durance (2011), and Grumbach et al. </w:t>
            </w:r>
            <w:r w:rsidRPr="000D54EB">
              <w:rPr>
                <w:rFonts w:ascii="Calibri Light" w:hAnsi="Calibri Light" w:cs="Calibri Light"/>
                <w:sz w:val="24"/>
                <w:szCs w:val="24"/>
                <w:lang w:val="pt-BR"/>
              </w:rPr>
              <w:t>(2020).</w:t>
            </w:r>
          </w:p>
        </w:tc>
      </w:tr>
      <w:tr w:rsidR="006422C7" w:rsidRPr="00604F42" w14:paraId="497B89B4" w14:textId="77777777" w:rsidTr="00604F42">
        <w:tc>
          <w:tcPr>
            <w:tcW w:w="867" w:type="dxa"/>
          </w:tcPr>
          <w:p w14:paraId="035D51C5" w14:textId="41850449" w:rsidR="006422C7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11</w:t>
            </w:r>
          </w:p>
        </w:tc>
        <w:tc>
          <w:tcPr>
            <w:tcW w:w="4361" w:type="dxa"/>
          </w:tcPr>
          <w:p w14:paraId="2E16A30C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  <w:lang w:val="pt-BR"/>
              </w:rPr>
            </w:pPr>
            <w:r w:rsidRPr="00604F42">
              <w:rPr>
                <w:rFonts w:ascii="Calibri Light" w:hAnsi="Calibri Light" w:cs="Calibri Light"/>
                <w:b/>
                <w:bCs/>
                <w:sz w:val="28"/>
                <w:szCs w:val="28"/>
                <w:lang w:val="pt-BR"/>
              </w:rPr>
              <w:t>1.2. O método Grumbach de gestão estratégica</w:t>
            </w:r>
          </w:p>
        </w:tc>
        <w:tc>
          <w:tcPr>
            <w:tcW w:w="676" w:type="dxa"/>
          </w:tcPr>
          <w:p w14:paraId="3579CAD8" w14:textId="77777777" w:rsidR="006422C7" w:rsidRPr="00604F42" w:rsidRDefault="00000000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7</w:t>
            </w:r>
          </w:p>
        </w:tc>
        <w:tc>
          <w:tcPr>
            <w:tcW w:w="4155" w:type="dxa"/>
          </w:tcPr>
          <w:p w14:paraId="1C677EE3" w14:textId="77777777" w:rsidR="006422C7" w:rsidRPr="00604F42" w:rsidRDefault="00000000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b/>
                <w:bCs/>
                <w:sz w:val="28"/>
                <w:szCs w:val="28"/>
                <w:lang w:val="pt-BR"/>
              </w:rPr>
              <w:t>1.2. The Grumbach method of strategic management</w:t>
            </w:r>
          </w:p>
        </w:tc>
      </w:tr>
      <w:tr w:rsidR="0077146B" w:rsidRPr="00604F42" w14:paraId="46B19CE5" w14:textId="77777777" w:rsidTr="00604F42">
        <w:tc>
          <w:tcPr>
            <w:tcW w:w="867" w:type="dxa"/>
          </w:tcPr>
          <w:p w14:paraId="235EA3EC" w14:textId="40BF980E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12</w:t>
            </w:r>
          </w:p>
        </w:tc>
        <w:tc>
          <w:tcPr>
            <w:tcW w:w="4361" w:type="dxa"/>
          </w:tcPr>
          <w:p w14:paraId="00C34CEF" w14:textId="14E3E875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O método escolhido para limitar o escopo do estudo é apresentado em Grumbach et </w:t>
            </w: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lastRenderedPageBreak/>
              <w:t>al.</w:t>
            </w:r>
            <w:r w:rsidRPr="000D54EB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 (2020).</w:t>
            </w:r>
          </w:p>
        </w:tc>
        <w:tc>
          <w:tcPr>
            <w:tcW w:w="676" w:type="dxa"/>
          </w:tcPr>
          <w:p w14:paraId="5F6B2924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lastRenderedPageBreak/>
              <w:t>15</w:t>
            </w:r>
          </w:p>
        </w:tc>
        <w:tc>
          <w:tcPr>
            <w:tcW w:w="4155" w:type="dxa"/>
          </w:tcPr>
          <w:p w14:paraId="2D162C63" w14:textId="16729C9B" w:rsidR="0077146B" w:rsidRPr="0067559E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 xml:space="preserve">The method chosen to limit the scope of the study is presented in Grumbach et </w:t>
            </w:r>
            <w:r w:rsidRPr="000D54EB">
              <w:rPr>
                <w:rFonts w:ascii="Calibri Light" w:hAnsi="Calibri Light" w:cs="Calibri Light"/>
                <w:sz w:val="24"/>
                <w:szCs w:val="24"/>
              </w:rPr>
              <w:lastRenderedPageBreak/>
              <w:t xml:space="preserve">al. </w:t>
            </w:r>
            <w:r w:rsidRPr="000D54EB">
              <w:rPr>
                <w:rFonts w:ascii="Calibri Light" w:hAnsi="Calibri Light" w:cs="Calibri Light"/>
                <w:sz w:val="24"/>
                <w:szCs w:val="24"/>
                <w:lang w:val="pt-BR"/>
              </w:rPr>
              <w:t>(2020).</w:t>
            </w:r>
          </w:p>
        </w:tc>
      </w:tr>
      <w:tr w:rsidR="0077146B" w:rsidRPr="00604F42" w14:paraId="4811DC43" w14:textId="77777777" w:rsidTr="00604F42">
        <w:tc>
          <w:tcPr>
            <w:tcW w:w="867" w:type="dxa"/>
          </w:tcPr>
          <w:p w14:paraId="19EF3A85" w14:textId="5A2D8C63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lastRenderedPageBreak/>
              <w:t>13</w:t>
            </w:r>
          </w:p>
        </w:tc>
        <w:tc>
          <w:tcPr>
            <w:tcW w:w="4361" w:type="dxa"/>
          </w:tcPr>
          <w:p w14:paraId="09A4BBD0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Nele, cenários integram processos cíclicos de concepção, execução, avaliação e revisão de uma gestão estratégica.</w:t>
            </w:r>
          </w:p>
        </w:tc>
        <w:tc>
          <w:tcPr>
            <w:tcW w:w="676" w:type="dxa"/>
          </w:tcPr>
          <w:p w14:paraId="0FC5D695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15</w:t>
            </w:r>
          </w:p>
        </w:tc>
        <w:tc>
          <w:tcPr>
            <w:tcW w:w="4155" w:type="dxa"/>
          </w:tcPr>
          <w:p w14:paraId="33C5D890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In it, scenarios integrate cyclical processes of conception, execution, evaluation, and revision of strategic management.</w:t>
            </w:r>
          </w:p>
        </w:tc>
      </w:tr>
      <w:tr w:rsidR="0077146B" w:rsidRPr="00604F42" w14:paraId="2A00955A" w14:textId="77777777" w:rsidTr="00604F42">
        <w:tc>
          <w:tcPr>
            <w:tcW w:w="867" w:type="dxa"/>
          </w:tcPr>
          <w:p w14:paraId="703BC8E9" w14:textId="0FBDD662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14</w:t>
            </w:r>
          </w:p>
        </w:tc>
        <w:tc>
          <w:tcPr>
            <w:tcW w:w="4361" w:type="dxa"/>
          </w:tcPr>
          <w:p w14:paraId="409772ED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Suas fases consistem em:</w:t>
            </w:r>
          </w:p>
        </w:tc>
        <w:tc>
          <w:tcPr>
            <w:tcW w:w="676" w:type="dxa"/>
          </w:tcPr>
          <w:p w14:paraId="0D20D7AD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4</w:t>
            </w:r>
          </w:p>
        </w:tc>
        <w:tc>
          <w:tcPr>
            <w:tcW w:w="4155" w:type="dxa"/>
          </w:tcPr>
          <w:p w14:paraId="3FFEB8B4" w14:textId="2332179B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Its phases consist of:</w:t>
            </w:r>
          </w:p>
        </w:tc>
      </w:tr>
      <w:tr w:rsidR="0077146B" w:rsidRPr="00604F42" w14:paraId="7478C7B4" w14:textId="77777777" w:rsidTr="00604F42">
        <w:tc>
          <w:tcPr>
            <w:tcW w:w="867" w:type="dxa"/>
          </w:tcPr>
          <w:p w14:paraId="736E6DDE" w14:textId="30B7655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15</w:t>
            </w:r>
          </w:p>
        </w:tc>
        <w:tc>
          <w:tcPr>
            <w:tcW w:w="4361" w:type="dxa"/>
          </w:tcPr>
          <w:p w14:paraId="6E79C51F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identificar o sistema;</w:t>
            </w:r>
          </w:p>
        </w:tc>
        <w:tc>
          <w:tcPr>
            <w:tcW w:w="676" w:type="dxa"/>
          </w:tcPr>
          <w:p w14:paraId="508C309E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4155" w:type="dxa"/>
          </w:tcPr>
          <w:p w14:paraId="2D320F11" w14:textId="4AEA1B32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identify the system;</w:t>
            </w:r>
          </w:p>
        </w:tc>
      </w:tr>
      <w:tr w:rsidR="0077146B" w:rsidRPr="000D54EB" w14:paraId="245F7E44" w14:textId="77777777" w:rsidTr="00604F42">
        <w:tc>
          <w:tcPr>
            <w:tcW w:w="867" w:type="dxa"/>
          </w:tcPr>
          <w:p w14:paraId="58923E00" w14:textId="517A2638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16</w:t>
            </w:r>
          </w:p>
        </w:tc>
        <w:tc>
          <w:tcPr>
            <w:tcW w:w="4361" w:type="dxa"/>
          </w:tcPr>
          <w:p w14:paraId="7D615858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  <w:lang w:val="pt-BR"/>
              </w:rPr>
              <w:t>diagnosticar os ambientes interno e externo;</w:t>
            </w:r>
          </w:p>
        </w:tc>
        <w:tc>
          <w:tcPr>
            <w:tcW w:w="676" w:type="dxa"/>
          </w:tcPr>
          <w:p w14:paraId="1A8719B6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6</w:t>
            </w:r>
          </w:p>
        </w:tc>
        <w:tc>
          <w:tcPr>
            <w:tcW w:w="4155" w:type="dxa"/>
          </w:tcPr>
          <w:p w14:paraId="4BF22AC4" w14:textId="6F6887B7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proofErr w:type="gramStart"/>
            <w:r w:rsidRPr="000D54EB">
              <w:rPr>
                <w:rFonts w:ascii="Calibri Light" w:hAnsi="Calibri Light" w:cs="Calibri Light"/>
                <w:sz w:val="24"/>
                <w:szCs w:val="24"/>
              </w:rPr>
              <w:t>diagnose</w:t>
            </w:r>
            <w:proofErr w:type="gramEnd"/>
            <w:r w:rsidRPr="000D54EB">
              <w:rPr>
                <w:rFonts w:ascii="Calibri Light" w:hAnsi="Calibri Light" w:cs="Calibri Light"/>
                <w:sz w:val="24"/>
                <w:szCs w:val="24"/>
              </w:rPr>
              <w:t xml:space="preserve"> the internal and external environments;</w:t>
            </w:r>
          </w:p>
        </w:tc>
      </w:tr>
      <w:tr w:rsidR="0077146B" w:rsidRPr="00604F42" w14:paraId="3DC70F09" w14:textId="77777777" w:rsidTr="00604F42">
        <w:tc>
          <w:tcPr>
            <w:tcW w:w="867" w:type="dxa"/>
          </w:tcPr>
          <w:p w14:paraId="7E7BC11A" w14:textId="56192668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17</w:t>
            </w:r>
          </w:p>
        </w:tc>
        <w:tc>
          <w:tcPr>
            <w:tcW w:w="4361" w:type="dxa"/>
          </w:tcPr>
          <w:p w14:paraId="6CAC10CF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construir cenários;</w:t>
            </w:r>
          </w:p>
        </w:tc>
        <w:tc>
          <w:tcPr>
            <w:tcW w:w="676" w:type="dxa"/>
          </w:tcPr>
          <w:p w14:paraId="200DB389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4155" w:type="dxa"/>
          </w:tcPr>
          <w:p w14:paraId="48AD5C9F" w14:textId="4693CC79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build scenarios;</w:t>
            </w:r>
          </w:p>
        </w:tc>
      </w:tr>
      <w:tr w:rsidR="0077146B" w:rsidRPr="00604F42" w14:paraId="65D4E6C4" w14:textId="77777777" w:rsidTr="00604F42">
        <w:tc>
          <w:tcPr>
            <w:tcW w:w="867" w:type="dxa"/>
          </w:tcPr>
          <w:p w14:paraId="1898ACDB" w14:textId="1DE34B7C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18</w:t>
            </w:r>
          </w:p>
        </w:tc>
        <w:tc>
          <w:tcPr>
            <w:tcW w:w="4361" w:type="dxa"/>
          </w:tcPr>
          <w:p w14:paraId="342C0635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formular </w:t>
            </w:r>
            <w:proofErr w:type="gramStart"/>
            <w:r w:rsidRPr="00604F42">
              <w:rPr>
                <w:rFonts w:ascii="Calibri Light" w:hAnsi="Calibri Light" w:cs="Calibri Light"/>
                <w:sz w:val="24"/>
                <w:szCs w:val="24"/>
              </w:rPr>
              <w:t>a</w:t>
            </w:r>
            <w:proofErr w:type="gramEnd"/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 estratégia;</w:t>
            </w:r>
          </w:p>
        </w:tc>
        <w:tc>
          <w:tcPr>
            <w:tcW w:w="676" w:type="dxa"/>
          </w:tcPr>
          <w:p w14:paraId="17F6DF05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4155" w:type="dxa"/>
          </w:tcPr>
          <w:p w14:paraId="74D68C65" w14:textId="187E98CD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formulate the strategy;</w:t>
            </w:r>
          </w:p>
        </w:tc>
      </w:tr>
      <w:tr w:rsidR="0077146B" w:rsidRPr="00604F42" w14:paraId="6965AA5F" w14:textId="77777777" w:rsidTr="00604F42">
        <w:tc>
          <w:tcPr>
            <w:tcW w:w="867" w:type="dxa"/>
          </w:tcPr>
          <w:p w14:paraId="33A5D295" w14:textId="33D39682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19</w:t>
            </w:r>
          </w:p>
        </w:tc>
        <w:tc>
          <w:tcPr>
            <w:tcW w:w="4361" w:type="dxa"/>
          </w:tcPr>
          <w:p w14:paraId="7B8C6EC0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traduzir </w:t>
            </w:r>
            <w:proofErr w:type="gramStart"/>
            <w:r w:rsidRPr="00604F42">
              <w:rPr>
                <w:rFonts w:ascii="Calibri Light" w:hAnsi="Calibri Light" w:cs="Calibri Light"/>
                <w:sz w:val="24"/>
                <w:szCs w:val="24"/>
              </w:rPr>
              <w:t>a</w:t>
            </w:r>
            <w:proofErr w:type="gramEnd"/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 estratégia;</w:t>
            </w:r>
          </w:p>
        </w:tc>
        <w:tc>
          <w:tcPr>
            <w:tcW w:w="676" w:type="dxa"/>
          </w:tcPr>
          <w:p w14:paraId="5581A6AC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4155" w:type="dxa"/>
          </w:tcPr>
          <w:p w14:paraId="69E3F61D" w14:textId="4DCCF0AE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translate the strategy;</w:t>
            </w:r>
          </w:p>
        </w:tc>
      </w:tr>
      <w:tr w:rsidR="0077146B" w:rsidRPr="00604F42" w14:paraId="2A45CE6B" w14:textId="77777777" w:rsidTr="00604F42">
        <w:tc>
          <w:tcPr>
            <w:tcW w:w="867" w:type="dxa"/>
          </w:tcPr>
          <w:p w14:paraId="7C45F7AB" w14:textId="5741D77C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20</w:t>
            </w:r>
          </w:p>
        </w:tc>
        <w:tc>
          <w:tcPr>
            <w:tcW w:w="4361" w:type="dxa"/>
          </w:tcPr>
          <w:p w14:paraId="233B5050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priorizar ações;</w:t>
            </w:r>
          </w:p>
        </w:tc>
        <w:tc>
          <w:tcPr>
            <w:tcW w:w="676" w:type="dxa"/>
          </w:tcPr>
          <w:p w14:paraId="3584C3D6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4155" w:type="dxa"/>
          </w:tcPr>
          <w:p w14:paraId="4159BA1D" w14:textId="185ECC0F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prioritize actions;</w:t>
            </w:r>
          </w:p>
        </w:tc>
      </w:tr>
      <w:tr w:rsidR="0077146B" w:rsidRPr="00604F42" w14:paraId="7AF04757" w14:textId="77777777" w:rsidTr="00604F42">
        <w:tc>
          <w:tcPr>
            <w:tcW w:w="867" w:type="dxa"/>
          </w:tcPr>
          <w:p w14:paraId="530C9737" w14:textId="13F49D38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21</w:t>
            </w:r>
          </w:p>
        </w:tc>
        <w:tc>
          <w:tcPr>
            <w:tcW w:w="4361" w:type="dxa"/>
          </w:tcPr>
          <w:p w14:paraId="2512099A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gerenciar riscos;</w:t>
            </w:r>
          </w:p>
        </w:tc>
        <w:tc>
          <w:tcPr>
            <w:tcW w:w="676" w:type="dxa"/>
          </w:tcPr>
          <w:p w14:paraId="40070CA5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4155" w:type="dxa"/>
          </w:tcPr>
          <w:p w14:paraId="697CFC84" w14:textId="14589A70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manage risks;</w:t>
            </w:r>
          </w:p>
        </w:tc>
      </w:tr>
      <w:tr w:rsidR="0077146B" w:rsidRPr="00604F42" w14:paraId="1C1B4721" w14:textId="77777777" w:rsidTr="00604F42">
        <w:tc>
          <w:tcPr>
            <w:tcW w:w="867" w:type="dxa"/>
          </w:tcPr>
          <w:p w14:paraId="6EEDCA51" w14:textId="7CF51EE4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22</w:t>
            </w:r>
          </w:p>
        </w:tc>
        <w:tc>
          <w:tcPr>
            <w:tcW w:w="4361" w:type="dxa"/>
          </w:tcPr>
          <w:p w14:paraId="33776D0D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executar </w:t>
            </w:r>
            <w:proofErr w:type="gramStart"/>
            <w:r w:rsidRPr="00604F42">
              <w:rPr>
                <w:rFonts w:ascii="Calibri Light" w:hAnsi="Calibri Light" w:cs="Calibri Light"/>
                <w:sz w:val="24"/>
                <w:szCs w:val="24"/>
              </w:rPr>
              <w:t>a</w:t>
            </w:r>
            <w:proofErr w:type="gramEnd"/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 estratégia;</w:t>
            </w:r>
          </w:p>
        </w:tc>
        <w:tc>
          <w:tcPr>
            <w:tcW w:w="676" w:type="dxa"/>
          </w:tcPr>
          <w:p w14:paraId="079F6DA8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4155" w:type="dxa"/>
          </w:tcPr>
          <w:p w14:paraId="0A3E8905" w14:textId="1E4D5251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execute the strategy;</w:t>
            </w:r>
          </w:p>
        </w:tc>
      </w:tr>
      <w:tr w:rsidR="0077146B" w:rsidRPr="00604F42" w14:paraId="2CF7E5EA" w14:textId="77777777" w:rsidTr="00604F42">
        <w:tc>
          <w:tcPr>
            <w:tcW w:w="867" w:type="dxa"/>
          </w:tcPr>
          <w:p w14:paraId="5D848D4F" w14:textId="726C435F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23</w:t>
            </w:r>
          </w:p>
        </w:tc>
        <w:tc>
          <w:tcPr>
            <w:tcW w:w="4361" w:type="dxa"/>
          </w:tcPr>
          <w:p w14:paraId="412E051D" w14:textId="77777777" w:rsidR="0077146B" w:rsidRPr="00604F42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revisar </w:t>
            </w:r>
            <w:proofErr w:type="gramStart"/>
            <w:r w:rsidRPr="00604F42">
              <w:rPr>
                <w:rFonts w:ascii="Calibri Light" w:hAnsi="Calibri Light" w:cs="Calibri Light"/>
                <w:sz w:val="24"/>
                <w:szCs w:val="24"/>
              </w:rPr>
              <w:t>a</w:t>
            </w:r>
            <w:proofErr w:type="gramEnd"/>
            <w:r w:rsidRPr="00604F42">
              <w:rPr>
                <w:rFonts w:ascii="Calibri Light" w:hAnsi="Calibri Light" w:cs="Calibri Light"/>
                <w:sz w:val="24"/>
                <w:szCs w:val="24"/>
              </w:rPr>
              <w:t xml:space="preserve"> estratégia.</w:t>
            </w:r>
          </w:p>
        </w:tc>
        <w:tc>
          <w:tcPr>
            <w:tcW w:w="676" w:type="dxa"/>
          </w:tcPr>
          <w:p w14:paraId="1D86F537" w14:textId="77777777" w:rsidR="0077146B" w:rsidRPr="00604F42" w:rsidRDefault="0077146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604F42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4155" w:type="dxa"/>
          </w:tcPr>
          <w:p w14:paraId="5D7A03FD" w14:textId="3540812A" w:rsidR="0077146B" w:rsidRPr="000D54EB" w:rsidRDefault="0077146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0D54EB">
              <w:rPr>
                <w:rFonts w:ascii="Calibri Light" w:hAnsi="Calibri Light" w:cs="Calibri Light"/>
                <w:sz w:val="24"/>
                <w:szCs w:val="24"/>
              </w:rPr>
              <w:t>review the strategy.</w:t>
            </w:r>
          </w:p>
        </w:tc>
      </w:tr>
      <w:tr w:rsidR="00755D36" w:rsidRPr="00755D36" w14:paraId="15DEC688" w14:textId="77777777" w:rsidTr="00604F42">
        <w:tc>
          <w:tcPr>
            <w:tcW w:w="867" w:type="dxa"/>
          </w:tcPr>
          <w:p w14:paraId="0DEF41BD" w14:textId="3E33DEE9" w:rsidR="00755D36" w:rsidRPr="00604F42" w:rsidRDefault="00755D36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24</w:t>
            </w:r>
          </w:p>
        </w:tc>
        <w:tc>
          <w:tcPr>
            <w:tcW w:w="4361" w:type="dxa"/>
          </w:tcPr>
          <w:p w14:paraId="2EB9A456" w14:textId="66FB6922" w:rsidR="00755D36" w:rsidRPr="00755D36" w:rsidRDefault="00755D36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  <w:lang w:val="pt-BR"/>
              </w:rPr>
              <w:t xml:space="preserve">A construção de cenários começa por definir questões estratégicas modeladas a partir de variáveis binárias: eventos </w:t>
            </w:r>
            <w:r w:rsidRPr="00755D36">
              <w:rPr>
                <w:rFonts w:ascii="Calibri Light" w:hAnsi="Calibri Light" w:cs="Calibri Light"/>
                <w:sz w:val="24"/>
                <w:szCs w:val="24"/>
                <w:lang w:val="pt-BR"/>
              </w:rPr>
              <w:lastRenderedPageBreak/>
              <w:t>podem vir a ocorrer ou não.</w:t>
            </w:r>
          </w:p>
        </w:tc>
        <w:tc>
          <w:tcPr>
            <w:tcW w:w="676" w:type="dxa"/>
          </w:tcPr>
          <w:p w14:paraId="22E24552" w14:textId="1B6DA53B" w:rsidR="00755D36" w:rsidRPr="00755D36" w:rsidRDefault="00755D36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lastRenderedPageBreak/>
              <w:t>20</w:t>
            </w:r>
          </w:p>
        </w:tc>
        <w:tc>
          <w:tcPr>
            <w:tcW w:w="4155" w:type="dxa"/>
          </w:tcPr>
          <w:p w14:paraId="5D8A189A" w14:textId="58687F5B" w:rsidR="00755D36" w:rsidRPr="00755D36" w:rsidRDefault="00755D36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</w:rPr>
              <w:t>Scenario construction begins by defining strategic questions modeled from binary variables: events may or may not occur.</w:t>
            </w:r>
          </w:p>
        </w:tc>
      </w:tr>
      <w:tr w:rsidR="00755D36" w:rsidRPr="00755D36" w14:paraId="14F5F04C" w14:textId="77777777" w:rsidTr="00604F42">
        <w:tc>
          <w:tcPr>
            <w:tcW w:w="867" w:type="dxa"/>
          </w:tcPr>
          <w:p w14:paraId="3FD2127E" w14:textId="1E1F21AF" w:rsidR="00755D36" w:rsidRDefault="00755D36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25</w:t>
            </w:r>
          </w:p>
        </w:tc>
        <w:tc>
          <w:tcPr>
            <w:tcW w:w="4361" w:type="dxa"/>
          </w:tcPr>
          <w:p w14:paraId="791C4BC1" w14:textId="2B5BF13F" w:rsidR="00755D36" w:rsidRPr="00755D36" w:rsidRDefault="00755D36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  <w:lang w:val="pt-BR"/>
              </w:rPr>
              <w:t>Quando nenhum ator tem controle total sobre um evento, ocorrem interações estratégicas: a decisão de um afeta as dos demais, mesmo que tomadas separadamente.</w:t>
            </w:r>
          </w:p>
        </w:tc>
        <w:tc>
          <w:tcPr>
            <w:tcW w:w="676" w:type="dxa"/>
          </w:tcPr>
          <w:p w14:paraId="4D931F1A" w14:textId="0B3EF225" w:rsidR="00755D36" w:rsidRDefault="00755D36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t>22</w:t>
            </w:r>
          </w:p>
        </w:tc>
        <w:tc>
          <w:tcPr>
            <w:tcW w:w="4155" w:type="dxa"/>
          </w:tcPr>
          <w:p w14:paraId="201D092E" w14:textId="08DC3582" w:rsidR="00755D36" w:rsidRPr="00755D36" w:rsidRDefault="00755D36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</w:rPr>
              <w:t xml:space="preserve">When no actor has full control over an event, strategic interactions occur: one actor’s decision affects </w:t>
            </w:r>
            <w:proofErr w:type="gramStart"/>
            <w:r w:rsidRPr="00755D36">
              <w:rPr>
                <w:rFonts w:ascii="Calibri Light" w:hAnsi="Calibri Light" w:cs="Calibri Light"/>
                <w:sz w:val="24"/>
                <w:szCs w:val="24"/>
              </w:rPr>
              <w:t>those of the</w:t>
            </w:r>
            <w:proofErr w:type="gramEnd"/>
            <w:r w:rsidRPr="00755D36">
              <w:rPr>
                <w:rFonts w:ascii="Calibri Light" w:hAnsi="Calibri Light" w:cs="Calibri Light"/>
                <w:sz w:val="24"/>
                <w:szCs w:val="24"/>
              </w:rPr>
              <w:t xml:space="preserve"> others, even when made separately.</w:t>
            </w:r>
          </w:p>
        </w:tc>
      </w:tr>
      <w:tr w:rsidR="00755D36" w:rsidRPr="00755D36" w14:paraId="3ACEBB7C" w14:textId="77777777" w:rsidTr="00604F42">
        <w:tc>
          <w:tcPr>
            <w:tcW w:w="867" w:type="dxa"/>
          </w:tcPr>
          <w:p w14:paraId="48662E51" w14:textId="732509ED" w:rsidR="00755D36" w:rsidRDefault="00755D36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26</w:t>
            </w:r>
          </w:p>
        </w:tc>
        <w:tc>
          <w:tcPr>
            <w:tcW w:w="4361" w:type="dxa"/>
          </w:tcPr>
          <w:p w14:paraId="130BA748" w14:textId="6EFAB12C" w:rsidR="00755D36" w:rsidRPr="00755D36" w:rsidRDefault="00755D36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  <w:lang w:val="pt-BR"/>
              </w:rPr>
              <w:t>Um ator deve considerar as possíveis ações dos demais.</w:t>
            </w:r>
          </w:p>
        </w:tc>
        <w:tc>
          <w:tcPr>
            <w:tcW w:w="676" w:type="dxa"/>
          </w:tcPr>
          <w:p w14:paraId="411D1E11" w14:textId="226BCA5D" w:rsidR="00755D36" w:rsidRDefault="00755D36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t>9</w:t>
            </w:r>
          </w:p>
        </w:tc>
        <w:tc>
          <w:tcPr>
            <w:tcW w:w="4155" w:type="dxa"/>
          </w:tcPr>
          <w:p w14:paraId="151752C3" w14:textId="1FFFDCFD" w:rsidR="00755D36" w:rsidRPr="00755D36" w:rsidRDefault="00755D36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</w:rPr>
              <w:t>An actor must consider the possible actions of the others.</w:t>
            </w:r>
          </w:p>
        </w:tc>
      </w:tr>
      <w:tr w:rsidR="00BA1958" w:rsidRPr="00BA1958" w14:paraId="2044BC4B" w14:textId="77777777" w:rsidTr="00604F42">
        <w:tc>
          <w:tcPr>
            <w:tcW w:w="867" w:type="dxa"/>
          </w:tcPr>
          <w:p w14:paraId="40FEA105" w14:textId="5D042B6D" w:rsidR="00BA1958" w:rsidRDefault="00BA1958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27</w:t>
            </w:r>
          </w:p>
        </w:tc>
        <w:tc>
          <w:tcPr>
            <w:tcW w:w="4361" w:type="dxa"/>
          </w:tcPr>
          <w:p w14:paraId="03741C5B" w14:textId="0402CA65" w:rsidR="00BA1958" w:rsidRPr="00755D36" w:rsidRDefault="00BA1958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  <w:lang w:val="pt-BR"/>
              </w:rPr>
              <w:t>Alterar o equilíbrio de forças entre atores é necessário para se promoverem quebras de tendências e redirecionamento do futuro.</w:t>
            </w:r>
          </w:p>
        </w:tc>
        <w:tc>
          <w:tcPr>
            <w:tcW w:w="676" w:type="dxa"/>
          </w:tcPr>
          <w:p w14:paraId="187072E1" w14:textId="0126FCB8" w:rsidR="00BA1958" w:rsidRDefault="00BA1958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t>16</w:t>
            </w:r>
          </w:p>
        </w:tc>
        <w:tc>
          <w:tcPr>
            <w:tcW w:w="4155" w:type="dxa"/>
          </w:tcPr>
          <w:p w14:paraId="2CF3CE79" w14:textId="66A7C542" w:rsidR="00BA1958" w:rsidRPr="00BA1958" w:rsidRDefault="00BA1958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</w:rPr>
              <w:t>Altering the balance of power among actors is necessary to promote breaks in trends and redirection of the future.</w:t>
            </w:r>
          </w:p>
        </w:tc>
      </w:tr>
      <w:tr w:rsidR="00040BDB" w:rsidRPr="00040BDB" w14:paraId="6DA8CAA8" w14:textId="77777777" w:rsidTr="00604F42">
        <w:tc>
          <w:tcPr>
            <w:tcW w:w="867" w:type="dxa"/>
          </w:tcPr>
          <w:p w14:paraId="0EF7B0F8" w14:textId="0E4DCDED" w:rsidR="00040BDB" w:rsidRDefault="00040BD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28</w:t>
            </w:r>
          </w:p>
        </w:tc>
        <w:tc>
          <w:tcPr>
            <w:tcW w:w="4361" w:type="dxa"/>
          </w:tcPr>
          <w:p w14:paraId="4F4CE373" w14:textId="59E1C88D" w:rsidR="00040BDB" w:rsidRPr="00755D36" w:rsidRDefault="00040BD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  <w:lang w:val="pt-BR"/>
              </w:rPr>
              <w:t>Construir o futuro deve ser visto como um processo de tomada de decisão sob incerteza.</w:t>
            </w:r>
          </w:p>
        </w:tc>
        <w:tc>
          <w:tcPr>
            <w:tcW w:w="676" w:type="dxa"/>
          </w:tcPr>
          <w:p w14:paraId="53BE85F2" w14:textId="7C16144D" w:rsidR="00040BDB" w:rsidRDefault="00040BDB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t>13</w:t>
            </w:r>
          </w:p>
        </w:tc>
        <w:tc>
          <w:tcPr>
            <w:tcW w:w="4155" w:type="dxa"/>
          </w:tcPr>
          <w:p w14:paraId="4F258694" w14:textId="0CA6C7E7" w:rsidR="00040BDB" w:rsidRPr="00040BDB" w:rsidRDefault="00040BDB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755D36">
              <w:rPr>
                <w:rFonts w:ascii="Calibri Light" w:hAnsi="Calibri Light" w:cs="Calibri Light"/>
                <w:sz w:val="24"/>
                <w:szCs w:val="24"/>
              </w:rPr>
              <w:t>Building the future should be seen as a process of decision</w:t>
            </w:r>
            <w:r w:rsidRPr="00755D36">
              <w:rPr>
                <w:rFonts w:ascii="Calibri Light" w:hAnsi="Calibri Light" w:cs="Calibri Light"/>
                <w:sz w:val="24"/>
                <w:szCs w:val="24"/>
              </w:rPr>
              <w:noBreakHyphen/>
              <w:t>making under uncertainty.</w:t>
            </w:r>
          </w:p>
        </w:tc>
      </w:tr>
      <w:tr w:rsidR="00E457D3" w:rsidRPr="00040BDB" w14:paraId="1C5D0622" w14:textId="77777777" w:rsidTr="00604F42">
        <w:tc>
          <w:tcPr>
            <w:tcW w:w="867" w:type="dxa"/>
          </w:tcPr>
          <w:p w14:paraId="2B0795F7" w14:textId="77777777" w:rsidR="00E457D3" w:rsidRDefault="00E457D3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4361" w:type="dxa"/>
          </w:tcPr>
          <w:p w14:paraId="5D10E192" w14:textId="77777777" w:rsidR="00E457D3" w:rsidRPr="00755D36" w:rsidRDefault="00E457D3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</w:p>
        </w:tc>
        <w:tc>
          <w:tcPr>
            <w:tcW w:w="676" w:type="dxa"/>
          </w:tcPr>
          <w:p w14:paraId="6BAA8AC2" w14:textId="7D06F63A" w:rsidR="00E457D3" w:rsidRDefault="001D3923" w:rsidP="00F32CE4">
            <w:pPr>
              <w:jc w:val="center"/>
              <w:rPr>
                <w:rFonts w:ascii="Calibri Light" w:hAnsi="Calibri Light" w:cs="Calibri Light"/>
                <w:sz w:val="24"/>
                <w:szCs w:val="24"/>
                <w:lang w:val="pt-BR"/>
              </w:rPr>
            </w:pP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fldChar w:fldCharType="begin"/>
            </w: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instrText xml:space="preserve"> =SUM(ABOVE) </w:instrText>
            </w: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fldChar w:fldCharType="separate"/>
            </w:r>
            <w:r>
              <w:rPr>
                <w:rFonts w:ascii="Calibri Light" w:hAnsi="Calibri Light" w:cs="Calibri Light"/>
                <w:noProof/>
                <w:sz w:val="24"/>
                <w:szCs w:val="24"/>
                <w:lang w:val="pt-BR"/>
              </w:rPr>
              <w:t>351</w:t>
            </w:r>
            <w:r>
              <w:rPr>
                <w:rFonts w:ascii="Calibri Light" w:hAnsi="Calibri Light" w:cs="Calibri Light"/>
                <w:sz w:val="24"/>
                <w:szCs w:val="24"/>
                <w:lang w:val="pt-BR"/>
              </w:rPr>
              <w:fldChar w:fldCharType="end"/>
            </w:r>
          </w:p>
        </w:tc>
        <w:tc>
          <w:tcPr>
            <w:tcW w:w="4155" w:type="dxa"/>
          </w:tcPr>
          <w:p w14:paraId="089A23D3" w14:textId="77777777" w:rsidR="00E457D3" w:rsidRPr="00755D36" w:rsidRDefault="00E457D3" w:rsidP="00F32CE4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</w:p>
        </w:tc>
      </w:tr>
    </w:tbl>
    <w:p w14:paraId="3D3C1627" w14:textId="77777777" w:rsidR="003129A1" w:rsidRPr="00040BDB" w:rsidRDefault="003129A1" w:rsidP="00F32CE4">
      <w:pPr>
        <w:jc w:val="both"/>
        <w:rPr>
          <w:rFonts w:ascii="Calibri Light" w:hAnsi="Calibri Light" w:cs="Calibri Light"/>
          <w:sz w:val="24"/>
          <w:szCs w:val="24"/>
        </w:rPr>
      </w:pPr>
    </w:p>
    <w:sectPr w:rsidR="003129A1" w:rsidRPr="00040BDB" w:rsidSect="00034616">
      <w:headerReference w:type="even" r:id="rId8"/>
      <w:headerReference w:type="default" r:id="rId9"/>
      <w:headerReference w:type="first" r:id="rId10"/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9608" w14:textId="77777777" w:rsidR="003129A1" w:rsidRDefault="003129A1" w:rsidP="00604F42">
      <w:pPr>
        <w:spacing w:after="0" w:line="240" w:lineRule="auto"/>
      </w:pPr>
      <w:r>
        <w:separator/>
      </w:r>
    </w:p>
  </w:endnote>
  <w:endnote w:type="continuationSeparator" w:id="0">
    <w:p w14:paraId="59093194" w14:textId="77777777" w:rsidR="003129A1" w:rsidRDefault="003129A1" w:rsidP="00604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3606" w14:textId="77777777" w:rsidR="003129A1" w:rsidRDefault="003129A1" w:rsidP="00604F42">
      <w:pPr>
        <w:spacing w:after="0" w:line="240" w:lineRule="auto"/>
      </w:pPr>
      <w:r>
        <w:separator/>
      </w:r>
    </w:p>
  </w:footnote>
  <w:footnote w:type="continuationSeparator" w:id="0">
    <w:p w14:paraId="2FDDE409" w14:textId="77777777" w:rsidR="003129A1" w:rsidRDefault="003129A1" w:rsidP="00604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DA19" w14:textId="21423F68" w:rsidR="00604F42" w:rsidRDefault="00604F4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05874F54" wp14:editId="1FB98D7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325287601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D47C9" w14:textId="7DC7B744" w:rsidR="00604F42" w:rsidRPr="00604F42" w:rsidRDefault="00604F42" w:rsidP="00604F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F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74F5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5pt;margin-top:0;width:55.95pt;height:29.05pt;z-index:25165875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NDDw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264D47C9" w14:textId="7DC7B744" w:rsidR="00604F42" w:rsidRPr="00604F42" w:rsidRDefault="00604F42" w:rsidP="00604F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F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82586" w14:textId="19A1E71D" w:rsidR="00604F42" w:rsidRDefault="00604F4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732C03BF" wp14:editId="77143C08">
              <wp:simplePos x="1146412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2087699327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9A934" w14:textId="684D11BF" w:rsidR="00604F42" w:rsidRPr="00604F42" w:rsidRDefault="00604F42" w:rsidP="00604F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F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C03B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5pt;margin-top:0;width:55.95pt;height:29.05pt;z-index:25166182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B29A934" w14:textId="684D11BF" w:rsidR="00604F42" w:rsidRPr="00604F42" w:rsidRDefault="00604F42" w:rsidP="00604F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F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0166" w14:textId="5348E3AA" w:rsidR="00604F42" w:rsidRDefault="00604F4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2E52CE32" wp14:editId="03A1FDA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799565258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CC253" w14:textId="7737A651" w:rsidR="00604F42" w:rsidRPr="00604F42" w:rsidRDefault="00604F42" w:rsidP="00604F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F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2CE3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5pt;margin-top:0;width:55.95pt;height:29.05pt;z-index:25165568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22E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27CC253" w14:textId="7737A651" w:rsidR="00604F42" w:rsidRPr="00604F42" w:rsidRDefault="00604F42" w:rsidP="00604F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F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E1DEC"/>
    <w:multiLevelType w:val="multilevel"/>
    <w:tmpl w:val="5042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758125">
    <w:abstractNumId w:val="8"/>
  </w:num>
  <w:num w:numId="2" w16cid:durableId="321735334">
    <w:abstractNumId w:val="6"/>
  </w:num>
  <w:num w:numId="3" w16cid:durableId="1180394478">
    <w:abstractNumId w:val="5"/>
  </w:num>
  <w:num w:numId="4" w16cid:durableId="471674863">
    <w:abstractNumId w:val="4"/>
  </w:num>
  <w:num w:numId="5" w16cid:durableId="1625848448">
    <w:abstractNumId w:val="7"/>
  </w:num>
  <w:num w:numId="6" w16cid:durableId="1744831332">
    <w:abstractNumId w:val="3"/>
  </w:num>
  <w:num w:numId="7" w16cid:durableId="651562104">
    <w:abstractNumId w:val="2"/>
  </w:num>
  <w:num w:numId="8" w16cid:durableId="2081976204">
    <w:abstractNumId w:val="1"/>
  </w:num>
  <w:num w:numId="9" w16cid:durableId="305624150">
    <w:abstractNumId w:val="0"/>
  </w:num>
  <w:num w:numId="10" w16cid:durableId="991982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DB"/>
    <w:rsid w:val="0006063C"/>
    <w:rsid w:val="000D54EB"/>
    <w:rsid w:val="0015074B"/>
    <w:rsid w:val="001A4E50"/>
    <w:rsid w:val="001D3923"/>
    <w:rsid w:val="0029639D"/>
    <w:rsid w:val="002C7A4A"/>
    <w:rsid w:val="003129A1"/>
    <w:rsid w:val="00326F90"/>
    <w:rsid w:val="005D3D42"/>
    <w:rsid w:val="00604F42"/>
    <w:rsid w:val="006422C7"/>
    <w:rsid w:val="0067559E"/>
    <w:rsid w:val="00755D36"/>
    <w:rsid w:val="0077146B"/>
    <w:rsid w:val="00A607AE"/>
    <w:rsid w:val="00AA1D8D"/>
    <w:rsid w:val="00B47730"/>
    <w:rsid w:val="00BA1958"/>
    <w:rsid w:val="00C31CAB"/>
    <w:rsid w:val="00C60C33"/>
    <w:rsid w:val="00CB0664"/>
    <w:rsid w:val="00DD357F"/>
    <w:rsid w:val="00E457D3"/>
    <w:rsid w:val="00F32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B69D1"/>
  <w14:defaultImageDpi w14:val="300"/>
  <w15:docId w15:val="{0B7F2DCC-9520-42D6-8AE3-B922395C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4</Pages>
  <Words>751</Words>
  <Characters>4219</Characters>
  <Application>Microsoft Office Word</Application>
  <DocSecurity>0</DocSecurity>
  <Lines>150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Henrique Araujo Cordeiro da Silva</cp:lastModifiedBy>
  <cp:revision>17</cp:revision>
  <dcterms:created xsi:type="dcterms:W3CDTF">2013-12-23T23:15:00Z</dcterms:created>
  <dcterms:modified xsi:type="dcterms:W3CDTF">2026-02-15T12:35:00Z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2fa865ca,13637eb1,7c6fc37f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